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A0A03" w14:textId="69A97C79" w:rsidR="001C2816" w:rsidRPr="00FB1918" w:rsidRDefault="005150AE" w:rsidP="002E60E0">
      <w:pPr>
        <w:pStyle w:val="Pagedecouverture"/>
      </w:pPr>
      <w:bookmarkStart w:id="0" w:name="_GoBack"/>
      <w:bookmarkEnd w:id="0"/>
      <w:r>
        <w:pict w14:anchorId="6AA281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1AA6A2D3-EA4A-4F29-AF15-F10B0B134B13" style="width:450.6pt;height:422.4pt">
            <v:imagedata r:id="rId7" o:title=""/>
          </v:shape>
        </w:pict>
      </w:r>
    </w:p>
    <w:p w14:paraId="42BED65A" w14:textId="77777777" w:rsidR="00911C0D" w:rsidRPr="00FB1918" w:rsidRDefault="00911C0D">
      <w:pPr>
        <w:sectPr w:rsidR="00911C0D" w:rsidRPr="00FB1918" w:rsidSect="002E60E0">
          <w:footerReference w:type="default" r:id="rId8"/>
          <w:pgSz w:w="11907" w:h="16839"/>
          <w:pgMar w:top="1134" w:right="1417" w:bottom="1134" w:left="1417" w:header="709" w:footer="709" w:gutter="0"/>
          <w:pgNumType w:start="0"/>
          <w:cols w:space="720"/>
          <w:docGrid w:linePitch="360"/>
        </w:sectPr>
      </w:pPr>
    </w:p>
    <w:p w14:paraId="2E321C8E" w14:textId="56DD1798" w:rsidR="00911C0D" w:rsidRPr="00FB1918" w:rsidRDefault="00DD5153" w:rsidP="00DD5153">
      <w:pPr>
        <w:pStyle w:val="Typedudocument"/>
      </w:pPr>
      <w:r w:rsidRPr="00FB1918">
        <w:lastRenderedPageBreak/>
        <w:t>VYKONÁVACIE NARIADENIE KOMISIE (EÚ) …/…</w:t>
      </w:r>
    </w:p>
    <w:p w14:paraId="537E2F9A" w14:textId="2AC26A5D" w:rsidR="00911C0D" w:rsidRPr="00FB1918" w:rsidRDefault="002E25C2" w:rsidP="00DD5153">
      <w:pPr>
        <w:pStyle w:val="Datedadoption"/>
      </w:pPr>
      <w:r w:rsidRPr="00FB1918">
        <w:t xml:space="preserve">z </w:t>
      </w:r>
      <w:r w:rsidRPr="002E1BA9">
        <w:rPr>
          <w:color w:val="FF0000"/>
        </w:rPr>
        <w:t>XXX</w:t>
      </w:r>
      <w:r w:rsidR="00FB1918">
        <w:t>,</w:t>
      </w:r>
    </w:p>
    <w:p w14:paraId="2AF513BE" w14:textId="4EE0F7E3" w:rsidR="00911C0D" w:rsidRPr="00FB1918" w:rsidRDefault="00DD5153" w:rsidP="00DD5153">
      <w:pPr>
        <w:pStyle w:val="Titreobjet"/>
      </w:pPr>
      <w:r w:rsidRPr="00FB1918">
        <w:t>ktorým sa stanovujú vykonávacie technické predpisy na uplatňovanie nariadenia Európskeho parlamentu</w:t>
      </w:r>
      <w:r w:rsidR="00FB1918" w:rsidRPr="00FB1918">
        <w:t xml:space="preserve"> a </w:t>
      </w:r>
      <w:r w:rsidRPr="00FB1918">
        <w:t>Rady (EÚ) č. 575/2013</w:t>
      </w:r>
      <w:r w:rsidR="00FB1918" w:rsidRPr="00FB1918">
        <w:t xml:space="preserve"> a </w:t>
      </w:r>
      <w:r w:rsidRPr="00FB1918">
        <w:t>smernice Európskeho parlamentu</w:t>
      </w:r>
      <w:r w:rsidR="00FB1918" w:rsidRPr="00FB1918">
        <w:t xml:space="preserve"> a </w:t>
      </w:r>
      <w:r w:rsidRPr="00FB1918">
        <w:t>Rady 2014/59/EÚ, pokiaľ ide</w:t>
      </w:r>
      <w:r w:rsidR="00FB1918" w:rsidRPr="00FB1918">
        <w:t xml:space="preserve"> o </w:t>
      </w:r>
      <w:r w:rsidRPr="00FB1918">
        <w:t>podávanie správ na účely dohľadu</w:t>
      </w:r>
      <w:r w:rsidR="00FB1918" w:rsidRPr="00FB1918">
        <w:t xml:space="preserve"> a </w:t>
      </w:r>
      <w:r w:rsidRPr="00FB1918">
        <w:t>zverejňovanie informácií</w:t>
      </w:r>
      <w:r w:rsidR="00FB1918" w:rsidRPr="00FB1918">
        <w:t xml:space="preserve"> o </w:t>
      </w:r>
      <w:r w:rsidRPr="00FB1918">
        <w:t>minimálnej požiadavke na vlastné zdroje</w:t>
      </w:r>
      <w:r w:rsidR="00FB1918" w:rsidRPr="00FB1918">
        <w:t xml:space="preserve"> a </w:t>
      </w:r>
      <w:r w:rsidRPr="00FB1918">
        <w:t>oprávnené záväzky</w:t>
      </w:r>
    </w:p>
    <w:p w14:paraId="17032FFA" w14:textId="328FE6F8" w:rsidR="00911C0D" w:rsidRPr="00FB1918" w:rsidRDefault="00DD5153" w:rsidP="00DD5153">
      <w:pPr>
        <w:pStyle w:val="IntrtEEE"/>
      </w:pPr>
      <w:r w:rsidRPr="00FB1918">
        <w:t>(Text</w:t>
      </w:r>
      <w:r w:rsidR="00FB1918">
        <w:t xml:space="preserve"> s </w:t>
      </w:r>
      <w:r w:rsidRPr="00FB1918">
        <w:t>významom pre EHP)</w:t>
      </w:r>
    </w:p>
    <w:p w14:paraId="70543606" w14:textId="77777777" w:rsidR="00911C0D" w:rsidRPr="00FB1918" w:rsidRDefault="00911C0D" w:rsidP="00911C0D">
      <w:pPr>
        <w:pStyle w:val="Institutionquiagit"/>
      </w:pPr>
      <w:r w:rsidRPr="00FB1918">
        <w:t>EURÓPSKA KOMISIA,</w:t>
      </w:r>
    </w:p>
    <w:p w14:paraId="69A98AD3" w14:textId="02814BD4" w:rsidR="00911C0D" w:rsidRPr="00FB1918" w:rsidRDefault="00911C0D" w:rsidP="00911C0D">
      <w:r w:rsidRPr="00FB1918">
        <w:t>so zreteľom na nariadenie Európskeho parlamentu</w:t>
      </w:r>
      <w:r w:rsidR="00FB1918">
        <w:t xml:space="preserve"> a </w:t>
      </w:r>
      <w:r w:rsidRPr="00FB1918">
        <w:t>Rady (EÚ) č. 575/2013</w:t>
      </w:r>
      <w:r w:rsidR="00FB1918">
        <w:t xml:space="preserve"> z </w:t>
      </w:r>
      <w:r w:rsidRPr="00FB1918">
        <w:t>26</w:t>
      </w:r>
      <w:r w:rsidR="00FB1918">
        <w:t>. júna</w:t>
      </w:r>
      <w:r w:rsidRPr="00FB1918">
        <w:t xml:space="preserve"> 2013</w:t>
      </w:r>
      <w:r w:rsidR="00FB1918">
        <w:t xml:space="preserve"> o </w:t>
      </w:r>
      <w:r w:rsidRPr="00FB1918">
        <w:t>prudenciálnych požiadavkách na úverové inštitúcie</w:t>
      </w:r>
      <w:r w:rsidR="00FB1918">
        <w:t xml:space="preserve"> a </w:t>
      </w:r>
      <w:r w:rsidRPr="00FB1918">
        <w:t>investičné spoločnosti</w:t>
      </w:r>
      <w:r w:rsidR="00FB1918">
        <w:t xml:space="preserve"> a o </w:t>
      </w:r>
      <w:r w:rsidRPr="00FB1918">
        <w:t>zmene nariadenia (EÚ) č. 648/2012</w:t>
      </w:r>
      <w:r w:rsidRPr="00FB1918">
        <w:rPr>
          <w:rStyle w:val="FootnoteReference"/>
        </w:rPr>
        <w:footnoteReference w:id="1"/>
      </w:r>
      <w:r w:rsidRPr="00FB1918">
        <w:t>,</w:t>
      </w:r>
      <w:r w:rsidR="00FB1918">
        <w:t xml:space="preserve"> a </w:t>
      </w:r>
      <w:r w:rsidRPr="00FB1918">
        <w:t>najmä na jeho článok 430 ods. 7 piaty pododsek</w:t>
      </w:r>
      <w:r w:rsidR="00FB1918">
        <w:t xml:space="preserve"> a </w:t>
      </w:r>
      <w:r w:rsidRPr="00FB1918">
        <w:t>článok 434a piaty pododsek,</w:t>
      </w:r>
    </w:p>
    <w:p w14:paraId="283FAA3A" w14:textId="6514D150" w:rsidR="00911C0D" w:rsidRPr="00FB1918" w:rsidRDefault="00911C0D" w:rsidP="00911C0D">
      <w:r w:rsidRPr="00FB1918">
        <w:t>so zreteľom na smernicu Európskeho parlamentu</w:t>
      </w:r>
      <w:r w:rsidR="00FB1918">
        <w:t xml:space="preserve"> a </w:t>
      </w:r>
      <w:r w:rsidRPr="00FB1918">
        <w:t>Rady 2014/59/EÚ</w:t>
      </w:r>
      <w:r w:rsidR="00FB1918">
        <w:t xml:space="preserve"> z </w:t>
      </w:r>
      <w:r w:rsidRPr="00FB1918">
        <w:t>15</w:t>
      </w:r>
      <w:r w:rsidR="00FB1918">
        <w:t>. mája</w:t>
      </w:r>
      <w:r w:rsidRPr="00FB1918">
        <w:t> 2014, ktorou sa stanovuje rámec pre ozdravenie</w:t>
      </w:r>
      <w:r w:rsidR="00FB1918">
        <w:t xml:space="preserve"> a </w:t>
      </w:r>
      <w:r w:rsidRPr="00FB1918">
        <w:t>riešenie krízových situácií úverových inštitúcií</w:t>
      </w:r>
      <w:r w:rsidR="00FB1918">
        <w:t xml:space="preserve"> a </w:t>
      </w:r>
      <w:r w:rsidRPr="00FB1918">
        <w:t>investičných spoločností</w:t>
      </w:r>
      <w:r w:rsidR="00FB1918">
        <w:t xml:space="preserve"> a </w:t>
      </w:r>
      <w:r w:rsidRPr="00FB1918">
        <w:t>ktorou sa mení smernica Rady 82/891/EHS</w:t>
      </w:r>
      <w:r w:rsidR="00FB1918">
        <w:t xml:space="preserve"> a </w:t>
      </w:r>
      <w:r w:rsidRPr="00FB1918">
        <w:t>smernice Európskeho parlamentu</w:t>
      </w:r>
      <w:r w:rsidR="00FB1918">
        <w:t xml:space="preserve"> a </w:t>
      </w:r>
      <w:r w:rsidRPr="00FB1918">
        <w:t>Rady 2001/24/ES, 2002/47/ES, 2004/25/ES, 2005/56/ES, 2007/36/ES, 2011/35/EÚ, 2012/30/EÚ</w:t>
      </w:r>
      <w:r w:rsidR="00FB1918">
        <w:t xml:space="preserve"> a </w:t>
      </w:r>
      <w:r w:rsidRPr="00FB1918">
        <w:t>2013/36/EÚ</w:t>
      </w:r>
      <w:r w:rsidR="00FB1918">
        <w:t xml:space="preserve"> a </w:t>
      </w:r>
      <w:r w:rsidRPr="00FB1918">
        <w:t>nariadenia Európskeho parlamentu</w:t>
      </w:r>
      <w:r w:rsidR="00FB1918">
        <w:t xml:space="preserve"> a </w:t>
      </w:r>
      <w:r w:rsidRPr="00FB1918">
        <w:t>Rady (EÚ) č. 1093/2010</w:t>
      </w:r>
      <w:r w:rsidR="00FB1918">
        <w:t xml:space="preserve"> a </w:t>
      </w:r>
      <w:r w:rsidRPr="00FB1918">
        <w:t>(EÚ) č. 648/2012</w:t>
      </w:r>
      <w:r w:rsidRPr="00FB1918">
        <w:rPr>
          <w:rStyle w:val="FootnoteReference"/>
        </w:rPr>
        <w:footnoteReference w:id="2"/>
      </w:r>
      <w:r w:rsidRPr="00FB1918">
        <w:t>,</w:t>
      </w:r>
      <w:r w:rsidR="00FB1918">
        <w:t xml:space="preserve"> a </w:t>
      </w:r>
      <w:r w:rsidRPr="00FB1918">
        <w:t>najmä na jej článok 45i ods. 5</w:t>
      </w:r>
      <w:r w:rsidR="00FB1918">
        <w:t xml:space="preserve"> a </w:t>
      </w:r>
      <w:r w:rsidRPr="00FB1918">
        <w:t>6,</w:t>
      </w:r>
    </w:p>
    <w:p w14:paraId="2D724A4A" w14:textId="77777777" w:rsidR="00911C0D" w:rsidRPr="00FB1918" w:rsidRDefault="00911C0D" w:rsidP="00911C0D">
      <w:r w:rsidRPr="00FB1918">
        <w:t>keďže:</w:t>
      </w:r>
    </w:p>
    <w:p w14:paraId="1498BCD9" w14:textId="678B633A" w:rsidR="00911C0D" w:rsidRPr="00FB1918" w:rsidRDefault="00911C0D" w:rsidP="00727C02">
      <w:pPr>
        <w:pStyle w:val="Considrant"/>
        <w:numPr>
          <w:ilvl w:val="0"/>
          <w:numId w:val="23"/>
        </w:numPr>
      </w:pPr>
      <w:r w:rsidRPr="00FB1918">
        <w:t>Harmonizovaná minimálna úroveň hlavných prvkov celkovej kapacity na absorpciu strát (ďalej len „norma TLAC“) pre globálne systémovo významné inštitúcie (G-SII) (ďalej len „požiadavka na TLAC“) bola zavedená do právnych predpisov Únie nariadením Európskeho parlamentu</w:t>
      </w:r>
      <w:r w:rsidR="00FB1918">
        <w:t xml:space="preserve"> a </w:t>
      </w:r>
      <w:r w:rsidRPr="00FB1918">
        <w:t>Rady (EÚ) 2019/876</w:t>
      </w:r>
      <w:r w:rsidRPr="00FB1918">
        <w:rPr>
          <w:rStyle w:val="FootnoteReference"/>
        </w:rPr>
        <w:footnoteReference w:id="3"/>
      </w:r>
      <w:r w:rsidRPr="00FB1918">
        <w:t>, ktorým sa mení nariadenie (EÚ) č. 575/2013.</w:t>
      </w:r>
      <w:r w:rsidRPr="00FB1918">
        <w:rPr>
          <w:sz w:val="23"/>
          <w:szCs w:val="23"/>
        </w:rPr>
        <w:t xml:space="preserve"> </w:t>
      </w:r>
      <w:r w:rsidRPr="00FB1918">
        <w:t>Dodatočná hodnota špecifická pre jednotlivé G-SII</w:t>
      </w:r>
      <w:r w:rsidR="00FB1918">
        <w:t xml:space="preserve"> a </w:t>
      </w:r>
      <w:r w:rsidRPr="00FB1918">
        <w:t>špecifická požiadavka na jednotlivé inštitúcie, ktoré nie sú G-SII, ktorá sa označuje ako minimálna požiadavka na vlastné zdroje</w:t>
      </w:r>
      <w:r w:rsidR="00FB1918">
        <w:t xml:space="preserve"> a </w:t>
      </w:r>
      <w:r w:rsidRPr="00FB1918">
        <w:t>oprávnené záväzky (MREL), boli stanovené prostredníctvom cielených zmien smernice 2014/59/EÚ zavedených smernicou Európskeho parlamentu</w:t>
      </w:r>
      <w:r w:rsidR="00FB1918">
        <w:t xml:space="preserve"> a </w:t>
      </w:r>
      <w:r w:rsidRPr="00FB1918">
        <w:t>Rady (EÚ) 2019/879</w:t>
      </w:r>
      <w:r w:rsidRPr="00FB1918">
        <w:rPr>
          <w:rStyle w:val="FootnoteReference"/>
        </w:rPr>
        <w:footnoteReference w:id="4"/>
      </w:r>
      <w:r w:rsidRPr="00FB1918">
        <w:t>. Požiadavky na podávanie správ</w:t>
      </w:r>
      <w:r w:rsidR="00FB1918">
        <w:t xml:space="preserve"> a </w:t>
      </w:r>
      <w:r w:rsidRPr="00FB1918">
        <w:t>zverejňovanie informácií</w:t>
      </w:r>
      <w:r w:rsidR="00FB1918">
        <w:t xml:space="preserve"> v </w:t>
      </w:r>
      <w:r w:rsidRPr="00FB1918">
        <w:t>súvislosti</w:t>
      </w:r>
      <w:r w:rsidR="00FB1918">
        <w:t xml:space="preserve"> s </w:t>
      </w:r>
      <w:r w:rsidRPr="00FB1918">
        <w:t>normou TLAC</w:t>
      </w:r>
      <w:r w:rsidR="00FB1918">
        <w:t xml:space="preserve"> a </w:t>
      </w:r>
      <w:r w:rsidRPr="00FB1918">
        <w:t>MREL sú teraz zahrnuté</w:t>
      </w:r>
      <w:r w:rsidR="00FB1918">
        <w:t xml:space="preserve"> v </w:t>
      </w:r>
      <w:r w:rsidRPr="00FB1918">
        <w:t>nariadení (EÚ) č. 575/2013</w:t>
      </w:r>
      <w:r w:rsidR="00FB1918">
        <w:t xml:space="preserve"> a </w:t>
      </w:r>
      <w:r w:rsidRPr="00FB1918">
        <w:t>smernici 2014/59/EÚ.</w:t>
      </w:r>
    </w:p>
    <w:p w14:paraId="42917AA4" w14:textId="061A8D97" w:rsidR="00911C0D" w:rsidRPr="00FB1918" w:rsidRDefault="00911C0D" w:rsidP="00911C0D">
      <w:pPr>
        <w:pStyle w:val="Considrant"/>
      </w:pPr>
      <w:r w:rsidRPr="00FB1918">
        <w:lastRenderedPageBreak/>
        <w:t>Keďže norma TLAC</w:t>
      </w:r>
      <w:r w:rsidR="00FB1918">
        <w:t xml:space="preserve"> a </w:t>
      </w:r>
      <w:r w:rsidRPr="00FB1918">
        <w:t>MREL sledujú ten istý cieľ,</w:t>
      </w:r>
      <w:r w:rsidR="00FB1918">
        <w:t xml:space="preserve"> a </w:t>
      </w:r>
      <w:r w:rsidRPr="00FB1918">
        <w:t>to zabezpečiť, aby mali inštitúcie</w:t>
      </w:r>
      <w:r w:rsidR="00FB1918">
        <w:t xml:space="preserve"> a </w:t>
      </w:r>
      <w:r w:rsidRPr="00FB1918">
        <w:t>subjekty usadené</w:t>
      </w:r>
      <w:r w:rsidR="00FB1918">
        <w:t xml:space="preserve"> v </w:t>
      </w:r>
      <w:r w:rsidRPr="00FB1918">
        <w:t>Únii dostatočnú kapacitu na absorpciu strát</w:t>
      </w:r>
      <w:r w:rsidR="00FB1918">
        <w:t xml:space="preserve"> a </w:t>
      </w:r>
      <w:r w:rsidRPr="00FB1918">
        <w:t>rekapitalizáciu, tieto dve požiadavky by mali byť doplnkovými prvkami spoločného rámca. Preto je vhodné stanoviť súbor vzorov na vykazovanie</w:t>
      </w:r>
      <w:r w:rsidR="00FB1918">
        <w:t xml:space="preserve"> a </w:t>
      </w:r>
      <w:r w:rsidRPr="00FB1918">
        <w:t>zverejňovanie harmonizovaných informácií</w:t>
      </w:r>
      <w:r w:rsidR="00FB1918">
        <w:t xml:space="preserve"> o </w:t>
      </w:r>
      <w:r w:rsidRPr="00FB1918">
        <w:t>požiadavke na vlastné zdroje</w:t>
      </w:r>
      <w:r w:rsidR="00FB1918">
        <w:t xml:space="preserve"> a </w:t>
      </w:r>
      <w:r w:rsidRPr="00FB1918">
        <w:t>oprávnené záväzky pre G-SII</w:t>
      </w:r>
      <w:r w:rsidR="00FB1918">
        <w:t xml:space="preserve"> a </w:t>
      </w:r>
      <w:r w:rsidRPr="00FB1918">
        <w:t>významné dcérske spoločnosti G-SII mimo EÚ (TLAC)</w:t>
      </w:r>
      <w:r w:rsidR="00FB1918">
        <w:t xml:space="preserve"> a </w:t>
      </w:r>
      <w:r w:rsidRPr="00FB1918">
        <w:t>MREL špecifickej pre danú inštitúciu, ktoré by sa uplatňovali na všetky inštitúcie.</w:t>
      </w:r>
    </w:p>
    <w:p w14:paraId="621ACD0D" w14:textId="4E27BE3D" w:rsidR="00911C0D" w:rsidRPr="00FB1918" w:rsidRDefault="00911C0D" w:rsidP="00911C0D">
      <w:pPr>
        <w:pStyle w:val="Considrant"/>
      </w:pPr>
      <w:r w:rsidRPr="00FB1918">
        <w:t>Podľa článku 434a nariadenia (EÚ) č. 575/2013 má Európsky orgán pre bankovníctvo (EBA) vypracovať návrh vykonávacích technických predpisov na stanovenie jednotných formátov zverejňovania informácií, ktoré sa snažia</w:t>
      </w:r>
      <w:r w:rsidR="00FB1918">
        <w:t xml:space="preserve"> o </w:t>
      </w:r>
      <w:r w:rsidRPr="00FB1918">
        <w:t>zachovanie konzistentnosti formátov zverejňovania informácií</w:t>
      </w:r>
      <w:r w:rsidR="00FB1918">
        <w:t xml:space="preserve"> s </w:t>
      </w:r>
      <w:r w:rsidRPr="00FB1918">
        <w:t>medzinárodnými normami pre zverejňovanie informácií</w:t>
      </w:r>
      <w:r w:rsidR="00FB1918">
        <w:t xml:space="preserve"> s </w:t>
      </w:r>
      <w:r w:rsidRPr="00FB1918">
        <w:t>cieľom uľahčiť porovnateľnosť informácií. Bazilejský výbor pre bankový dohľad (BCBS) uverejnil</w:t>
      </w:r>
      <w:r w:rsidR="00FB1918">
        <w:t xml:space="preserve"> v </w:t>
      </w:r>
      <w:r w:rsidRPr="00FB1918">
        <w:t>decembri 2018 aktualizované požiadavky na zverejňovanie informácií</w:t>
      </w:r>
      <w:r w:rsidR="00FB1918">
        <w:t xml:space="preserve"> v </w:t>
      </w:r>
      <w:r w:rsidRPr="00FB1918">
        <w:t>3. pilieri vrátane požiadaviek na zverejňovanie informácií</w:t>
      </w:r>
      <w:r w:rsidR="00FB1918">
        <w:t xml:space="preserve"> o </w:t>
      </w:r>
      <w:r w:rsidRPr="00FB1918">
        <w:t>TLAC. Formáty zverejňovania informácií</w:t>
      </w:r>
      <w:r w:rsidR="00FB1918">
        <w:t xml:space="preserve"> a </w:t>
      </w:r>
      <w:r w:rsidRPr="00FB1918">
        <w:t>súvisiace pokyny stanovené</w:t>
      </w:r>
      <w:r w:rsidR="00FB1918">
        <w:t xml:space="preserve"> v </w:t>
      </w:r>
      <w:r w:rsidRPr="00FB1918">
        <w:t>tomto nariadení by preto mali byť</w:t>
      </w:r>
      <w:r w:rsidR="00FB1918">
        <w:t xml:space="preserve"> v </w:t>
      </w:r>
      <w:r w:rsidRPr="00FB1918">
        <w:t>súlade</w:t>
      </w:r>
      <w:r w:rsidR="00FB1918">
        <w:t xml:space="preserve"> s </w:t>
      </w:r>
      <w:r w:rsidRPr="00FB1918">
        <w:t>uvedenými aktualizovanými požiadavkami BCBS na zverejňovanie informácií.</w:t>
      </w:r>
    </w:p>
    <w:p w14:paraId="7C540363" w14:textId="103437F7" w:rsidR="00FB1918" w:rsidRDefault="00911C0D" w:rsidP="00911C0D">
      <w:pPr>
        <w:pStyle w:val="Considrant"/>
      </w:pPr>
      <w:r w:rsidRPr="00FB1918">
        <w:t>S cieľom zabezpečiť, aby sa náklady na dodržiavanie predpisov pre inštitúcie neprimerane nezvýšili</w:t>
      </w:r>
      <w:r w:rsidR="00FB1918">
        <w:t xml:space="preserve"> a </w:t>
      </w:r>
      <w:r w:rsidRPr="00FB1918">
        <w:t>zachovala sa kvalita údajov, povinnosti</w:t>
      </w:r>
      <w:r w:rsidR="00FB1918">
        <w:t xml:space="preserve"> v </w:t>
      </w:r>
      <w:r w:rsidRPr="00FB1918">
        <w:t>oblasti vykazovania</w:t>
      </w:r>
      <w:r w:rsidR="00FB1918">
        <w:t xml:space="preserve"> a </w:t>
      </w:r>
      <w:r w:rsidRPr="00FB1918">
        <w:t>zverejňovania informácií by sa mali vo svojej podstate čo najviac navzájom zosúladiť,</w:t>
      </w:r>
      <w:r w:rsidR="00FB1918">
        <w:t xml:space="preserve"> a </w:t>
      </w:r>
      <w:r w:rsidRPr="00FB1918">
        <w:t>to aj</w:t>
      </w:r>
      <w:r w:rsidR="00FB1918">
        <w:t xml:space="preserve"> z </w:t>
      </w:r>
      <w:r w:rsidRPr="00FB1918">
        <w:t>hľadiska ich frekvencie. Okrem toho sa</w:t>
      </w:r>
      <w:r w:rsidR="00FB1918">
        <w:t xml:space="preserve"> v </w:t>
      </w:r>
      <w:r w:rsidRPr="00FB1918">
        <w:t>článku 45i ods. 5 treťom pododseku</w:t>
      </w:r>
      <w:r w:rsidR="00FB1918">
        <w:t xml:space="preserve"> a </w:t>
      </w:r>
      <w:r w:rsidRPr="00FB1918">
        <w:t>článku 45i ods. 6 treťom pododseku smernice 2014/59/EÚ výslovne vyžaduje zosúladenie vykonávacích technických predpisov týkajúcich sa povinností podávania správ</w:t>
      </w:r>
      <w:r w:rsidR="00FB1918">
        <w:t xml:space="preserve"> a </w:t>
      </w:r>
      <w:r w:rsidRPr="00FB1918">
        <w:t>zverejňovania informácií</w:t>
      </w:r>
      <w:r w:rsidR="00FB1918">
        <w:t xml:space="preserve"> o </w:t>
      </w:r>
      <w:r w:rsidRPr="00FB1918">
        <w:t>TLAC</w:t>
      </w:r>
      <w:r w:rsidR="00FB1918">
        <w:t xml:space="preserve"> a </w:t>
      </w:r>
      <w:r w:rsidRPr="00FB1918">
        <w:t>MREL. Preto je vhodné stanoviť</w:t>
      </w:r>
      <w:r w:rsidR="00FB1918">
        <w:t xml:space="preserve"> v </w:t>
      </w:r>
      <w:r w:rsidRPr="00FB1918">
        <w:t>jednom nariadení predpisy uplatniteľné na vykazovanie, ako aj na zverejňovanie informácií</w:t>
      </w:r>
      <w:r w:rsidR="00FB1918">
        <w:t xml:space="preserve"> o </w:t>
      </w:r>
      <w:r w:rsidRPr="00FB1918">
        <w:t>TLAC</w:t>
      </w:r>
      <w:r w:rsidR="00FB1918">
        <w:t xml:space="preserve"> a </w:t>
      </w:r>
      <w:r w:rsidRPr="00FB1918">
        <w:t>MREL. Zároveň by sa mali podľa potreby upraviť úroveň podrobnosti</w:t>
      </w:r>
      <w:r w:rsidR="00FB1918">
        <w:t xml:space="preserve"> a </w:t>
      </w:r>
      <w:r w:rsidRPr="00FB1918">
        <w:t>frekvencia podávania správ</w:t>
      </w:r>
      <w:r w:rsidR="00FB1918">
        <w:t xml:space="preserve"> a </w:t>
      </w:r>
      <w:r w:rsidRPr="00FB1918">
        <w:t>zverejňovania informácií,</w:t>
      </w:r>
      <w:r w:rsidR="00FB1918">
        <w:t xml:space="preserve"> a </w:t>
      </w:r>
      <w:r w:rsidRPr="00FB1918">
        <w:t>to so zreteľom na požiadavky stanovené</w:t>
      </w:r>
      <w:r w:rsidR="00FB1918">
        <w:t xml:space="preserve"> v </w:t>
      </w:r>
      <w:r w:rsidRPr="00FB1918">
        <w:t>nariadení (EÚ) č. 575/2013</w:t>
      </w:r>
      <w:r w:rsidR="00FB1918">
        <w:t xml:space="preserve"> a </w:t>
      </w:r>
      <w:r w:rsidRPr="00FB1918">
        <w:t>smernici 2014/59/EÚ</w:t>
      </w:r>
      <w:r w:rsidR="00FB1918">
        <w:t xml:space="preserve"> a </w:t>
      </w:r>
      <w:r w:rsidRPr="00FB1918">
        <w:t>na potrebu zabezpečiť, aby inštitúcie vždy spĺňali uvedené požiadavky</w:t>
      </w:r>
      <w:r w:rsidR="00FB1918">
        <w:t>.</w:t>
      </w:r>
    </w:p>
    <w:p w14:paraId="6A0B1EFC" w14:textId="6BDD0DFB" w:rsidR="00911C0D" w:rsidRPr="00FB1918" w:rsidRDefault="00911C0D" w:rsidP="00911C0D">
      <w:pPr>
        <w:pStyle w:val="Considrant"/>
      </w:pPr>
      <w:r w:rsidRPr="00FB1918">
        <w:t>V smernici 2014/59/EÚ sa vyžaduje, aby sa správy</w:t>
      </w:r>
      <w:r w:rsidR="00FB1918">
        <w:t xml:space="preserve"> s </w:t>
      </w:r>
      <w:r w:rsidRPr="00FB1918">
        <w:t>informáciami</w:t>
      </w:r>
      <w:r w:rsidR="00FB1918">
        <w:t xml:space="preserve"> o </w:t>
      </w:r>
      <w:r w:rsidRPr="00FB1918">
        <w:t>MREL podávali príslušným orgánom aj orgánom pre riešenie krízových situácií.</w:t>
      </w:r>
      <w:r w:rsidR="00FB1918">
        <w:t xml:space="preserve"> V </w:t>
      </w:r>
      <w:r w:rsidRPr="00FB1918">
        <w:t>nariadení (EÚ) č.</w:t>
      </w:r>
      <w:r w:rsidR="00FB1918">
        <w:t> </w:t>
      </w:r>
      <w:r w:rsidRPr="00FB1918">
        <w:t>575/2013 sa vyžaduje, aby sa správy</w:t>
      </w:r>
      <w:r w:rsidR="00FB1918">
        <w:t xml:space="preserve"> s </w:t>
      </w:r>
      <w:r w:rsidRPr="00FB1918">
        <w:t>informáciami</w:t>
      </w:r>
      <w:r w:rsidR="00FB1918">
        <w:t xml:space="preserve"> o </w:t>
      </w:r>
      <w:r w:rsidRPr="00FB1918">
        <w:t>TLAC podávali len príslušným orgánom. Podľa článku 45d ods. 1 smernice 2014/59/EÚ však MREL na subjekt, ktorého krízová situácia sa rieši</w:t>
      </w:r>
      <w:r w:rsidR="00FB1918">
        <w:t xml:space="preserve"> a </w:t>
      </w:r>
      <w:r w:rsidRPr="00FB1918">
        <w:t>ktorý je G-SII alebo je súčasťou G-SII, pozostáva</w:t>
      </w:r>
      <w:r w:rsidR="00FB1918">
        <w:t xml:space="preserve"> z </w:t>
      </w:r>
      <w:r w:rsidRPr="00FB1918">
        <w:t>požiadavky na TLAC</w:t>
      </w:r>
      <w:r w:rsidR="00FB1918">
        <w:t xml:space="preserve"> a </w:t>
      </w:r>
      <w:r w:rsidRPr="00FB1918">
        <w:t>akejkoľvek dodatočnej hodnoty. Preto je vhodné zabezpečiť, aby orgány pre riešenie krízových situácií</w:t>
      </w:r>
      <w:r w:rsidR="00FB1918">
        <w:t xml:space="preserve"> v </w:t>
      </w:r>
      <w:r w:rsidRPr="00FB1918">
        <w:t>rámci podávania správ</w:t>
      </w:r>
      <w:r w:rsidR="00FB1918">
        <w:t xml:space="preserve"> o </w:t>
      </w:r>
      <w:r w:rsidRPr="00FB1918">
        <w:t>MREL získavali od G-SII informácie</w:t>
      </w:r>
      <w:r w:rsidR="00FB1918">
        <w:t xml:space="preserve"> o </w:t>
      </w:r>
      <w:r w:rsidRPr="00FB1918">
        <w:t>TLAC. Tým by nemali byť dotknuté dohody uzatvorené medzi príslušnými orgánmi</w:t>
      </w:r>
      <w:r w:rsidR="00FB1918">
        <w:t xml:space="preserve"> a </w:t>
      </w:r>
      <w:r w:rsidRPr="00FB1918">
        <w:t>orgánmi pre riešenie krízových situácií</w:t>
      </w:r>
      <w:r w:rsidR="00FB1918">
        <w:t xml:space="preserve"> s </w:t>
      </w:r>
      <w:r w:rsidRPr="00FB1918">
        <w:t>cieľom minimalizovať toky údajov.</w:t>
      </w:r>
    </w:p>
    <w:p w14:paraId="47B09598" w14:textId="7000519D" w:rsidR="00911C0D" w:rsidRPr="00FB1918" w:rsidRDefault="00911C0D" w:rsidP="00911C0D">
      <w:pPr>
        <w:pStyle w:val="Considrant"/>
      </w:pPr>
      <w:r w:rsidRPr="00FB1918">
        <w:t>V článku 45i ods. 5 smernice 2014/59/EÚ sa vyžaduje, aby EBA vypracoval návrh vykonávacích technických predpisov</w:t>
      </w:r>
      <w:r w:rsidR="00FB1918">
        <w:t xml:space="preserve"> s </w:t>
      </w:r>
      <w:r w:rsidRPr="00FB1918">
        <w:t>cieľom stanoviť štandardizovaný spôsob poskytovania informácií</w:t>
      </w:r>
      <w:r w:rsidR="00FB1918">
        <w:t xml:space="preserve"> o </w:t>
      </w:r>
      <w:r w:rsidRPr="00FB1918">
        <w:t>postavení vlastných zdrojov</w:t>
      </w:r>
      <w:r w:rsidR="00FB1918">
        <w:t xml:space="preserve"> a </w:t>
      </w:r>
      <w:r w:rsidRPr="00FB1918">
        <w:t>záväzkov použiteľných pri záchrane pomocou vnútorných zdrojov uplatniteľný vo vnútroštátnom insolvenčnom konaní</w:t>
      </w:r>
      <w:r w:rsidR="00FB1918">
        <w:t xml:space="preserve"> v </w:t>
      </w:r>
      <w:r w:rsidRPr="00FB1918">
        <w:t>každom členskom štáte</w:t>
      </w:r>
      <w:r w:rsidR="00FB1918">
        <w:t xml:space="preserve"> z </w:t>
      </w:r>
      <w:r w:rsidRPr="00FB1918">
        <w:t>dôvodu porovnateľnosti</w:t>
      </w:r>
      <w:r w:rsidR="00FB1918">
        <w:t xml:space="preserve"> a </w:t>
      </w:r>
      <w:r w:rsidRPr="00FB1918">
        <w:t>právnej istoty. Príslušné orgány pre riešenie krízových situácií by preto mali inštitúciám, ktoré patria do ich jurisdikcie, poskytovať štandardizované informácie</w:t>
      </w:r>
      <w:r w:rsidR="00FB1918">
        <w:t xml:space="preserve"> o </w:t>
      </w:r>
      <w:r w:rsidRPr="00FB1918">
        <w:t>hierarchii konkurzného konania</w:t>
      </w:r>
      <w:r w:rsidR="00FB1918">
        <w:t xml:space="preserve"> v </w:t>
      </w:r>
      <w:r w:rsidRPr="00FB1918">
        <w:t>každom členskom štáte</w:t>
      </w:r>
      <w:r w:rsidR="00FB1918">
        <w:t xml:space="preserve"> a </w:t>
      </w:r>
      <w:r w:rsidRPr="00FB1918">
        <w:t>ich včasné aktualizácie. Tieto informácie by mali nasledovať po štandardizovanej prezentácii hierarchie konkurzného konania.</w:t>
      </w:r>
    </w:p>
    <w:p w14:paraId="5C67BF36" w14:textId="777CA8F0" w:rsidR="00911C0D" w:rsidRPr="00FB1918" w:rsidRDefault="00911C0D" w:rsidP="00911C0D">
      <w:pPr>
        <w:pStyle w:val="Considrant"/>
      </w:pPr>
      <w:r w:rsidRPr="00FB1918">
        <w:lastRenderedPageBreak/>
        <w:t>Pokiaľ ide</w:t>
      </w:r>
      <w:r w:rsidR="00FB1918">
        <w:t xml:space="preserve"> o </w:t>
      </w:r>
      <w:r w:rsidRPr="00FB1918">
        <w:t>záväzky použiteľné pri záchrane pomocou vnútorných zdrojov, ktoré sa riadia právnymi predpismi tretej krajiny,</w:t>
      </w:r>
      <w:r w:rsidR="00FB1918">
        <w:t xml:space="preserve"> v </w:t>
      </w:r>
      <w:r w:rsidRPr="00FB1918">
        <w:t>článku 45i ods. 5 smernice 2014/59/EÚ sa takisto vyžaduje, aby EBA vypracoval návrh vykonávacích technických predpisov</w:t>
      </w:r>
      <w:r w:rsidR="00FB1918">
        <w:t xml:space="preserve"> s </w:t>
      </w:r>
      <w:r w:rsidRPr="00FB1918">
        <w:t>cieľom stanoviť štandardizovaný spôsob poskytovania informácií,</w:t>
      </w:r>
      <w:r w:rsidR="00FB1918">
        <w:t xml:space="preserve"> v </w:t>
      </w:r>
      <w:r w:rsidRPr="00FB1918">
        <w:t>rámci ktorého sa uvádzajú tretie krajiny, ktorých právne predpisy upravujú takéto záväzky,</w:t>
      </w:r>
      <w:r w:rsidR="00FB1918">
        <w:t xml:space="preserve"> a v </w:t>
      </w:r>
      <w:r w:rsidRPr="00FB1918">
        <w:t>prípade každej identifikovanej tretej krajiny sa uvádza, či takéto záväzky obsahujú zmluvnú podmienku uznávajúcu, že podľa uvedenej smernice môžu podliehať právomoci na odpísanie</w:t>
      </w:r>
      <w:r w:rsidR="00FB1918">
        <w:t xml:space="preserve"> a </w:t>
      </w:r>
      <w:r w:rsidRPr="00FB1918">
        <w:t>konverziu. Vzhľadom na potrebu ďalej posudzovať úroveň podrobnosti vykazovania týchto prvkov orgán EBA vypracuje</w:t>
      </w:r>
      <w:r w:rsidR="00FB1918">
        <w:t xml:space="preserve"> a </w:t>
      </w:r>
      <w:r w:rsidRPr="00FB1918">
        <w:t>včas predloží Komisii súvisiace pokyny</w:t>
      </w:r>
      <w:r w:rsidR="00FB1918">
        <w:t xml:space="preserve"> a </w:t>
      </w:r>
      <w:r w:rsidRPr="00FB1918">
        <w:t>vzory, aby sa príslušným orgánom aj orgánom pre riešenie krízových situácií umožnil pravidelný prístup</w:t>
      </w:r>
      <w:r w:rsidR="00FB1918">
        <w:t xml:space="preserve"> k </w:t>
      </w:r>
      <w:r w:rsidRPr="00FB1918">
        <w:t>týmto informáciám. Neexistencia týchto obmedzených dodatočných prvkov nebude ovplyvňovať ani zdržiavať uplatňovanie požiadaviek na vykazovanie stanovených</w:t>
      </w:r>
      <w:r w:rsidR="00FB1918">
        <w:t xml:space="preserve"> v </w:t>
      </w:r>
      <w:r w:rsidRPr="00FB1918">
        <w:t>tomto nariadení.</w:t>
      </w:r>
    </w:p>
    <w:p w14:paraId="788E6C04" w14:textId="55C7CBFF" w:rsidR="00FB1918" w:rsidRDefault="00911C0D" w:rsidP="00911C0D">
      <w:pPr>
        <w:pStyle w:val="Considrant"/>
      </w:pPr>
      <w:r w:rsidRPr="00FB1918">
        <w:t>Zverejňujúce subjekty by mali pri posudzovaní toho, či sú informácie podstatné, interné alebo dôverné</w:t>
      </w:r>
      <w:r w:rsidR="00FB1918">
        <w:t xml:space="preserve"> v </w:t>
      </w:r>
      <w:r w:rsidRPr="00FB1918">
        <w:t>súlade</w:t>
      </w:r>
      <w:r w:rsidR="00FB1918">
        <w:t xml:space="preserve"> s </w:t>
      </w:r>
      <w:r w:rsidRPr="00FB1918">
        <w:t>článkom 432 nariadenia (EÚ) č. 575/2013, zohľadniť príslušné usmernenia, ktoré vydal EBA</w:t>
      </w:r>
      <w:r w:rsidR="00FB1918">
        <w:t>.</w:t>
      </w:r>
    </w:p>
    <w:p w14:paraId="334E45CF" w14:textId="7C85BD6E" w:rsidR="00911C0D" w:rsidRPr="00FB1918" w:rsidRDefault="00911C0D" w:rsidP="00911C0D">
      <w:pPr>
        <w:pStyle w:val="Considrant"/>
      </w:pPr>
      <w:r w:rsidRPr="00FB1918">
        <w:t>Povinnosť podávať správy</w:t>
      </w:r>
      <w:r w:rsidR="00FB1918">
        <w:t xml:space="preserve"> a </w:t>
      </w:r>
      <w:r w:rsidRPr="00FB1918">
        <w:t>zverejňovať informácie</w:t>
      </w:r>
      <w:r w:rsidR="00FB1918">
        <w:t xml:space="preserve"> o </w:t>
      </w:r>
      <w:r w:rsidRPr="00FB1918">
        <w:t>TLAC stanovená</w:t>
      </w:r>
      <w:r w:rsidR="00FB1918">
        <w:t xml:space="preserve"> v </w:t>
      </w:r>
      <w:r w:rsidRPr="00FB1918">
        <w:t>článku 430 ods. 1 písm. b), článku 437a</w:t>
      </w:r>
      <w:r w:rsidR="00FB1918">
        <w:t xml:space="preserve"> a </w:t>
      </w:r>
      <w:r w:rsidRPr="00FB1918">
        <w:t>článku 447 písm. h) nariadenia (EÚ) č. 575/2013 sa uplatňuje od 27</w:t>
      </w:r>
      <w:r w:rsidR="00FB1918">
        <w:t>. júna</w:t>
      </w:r>
      <w:r w:rsidRPr="00FB1918">
        <w:t xml:space="preserve"> 2019</w:t>
      </w:r>
      <w:r w:rsidR="00FB1918">
        <w:t xml:space="preserve"> v </w:t>
      </w:r>
      <w:r w:rsidRPr="00FB1918">
        <w:t>súlade</w:t>
      </w:r>
      <w:r w:rsidR="00FB1918">
        <w:t xml:space="preserve"> s </w:t>
      </w:r>
      <w:r w:rsidRPr="00FB1918">
        <w:t>článkom 3 ods. 3 druhým pododsekom nariadenia (EÚ) 2019/876. Po nadobudnutí účinnosti tohto nariadenia by preto G-SII</w:t>
      </w:r>
      <w:r w:rsidR="00FB1918">
        <w:t xml:space="preserve"> a </w:t>
      </w:r>
      <w:r w:rsidRPr="00FB1918">
        <w:t>významné dcérske spoločnosti G-SII mimo EÚ mali okamžite zverejniť informácie</w:t>
      </w:r>
      <w:r w:rsidR="00FB1918">
        <w:t xml:space="preserve"> o </w:t>
      </w:r>
      <w:r w:rsidRPr="00FB1918">
        <w:t>TLAC</w:t>
      </w:r>
      <w:r w:rsidR="00FB1918">
        <w:t xml:space="preserve"> s </w:t>
      </w:r>
      <w:r w:rsidRPr="00FB1918">
        <w:t>použitím vzorov</w:t>
      </w:r>
      <w:r w:rsidR="00FB1918">
        <w:t xml:space="preserve"> a </w:t>
      </w:r>
      <w:r w:rsidRPr="00FB1918">
        <w:t>podľa pokynov stanovených</w:t>
      </w:r>
      <w:r w:rsidR="00FB1918">
        <w:t xml:space="preserve"> v </w:t>
      </w:r>
      <w:r w:rsidRPr="00FB1918">
        <w:t>tomto nariadení. Na rozdiel od toho by sa vykazovanie požiadavky na TLAC</w:t>
      </w:r>
      <w:r w:rsidR="00FB1918">
        <w:t xml:space="preserve"> v </w:t>
      </w:r>
      <w:r w:rsidRPr="00FB1918">
        <w:t>súlade</w:t>
      </w:r>
      <w:r w:rsidR="00FB1918">
        <w:t xml:space="preserve"> s </w:t>
      </w:r>
      <w:r w:rsidRPr="00FB1918">
        <w:t>týmto nariadením malo začať uplatňovať až od 28</w:t>
      </w:r>
      <w:r w:rsidR="00FB1918">
        <w:t>. júna</w:t>
      </w:r>
      <w:r w:rsidRPr="00FB1918">
        <w:t xml:space="preserve"> 2021, aby sa inštitúciám</w:t>
      </w:r>
      <w:r w:rsidR="00FB1918">
        <w:t xml:space="preserve"> a </w:t>
      </w:r>
      <w:r w:rsidRPr="00FB1918">
        <w:t>príslušným orgánom poskytol dostatočný čas na vykonanie príslušných požiadaviek.</w:t>
      </w:r>
    </w:p>
    <w:p w14:paraId="53AF131F" w14:textId="6DA00F6A" w:rsidR="00FB1918" w:rsidRDefault="00911C0D" w:rsidP="00911C0D">
      <w:pPr>
        <w:pStyle w:val="Considrant"/>
        <w:rPr>
          <w:color w:val="000000"/>
        </w:rPr>
      </w:pPr>
      <w:r w:rsidRPr="00FB1918">
        <w:rPr>
          <w:color w:val="000000"/>
        </w:rPr>
        <w:t>Pokiaľ ide</w:t>
      </w:r>
      <w:r w:rsidR="00FB1918">
        <w:rPr>
          <w:color w:val="000000"/>
        </w:rPr>
        <w:t xml:space="preserve"> o </w:t>
      </w:r>
      <w:r w:rsidRPr="00FB1918">
        <w:rPr>
          <w:color w:val="000000"/>
        </w:rPr>
        <w:t>MREL, povinnosti</w:t>
      </w:r>
      <w:r w:rsidR="00FB1918">
        <w:rPr>
          <w:color w:val="000000"/>
        </w:rPr>
        <w:t xml:space="preserve"> v </w:t>
      </w:r>
      <w:r w:rsidRPr="00FB1918">
        <w:rPr>
          <w:color w:val="000000"/>
        </w:rPr>
        <w:t>oblasti vykazovania stanovené</w:t>
      </w:r>
      <w:r w:rsidR="00FB1918">
        <w:rPr>
          <w:color w:val="000000"/>
        </w:rPr>
        <w:t xml:space="preserve"> v </w:t>
      </w:r>
      <w:r w:rsidRPr="00FB1918">
        <w:rPr>
          <w:color w:val="000000"/>
        </w:rPr>
        <w:t>smernici 2014/59/EÚ sa majú uplatňovať najneskôr od 28</w:t>
      </w:r>
      <w:r w:rsidR="00FB1918">
        <w:rPr>
          <w:color w:val="000000"/>
        </w:rPr>
        <w:t>. decembra</w:t>
      </w:r>
      <w:r w:rsidRPr="00FB1918">
        <w:rPr>
          <w:color w:val="000000"/>
        </w:rPr>
        <w:t xml:space="preserve"> 2020.</w:t>
      </w:r>
      <w:r w:rsidR="00FB1918">
        <w:rPr>
          <w:color w:val="000000"/>
        </w:rPr>
        <w:t xml:space="preserve"> Z </w:t>
      </w:r>
      <w:r w:rsidRPr="00FB1918">
        <w:rPr>
          <w:color w:val="000000"/>
        </w:rPr>
        <w:t>rovnakých dôvodov ako</w:t>
      </w:r>
      <w:r w:rsidR="00FB1918">
        <w:rPr>
          <w:color w:val="000000"/>
        </w:rPr>
        <w:t xml:space="preserve"> v </w:t>
      </w:r>
      <w:r w:rsidRPr="00FB1918">
        <w:rPr>
          <w:color w:val="000000"/>
        </w:rPr>
        <w:t>prípade TLAC by však všetky inštitúcie mali vykazovať informácie</w:t>
      </w:r>
      <w:r w:rsidR="00FB1918">
        <w:rPr>
          <w:color w:val="000000"/>
        </w:rPr>
        <w:t xml:space="preserve"> o </w:t>
      </w:r>
      <w:r w:rsidRPr="00FB1918">
        <w:rPr>
          <w:color w:val="000000"/>
        </w:rPr>
        <w:t>MREL</w:t>
      </w:r>
      <w:r w:rsidR="00FB1918">
        <w:rPr>
          <w:color w:val="000000"/>
        </w:rPr>
        <w:t xml:space="preserve"> s </w:t>
      </w:r>
      <w:r w:rsidRPr="00FB1918">
        <w:rPr>
          <w:color w:val="000000"/>
        </w:rPr>
        <w:t>použitím vzorov</w:t>
      </w:r>
      <w:r w:rsidR="00FB1918">
        <w:rPr>
          <w:color w:val="000000"/>
        </w:rPr>
        <w:t xml:space="preserve"> a </w:t>
      </w:r>
      <w:r w:rsidRPr="00FB1918">
        <w:rPr>
          <w:color w:val="000000"/>
        </w:rPr>
        <w:t>podľa pokynov stanovených</w:t>
      </w:r>
      <w:r w:rsidR="00FB1918">
        <w:rPr>
          <w:color w:val="000000"/>
        </w:rPr>
        <w:t xml:space="preserve"> v </w:t>
      </w:r>
      <w:r w:rsidRPr="00FB1918">
        <w:rPr>
          <w:color w:val="000000"/>
        </w:rPr>
        <w:t>tomto nariadení od 28</w:t>
      </w:r>
      <w:r w:rsidR="00FB1918">
        <w:rPr>
          <w:color w:val="000000"/>
        </w:rPr>
        <w:t>. júna</w:t>
      </w:r>
      <w:r w:rsidRPr="00FB1918">
        <w:rPr>
          <w:color w:val="000000"/>
        </w:rPr>
        <w:t xml:space="preserve"> 2021. Naopak, dátum začatia uplatňovania povinností zverejňovať informácie</w:t>
      </w:r>
      <w:r w:rsidR="00FB1918">
        <w:rPr>
          <w:color w:val="000000"/>
        </w:rPr>
        <w:t xml:space="preserve"> o </w:t>
      </w:r>
      <w:r w:rsidRPr="00FB1918">
        <w:rPr>
          <w:color w:val="000000"/>
        </w:rPr>
        <w:t>MREL by sa mal zhodovať</w:t>
      </w:r>
      <w:r w:rsidR="00FB1918">
        <w:rPr>
          <w:color w:val="000000"/>
        </w:rPr>
        <w:t xml:space="preserve"> s </w:t>
      </w:r>
      <w:r w:rsidRPr="00FB1918">
        <w:rPr>
          <w:color w:val="000000"/>
        </w:rPr>
        <w:t>koncom prechodného obdobia podľa článku 45m ods. 1 tretieho pododseku smernice 2014/59/EÚ, t. j. najskôr 1</w:t>
      </w:r>
      <w:r w:rsidR="00FB1918">
        <w:rPr>
          <w:color w:val="000000"/>
        </w:rPr>
        <w:t>. januára</w:t>
      </w:r>
      <w:r w:rsidRPr="00FB1918">
        <w:rPr>
          <w:color w:val="000000"/>
        </w:rPr>
        <w:t xml:space="preserve"> 2024</w:t>
      </w:r>
      <w:r w:rsidR="00FB1918">
        <w:rPr>
          <w:color w:val="000000"/>
        </w:rPr>
        <w:t>.</w:t>
      </w:r>
    </w:p>
    <w:p w14:paraId="2DD0CD74" w14:textId="42A22265" w:rsidR="00FB1918" w:rsidRDefault="00EA09E4" w:rsidP="00EA09E4">
      <w:pPr>
        <w:pStyle w:val="Considrant"/>
      </w:pPr>
      <w:r w:rsidRPr="00FB1918">
        <w:t>Vzhľadom na potrebu, aby inštitúcie, príslušné orgány</w:t>
      </w:r>
      <w:r w:rsidR="00FB1918">
        <w:t xml:space="preserve"> a </w:t>
      </w:r>
      <w:r w:rsidRPr="00FB1918">
        <w:t>orgány pre riešenie krízových situácií upravili svoje systémy vykazovania</w:t>
      </w:r>
      <w:r w:rsidR="00FB1918">
        <w:t xml:space="preserve"> a </w:t>
      </w:r>
      <w:r w:rsidRPr="00FB1918">
        <w:t>elektronické systémy podľa požiadaviek stanovených</w:t>
      </w:r>
      <w:r w:rsidR="00FB1918">
        <w:t xml:space="preserve"> v </w:t>
      </w:r>
      <w:r w:rsidRPr="00FB1918">
        <w:t>tomto nariadení, by dátumy zasielania štvrťročného vykazovania údajov</w:t>
      </w:r>
      <w:r w:rsidR="00FB1918">
        <w:t xml:space="preserve"> k </w:t>
      </w:r>
      <w:r w:rsidRPr="00FB1918">
        <w:t>referenčnému dátumu 30</w:t>
      </w:r>
      <w:r w:rsidR="00FB1918">
        <w:t>. júna</w:t>
      </w:r>
      <w:r w:rsidRPr="00FB1918">
        <w:t xml:space="preserve"> 2021 mali byť najneskôr 30</w:t>
      </w:r>
      <w:r w:rsidR="00FB1918">
        <w:t>. septembra</w:t>
      </w:r>
      <w:r w:rsidRPr="00FB1918">
        <w:t xml:space="preserve"> 2021</w:t>
      </w:r>
      <w:r w:rsidR="00FB1918">
        <w:t>.</w:t>
      </w:r>
    </w:p>
    <w:p w14:paraId="059DCDED" w14:textId="113C5200" w:rsidR="00911C0D" w:rsidRPr="00FB1918" w:rsidRDefault="00911C0D" w:rsidP="00911C0D">
      <w:pPr>
        <w:pStyle w:val="Considrant"/>
      </w:pPr>
      <w:r w:rsidRPr="00FB1918">
        <w:t>Toto nariadenie vychádza</w:t>
      </w:r>
      <w:r w:rsidR="00FB1918">
        <w:t xml:space="preserve"> z </w:t>
      </w:r>
      <w:r w:rsidRPr="00FB1918">
        <w:t>návrhu vykonávacích technických predpisov, ktoré EBA predložil Komisii.</w:t>
      </w:r>
    </w:p>
    <w:p w14:paraId="11F1B273" w14:textId="23F25D90" w:rsidR="00911C0D" w:rsidRPr="00FB1918" w:rsidRDefault="00911C0D" w:rsidP="00911C0D">
      <w:pPr>
        <w:pStyle w:val="Considrant"/>
        <w:rPr>
          <w:color w:val="000000"/>
        </w:rPr>
      </w:pPr>
      <w:r w:rsidRPr="00FB1918">
        <w:t>Orgán EBA uskutočnil otvorené verejné konzultácie</w:t>
      </w:r>
      <w:r w:rsidR="00FB1918">
        <w:t xml:space="preserve"> o </w:t>
      </w:r>
      <w:r w:rsidRPr="00FB1918">
        <w:t>návrhu vykonávacích technických predpisov,</w:t>
      </w:r>
      <w:r w:rsidR="00FB1918">
        <w:t xml:space="preserve"> z </w:t>
      </w:r>
      <w:r w:rsidRPr="00FB1918">
        <w:t>ktorých vychádza toto nariadenie, analyzoval možné súvisiace náklady</w:t>
      </w:r>
      <w:r w:rsidR="00FB1918">
        <w:t xml:space="preserve"> a </w:t>
      </w:r>
      <w:r w:rsidRPr="00FB1918">
        <w:t>prínosy</w:t>
      </w:r>
      <w:r w:rsidR="00FB1918">
        <w:t xml:space="preserve"> a </w:t>
      </w:r>
      <w:r w:rsidRPr="00FB1918">
        <w:t>požiadal</w:t>
      </w:r>
      <w:r w:rsidR="00FB1918">
        <w:t xml:space="preserve"> o </w:t>
      </w:r>
      <w:r w:rsidRPr="00FB1918">
        <w:t>poradenstvo Skupinu zainteresovaných strán</w:t>
      </w:r>
      <w:r w:rsidR="00FB1918">
        <w:t xml:space="preserve"> v </w:t>
      </w:r>
      <w:r w:rsidRPr="00FB1918">
        <w:t>bankovníctve zriadenú</w:t>
      </w:r>
      <w:r w:rsidR="00FB1918">
        <w:t xml:space="preserve"> v </w:t>
      </w:r>
      <w:r w:rsidRPr="00FB1918">
        <w:t>súlade</w:t>
      </w:r>
      <w:r w:rsidR="00FB1918">
        <w:t xml:space="preserve"> s </w:t>
      </w:r>
      <w:r w:rsidRPr="00FB1918">
        <w:t>článkom 37 nariadenia Európskeho parlamentu</w:t>
      </w:r>
      <w:r w:rsidR="00FB1918">
        <w:t xml:space="preserve"> a </w:t>
      </w:r>
      <w:r w:rsidRPr="00FB1918">
        <w:t>Rady (EÚ) č. 1093/2010</w:t>
      </w:r>
      <w:r w:rsidRPr="00FB1918">
        <w:rPr>
          <w:rStyle w:val="FootnoteReference"/>
        </w:rPr>
        <w:footnoteReference w:id="5"/>
      </w:r>
      <w:r w:rsidRPr="00FB1918">
        <w:t>,</w:t>
      </w:r>
    </w:p>
    <w:p w14:paraId="0057A5D8" w14:textId="77777777" w:rsidR="00911C0D" w:rsidRPr="00FB1918" w:rsidRDefault="00911C0D" w:rsidP="00911C0D">
      <w:pPr>
        <w:pStyle w:val="Formuledadoption"/>
      </w:pPr>
      <w:r w:rsidRPr="00FB1918">
        <w:lastRenderedPageBreak/>
        <w:t>PRIJALA TOTO NARIADENIE:</w:t>
      </w:r>
    </w:p>
    <w:p w14:paraId="3D820E8F" w14:textId="77777777" w:rsidR="00911C0D" w:rsidRPr="00FB1918" w:rsidRDefault="00911C0D" w:rsidP="00911C0D">
      <w:pPr>
        <w:pStyle w:val="SectionTitle"/>
        <w:rPr>
          <w:b w:val="0"/>
          <w:i/>
        </w:rPr>
      </w:pPr>
      <w:r w:rsidRPr="00FB1918">
        <w:rPr>
          <w:b w:val="0"/>
          <w:i/>
        </w:rPr>
        <w:t>HLAVA I</w:t>
      </w:r>
      <w:r w:rsidRPr="00FB1918">
        <w:t xml:space="preserve"> </w:t>
      </w:r>
      <w:r w:rsidRPr="00FB1918">
        <w:br/>
      </w:r>
      <w:r w:rsidRPr="00FB1918">
        <w:rPr>
          <w:b w:val="0"/>
          <w:i/>
        </w:rPr>
        <w:t>VYKAZOVANIE NA ÚČELY DOHĽADU</w:t>
      </w:r>
    </w:p>
    <w:p w14:paraId="41755B8B" w14:textId="77777777" w:rsidR="00911C0D" w:rsidRPr="00FB1918" w:rsidRDefault="00911C0D" w:rsidP="00911C0D">
      <w:pPr>
        <w:pStyle w:val="Titrearticle"/>
      </w:pPr>
      <w:r w:rsidRPr="00FB1918">
        <w:t xml:space="preserve">Článok </w:t>
      </w:r>
      <w:r w:rsidR="00227472" w:rsidRPr="00FB1918">
        <w:fldChar w:fldCharType="begin"/>
      </w:r>
      <w:r w:rsidR="00227472" w:rsidRPr="00FB1918">
        <w:instrText xml:space="preserve"> SEQ Figure \* ARABIC </w:instrText>
      </w:r>
      <w:r w:rsidR="00227472" w:rsidRPr="00FB1918">
        <w:fldChar w:fldCharType="separate"/>
      </w:r>
      <w:r w:rsidRPr="00FB1918">
        <w:t>1</w:t>
      </w:r>
      <w:r w:rsidR="00227472" w:rsidRPr="00FB1918">
        <w:fldChar w:fldCharType="end"/>
      </w:r>
      <w:r w:rsidRPr="00FB1918">
        <w:t xml:space="preserve"> </w:t>
      </w:r>
      <w:r w:rsidRPr="00FB1918">
        <w:br/>
        <w:t>Referenčné dátumy vykazovania</w:t>
      </w:r>
    </w:p>
    <w:p w14:paraId="4E45B252" w14:textId="7E87DADB" w:rsidR="00911C0D" w:rsidRPr="00FB1918" w:rsidRDefault="00911C0D" w:rsidP="00911C0D">
      <w:pPr>
        <w:keepNext/>
        <w:keepLines/>
        <w:spacing w:before="360"/>
      </w:pPr>
      <w:r w:rsidRPr="00FB1918">
        <w:t>Subjekty, na ktoré sa vzťahujú požiadavky na vykazovanie týkajúce sa celkovej kapacity na absorpciu strát (TLAC)</w:t>
      </w:r>
      <w:r w:rsidR="00FB1918">
        <w:t xml:space="preserve"> a </w:t>
      </w:r>
      <w:r w:rsidRPr="00FB1918">
        <w:t>minimálna požiadavka na vlastné zdroje</w:t>
      </w:r>
      <w:r w:rsidR="00FB1918">
        <w:t xml:space="preserve"> a </w:t>
      </w:r>
      <w:r w:rsidRPr="00FB1918">
        <w:t>oprávnené záväzky (MREL) na individuálnom alebo konsolidovanom základe (vykazujúce subjekty), predkladajú príslušným orgánom</w:t>
      </w:r>
      <w:r w:rsidR="00FB1918">
        <w:t xml:space="preserve"> a </w:t>
      </w:r>
      <w:r w:rsidRPr="00FB1918">
        <w:t>orgánom pre riešenie krízových situácií informácie platné</w:t>
      </w:r>
      <w:r w:rsidR="00FB1918">
        <w:t xml:space="preserve"> k </w:t>
      </w:r>
      <w:r w:rsidRPr="00FB1918">
        <w:t>týmto referenčným dátumom podávania správ:</w:t>
      </w:r>
    </w:p>
    <w:p w14:paraId="62D6D0EC" w14:textId="14374D28" w:rsidR="00911C0D" w:rsidRPr="00FB1918" w:rsidRDefault="00911C0D" w:rsidP="00911C0D">
      <w:pPr>
        <w:pStyle w:val="Point0"/>
      </w:pPr>
      <w:r w:rsidRPr="00FB1918">
        <w:t>a)</w:t>
      </w:r>
      <w:r w:rsidRPr="00FB1918">
        <w:tab/>
        <w:t>štvrťročné vykazovanie: 31. marec, 30. jún, 30. september</w:t>
      </w:r>
      <w:r w:rsidR="00FB1918">
        <w:t xml:space="preserve"> a </w:t>
      </w:r>
      <w:r w:rsidRPr="00FB1918">
        <w:t>31. december;</w:t>
      </w:r>
    </w:p>
    <w:p w14:paraId="6619E578" w14:textId="5EAA9056" w:rsidR="00911C0D" w:rsidRPr="00FB1918" w:rsidRDefault="00911C0D" w:rsidP="00911C0D">
      <w:pPr>
        <w:pStyle w:val="Point0"/>
      </w:pPr>
      <w:r w:rsidRPr="00FB1918">
        <w:t>b)</w:t>
      </w:r>
      <w:r w:rsidRPr="00FB1918">
        <w:tab/>
        <w:t>polročné vykazovanie: 30. jún</w:t>
      </w:r>
      <w:r w:rsidR="00FB1918">
        <w:t xml:space="preserve"> a </w:t>
      </w:r>
      <w:r w:rsidRPr="00FB1918">
        <w:t>31. december;</w:t>
      </w:r>
    </w:p>
    <w:p w14:paraId="0A85107A" w14:textId="77777777" w:rsidR="00911C0D" w:rsidRPr="00FB1918" w:rsidRDefault="00911C0D" w:rsidP="00911C0D">
      <w:pPr>
        <w:pStyle w:val="Point0"/>
      </w:pPr>
      <w:r w:rsidRPr="00FB1918">
        <w:t>c)</w:t>
      </w:r>
      <w:r w:rsidRPr="00FB1918">
        <w:tab/>
        <w:t>ročné vykazovanie: 31. december.</w:t>
      </w:r>
    </w:p>
    <w:p w14:paraId="2DD5D0AB" w14:textId="77777777" w:rsidR="00911C0D" w:rsidRPr="00FB1918" w:rsidRDefault="00911C0D" w:rsidP="00911C0D">
      <w:pPr>
        <w:pStyle w:val="Titrearticle"/>
      </w:pPr>
      <w:r w:rsidRPr="00FB1918">
        <w:t xml:space="preserve">Článok </w:t>
      </w:r>
      <w:r w:rsidR="00227472" w:rsidRPr="00FB1918">
        <w:fldChar w:fldCharType="begin"/>
      </w:r>
      <w:r w:rsidR="00227472" w:rsidRPr="00FB1918">
        <w:instrText xml:space="preserve"> SEQ Figure \* ARABIC </w:instrText>
      </w:r>
      <w:r w:rsidR="00227472" w:rsidRPr="00FB1918">
        <w:fldChar w:fldCharType="separate"/>
      </w:r>
      <w:r w:rsidRPr="00FB1918">
        <w:t>2</w:t>
      </w:r>
      <w:r w:rsidR="00227472" w:rsidRPr="00FB1918">
        <w:fldChar w:fldCharType="end"/>
      </w:r>
      <w:r w:rsidRPr="00FB1918">
        <w:t xml:space="preserve"> </w:t>
      </w:r>
      <w:r w:rsidRPr="00FB1918">
        <w:br/>
        <w:t>Dátumy zasielania</w:t>
      </w:r>
    </w:p>
    <w:p w14:paraId="7EB2FA5F" w14:textId="767EC71E" w:rsidR="00911C0D" w:rsidRPr="00FB1918" w:rsidRDefault="00911C0D" w:rsidP="00080A21">
      <w:pPr>
        <w:pStyle w:val="NumPar1"/>
        <w:numPr>
          <w:ilvl w:val="0"/>
          <w:numId w:val="2"/>
        </w:numPr>
      </w:pPr>
      <w:r w:rsidRPr="00FB1918">
        <w:t>Vykazujúce subjekty predkladajú príslušným orgánom</w:t>
      </w:r>
      <w:r w:rsidR="00FB1918">
        <w:t xml:space="preserve"> a </w:t>
      </w:r>
      <w:r w:rsidRPr="00FB1918">
        <w:t>orgánom pre riešenie krízových situácií informácie do konca pracovnej doby</w:t>
      </w:r>
      <w:r w:rsidR="00FB1918">
        <w:t xml:space="preserve"> v </w:t>
      </w:r>
      <w:r w:rsidRPr="00FB1918">
        <w:t>týchto dátumoch zasielania:</w:t>
      </w:r>
    </w:p>
    <w:p w14:paraId="333C0EF1" w14:textId="4D933735" w:rsidR="00911C0D" w:rsidRPr="00FB1918" w:rsidRDefault="00FB1918" w:rsidP="00FB1918">
      <w:pPr>
        <w:pStyle w:val="Point1"/>
      </w:pPr>
      <w:r w:rsidRPr="00FB1918">
        <w:t>a)</w:t>
      </w:r>
      <w:r w:rsidRPr="00FB1918">
        <w:tab/>
      </w:r>
      <w:r w:rsidR="00911C0D" w:rsidRPr="00FB1918">
        <w:t>štvrťročné vykazovanie: 19. máj, 18. august, 18. november</w:t>
      </w:r>
      <w:r>
        <w:t xml:space="preserve"> a </w:t>
      </w:r>
      <w:r w:rsidR="00911C0D" w:rsidRPr="00FB1918">
        <w:t>18. február,</w:t>
      </w:r>
      <w:r>
        <w:t xml:space="preserve"> s </w:t>
      </w:r>
      <w:r w:rsidR="00911C0D" w:rsidRPr="00FB1918">
        <w:t>výnimkou údajov</w:t>
      </w:r>
      <w:r>
        <w:t xml:space="preserve"> k </w:t>
      </w:r>
      <w:r w:rsidR="00911C0D" w:rsidRPr="00FB1918">
        <w:t>referenčnému dátumu 30</w:t>
      </w:r>
      <w:r>
        <w:t>. júna</w:t>
      </w:r>
      <w:r w:rsidR="00911C0D" w:rsidRPr="00FB1918">
        <w:t xml:space="preserve"> 2021,</w:t>
      </w:r>
      <w:r>
        <w:t xml:space="preserve"> v </w:t>
      </w:r>
      <w:r w:rsidR="00911C0D" w:rsidRPr="00FB1918">
        <w:t>prípade ktorých musí byť dátum zasielania najneskôr 30</w:t>
      </w:r>
      <w:r>
        <w:t>. septembra</w:t>
      </w:r>
      <w:r w:rsidR="00911C0D" w:rsidRPr="00FB1918">
        <w:t xml:space="preserve"> 2021;</w:t>
      </w:r>
    </w:p>
    <w:p w14:paraId="2215F3EB" w14:textId="29855E74" w:rsidR="00911C0D" w:rsidRPr="00FB1918" w:rsidRDefault="00FB1918" w:rsidP="00FB1918">
      <w:pPr>
        <w:pStyle w:val="Point1"/>
      </w:pPr>
      <w:r w:rsidRPr="00FB1918">
        <w:t>b)</w:t>
      </w:r>
      <w:r w:rsidRPr="00FB1918">
        <w:tab/>
      </w:r>
      <w:r w:rsidR="00911C0D" w:rsidRPr="00FB1918">
        <w:t>polročné vykazovanie: 18. august</w:t>
      </w:r>
      <w:r>
        <w:t xml:space="preserve"> a </w:t>
      </w:r>
      <w:r w:rsidR="00911C0D" w:rsidRPr="00FB1918">
        <w:t>18. február;</w:t>
      </w:r>
    </w:p>
    <w:p w14:paraId="3F3B32F9" w14:textId="44A7C30E" w:rsidR="00911C0D" w:rsidRPr="00FB1918" w:rsidRDefault="00FB1918" w:rsidP="00FB1918">
      <w:pPr>
        <w:pStyle w:val="Point1"/>
      </w:pPr>
      <w:r w:rsidRPr="00FB1918">
        <w:t>c)</w:t>
      </w:r>
      <w:r w:rsidRPr="00FB1918">
        <w:tab/>
      </w:r>
      <w:r w:rsidR="00911C0D" w:rsidRPr="00FB1918">
        <w:t>ročné vykazovanie: 18. február.</w:t>
      </w:r>
    </w:p>
    <w:p w14:paraId="5D1F4190" w14:textId="4805D8A6" w:rsidR="00911C0D" w:rsidRPr="00FB1918" w:rsidRDefault="00911C0D" w:rsidP="00911C0D">
      <w:pPr>
        <w:pStyle w:val="NumPar1"/>
      </w:pPr>
      <w:r w:rsidRPr="00FB1918">
        <w:t>Ak</w:t>
      </w:r>
      <w:r w:rsidR="00FB1918">
        <w:t xml:space="preserve"> v </w:t>
      </w:r>
      <w:r w:rsidRPr="00FB1918">
        <w:t>členskom štáte príslušného orgánu alebo orgánu pre riešenie krízových situácií, ktorému sa majú predkladať informácie uvedené</w:t>
      </w:r>
      <w:r w:rsidR="00FB1918">
        <w:t xml:space="preserve"> v </w:t>
      </w:r>
      <w:r w:rsidRPr="00FB1918">
        <w:t>odseku 1, pripadá dátum zasielania na štátny sviatok alebo na sobotu či nedeľu, dané informácie sa predkladajú do konca pracovnej doby nasledujúceho pracovného dňa.</w:t>
      </w:r>
    </w:p>
    <w:p w14:paraId="0162BF17" w14:textId="77777777" w:rsidR="00FB1918" w:rsidRDefault="00911C0D" w:rsidP="00911C0D">
      <w:pPr>
        <w:pStyle w:val="NumPar1"/>
      </w:pPr>
      <w:r w:rsidRPr="00FB1918">
        <w:t>Vykazujúce subjekty môžu predkladať údaje, ku ktorým externý audítor neposkytol stanovisko (neauditované údaje). Ak sa údaje auditované externým audítorom, ktorý vyjadruje audítorské stanovisko (auditované údaje), odlišujú od predložených neauditovaných údajov, vykazujúce subjekty bez zbytočného odkladu predložia revidované, auditované údaje</w:t>
      </w:r>
      <w:r w:rsidR="00FB1918">
        <w:t>.</w:t>
      </w:r>
    </w:p>
    <w:p w14:paraId="449A6FE1" w14:textId="435000F2" w:rsidR="00911C0D" w:rsidRPr="00FB1918" w:rsidRDefault="00911C0D" w:rsidP="00911C0D">
      <w:pPr>
        <w:pStyle w:val="NumPar1"/>
      </w:pPr>
      <w:r w:rsidRPr="00FB1918">
        <w:t>Vykazujúce subjekty bez zbytočného odkladu predložia príslušným orgánom</w:t>
      </w:r>
      <w:r w:rsidR="00FB1918">
        <w:t xml:space="preserve"> a </w:t>
      </w:r>
      <w:r w:rsidRPr="00FB1918">
        <w:t>orgánom pre riešenie krízových situácií akékoľvek ďalšie opravy.</w:t>
      </w:r>
    </w:p>
    <w:p w14:paraId="73C2EE64" w14:textId="31E2927B" w:rsidR="00911C0D" w:rsidRPr="00FB1918" w:rsidRDefault="00911C0D" w:rsidP="00911C0D">
      <w:pPr>
        <w:pStyle w:val="Titrearticle"/>
      </w:pPr>
      <w:r w:rsidRPr="00FB1918">
        <w:t xml:space="preserve">Článok </w:t>
      </w:r>
      <w:r w:rsidR="00227472" w:rsidRPr="00FB1918">
        <w:fldChar w:fldCharType="begin"/>
      </w:r>
      <w:r w:rsidR="00227472" w:rsidRPr="00FB1918">
        <w:instrText xml:space="preserve"> SEQ Figure \* ARABIC </w:instrText>
      </w:r>
      <w:r w:rsidR="00227472" w:rsidRPr="00FB1918">
        <w:fldChar w:fldCharType="separate"/>
      </w:r>
      <w:r w:rsidRPr="00FB1918">
        <w:t>3</w:t>
      </w:r>
      <w:r w:rsidR="00227472" w:rsidRPr="00FB1918">
        <w:fldChar w:fldCharType="end"/>
      </w:r>
      <w:r w:rsidRPr="00FB1918">
        <w:t xml:space="preserve"> </w:t>
      </w:r>
      <w:r w:rsidRPr="00FB1918">
        <w:br/>
        <w:t>Formát</w:t>
      </w:r>
      <w:r w:rsidR="00FB1918" w:rsidRPr="00FB1918">
        <w:t xml:space="preserve"> a </w:t>
      </w:r>
      <w:r w:rsidRPr="00FB1918">
        <w:t>frekvencia vykazovania subjektmi, ktorých krízová situácia sa rieši, na individuálnom základe</w:t>
      </w:r>
    </w:p>
    <w:p w14:paraId="18406280" w14:textId="7994A812" w:rsidR="00911C0D" w:rsidRPr="00FB1918" w:rsidRDefault="00911C0D" w:rsidP="00080A21">
      <w:pPr>
        <w:pStyle w:val="NumPar1"/>
        <w:numPr>
          <w:ilvl w:val="0"/>
          <w:numId w:val="1"/>
        </w:numPr>
      </w:pPr>
      <w:r w:rsidRPr="00FB1918">
        <w:t>Subjekty, ktorých krízová situácia sa rieši, bez dcérskych spoločností, na ktoré sa vzťahujú požiadavky stanovené</w:t>
      </w:r>
      <w:r w:rsidR="00FB1918">
        <w:t xml:space="preserve"> v </w:t>
      </w:r>
      <w:r w:rsidRPr="00FB1918">
        <w:t>článku 45 smernice 2014/59/EÚ</w:t>
      </w:r>
      <w:r w:rsidR="00FB1918">
        <w:t xml:space="preserve"> v </w:t>
      </w:r>
      <w:r w:rsidRPr="00FB1918">
        <w:t>súlade</w:t>
      </w:r>
      <w:r w:rsidR="00FB1918">
        <w:t xml:space="preserve"> s </w:t>
      </w:r>
      <w:r w:rsidRPr="00FB1918">
        <w:t>článkom 45e uvedenej smernice, predkladajú príslušným orgánom</w:t>
      </w:r>
      <w:r w:rsidR="00FB1918">
        <w:t xml:space="preserve"> a </w:t>
      </w:r>
      <w:r w:rsidRPr="00FB1918">
        <w:t>orgánom pre riešenie krízových situácií informácie na individuálnom základe takto:</w:t>
      </w:r>
    </w:p>
    <w:p w14:paraId="790F78D3" w14:textId="457B287F" w:rsidR="00911C0D" w:rsidRPr="00FB1918" w:rsidRDefault="00FB1918" w:rsidP="00FB1918">
      <w:pPr>
        <w:pStyle w:val="Point1"/>
      </w:pPr>
      <w:r w:rsidRPr="00FB1918">
        <w:lastRenderedPageBreak/>
        <w:t>a)</w:t>
      </w:r>
      <w:r w:rsidRPr="00FB1918">
        <w:tab/>
      </w:r>
      <w:r w:rsidR="00911C0D" w:rsidRPr="00FB1918">
        <w:t>informácie</w:t>
      </w:r>
      <w:r>
        <w:t xml:space="preserve"> o </w:t>
      </w:r>
      <w:r w:rsidR="00911C0D" w:rsidRPr="00FB1918">
        <w:t>kľúčových parametroch uvedené</w:t>
      </w:r>
      <w:r>
        <w:t xml:space="preserve"> v </w:t>
      </w:r>
      <w:r w:rsidR="00911C0D" w:rsidRPr="00FB1918">
        <w:t>stĺpci 0010 vzoru 1 prílohy I</w:t>
      </w:r>
      <w:r>
        <w:t xml:space="preserve"> k </w:t>
      </w:r>
      <w:r w:rsidR="00911C0D" w:rsidRPr="00FB1918">
        <w:t>tomuto nariadeniu sa vykazujú štvrťročne</w:t>
      </w:r>
      <w:r>
        <w:t xml:space="preserve"> v </w:t>
      </w:r>
      <w:r w:rsidR="00911C0D" w:rsidRPr="00FB1918">
        <w:t>súlade</w:t>
      </w:r>
      <w:r>
        <w:t xml:space="preserve"> s </w:t>
      </w:r>
      <w:r w:rsidR="00911C0D" w:rsidRPr="00FB1918">
        <w:t>pokynmi</w:t>
      </w:r>
      <w:r>
        <w:t xml:space="preserve"> v </w:t>
      </w:r>
      <w:r w:rsidR="00911C0D" w:rsidRPr="00FB1918">
        <w:t>časti II bode 1 prílohy II</w:t>
      </w:r>
      <w:r>
        <w:t xml:space="preserve"> k </w:t>
      </w:r>
      <w:r w:rsidR="00911C0D" w:rsidRPr="00FB1918">
        <w:t>tomuto nariadeniu;</w:t>
      </w:r>
    </w:p>
    <w:p w14:paraId="619B3CEC" w14:textId="16CE3B89" w:rsidR="00911C0D" w:rsidRPr="00FB1918" w:rsidRDefault="00FB1918" w:rsidP="00FB1918">
      <w:pPr>
        <w:pStyle w:val="Point1"/>
      </w:pPr>
      <w:r w:rsidRPr="00FB1918">
        <w:t>b)</w:t>
      </w:r>
      <w:r w:rsidRPr="00FB1918">
        <w:tab/>
      </w:r>
      <w:r w:rsidR="00911C0D" w:rsidRPr="00FB1918">
        <w:t>informácie</w:t>
      </w:r>
      <w:r>
        <w:t xml:space="preserve"> o </w:t>
      </w:r>
      <w:r w:rsidR="00911C0D" w:rsidRPr="00FB1918">
        <w:t>zložení vlastných zdrojov</w:t>
      </w:r>
      <w:r>
        <w:t xml:space="preserve"> a </w:t>
      </w:r>
      <w:r w:rsidR="00911C0D" w:rsidRPr="00FB1918">
        <w:t>oprávnených záväzkov uvedené</w:t>
      </w:r>
      <w:r>
        <w:t xml:space="preserve"> v </w:t>
      </w:r>
      <w:r w:rsidR="00911C0D" w:rsidRPr="00FB1918">
        <w:t>stĺpci 0010 vzoru 2 prílohy I</w:t>
      </w:r>
      <w:r>
        <w:t xml:space="preserve"> k </w:t>
      </w:r>
      <w:r w:rsidR="00911C0D" w:rsidRPr="00FB1918">
        <w:t>tomuto nariadeniu sa vykazujú štvrťročne</w:t>
      </w:r>
      <w:r>
        <w:t xml:space="preserve"> v </w:t>
      </w:r>
      <w:r w:rsidR="00911C0D" w:rsidRPr="00FB1918">
        <w:t>súlade</w:t>
      </w:r>
      <w:r>
        <w:t xml:space="preserve"> s </w:t>
      </w:r>
      <w:r w:rsidR="00911C0D" w:rsidRPr="00FB1918">
        <w:t>pokynmi</w:t>
      </w:r>
      <w:r>
        <w:t xml:space="preserve"> v </w:t>
      </w:r>
      <w:r w:rsidR="00911C0D" w:rsidRPr="00FB1918">
        <w:t>časti II bode 2.1 prílohy II</w:t>
      </w:r>
      <w:r>
        <w:t xml:space="preserve"> k </w:t>
      </w:r>
      <w:r w:rsidR="00911C0D" w:rsidRPr="00FB1918">
        <w:t>tomuto nariadeniu;</w:t>
      </w:r>
    </w:p>
    <w:p w14:paraId="1B7D16C2" w14:textId="018AB925" w:rsidR="00911C0D" w:rsidRPr="00FB1918" w:rsidRDefault="00FB1918" w:rsidP="00FB1918">
      <w:pPr>
        <w:pStyle w:val="Point1"/>
      </w:pPr>
      <w:r w:rsidRPr="00FB1918">
        <w:t>c)</w:t>
      </w:r>
      <w:r w:rsidRPr="00FB1918">
        <w:tab/>
      </w:r>
      <w:r w:rsidR="00911C0D" w:rsidRPr="00FB1918">
        <w:t>informácie</w:t>
      </w:r>
      <w:r>
        <w:t xml:space="preserve"> o </w:t>
      </w:r>
      <w:r w:rsidR="00911C0D" w:rsidRPr="00FB1918">
        <w:t>štruktúre financovania oprávnených záväzkov uvedené vo vzore 4 prílohy I</w:t>
      </w:r>
      <w:r>
        <w:t xml:space="preserve"> k </w:t>
      </w:r>
      <w:r w:rsidR="00911C0D" w:rsidRPr="00FB1918">
        <w:t>tomuto nariadeniu sa vykazujú štvrťročne</w:t>
      </w:r>
      <w:r>
        <w:t xml:space="preserve"> v </w:t>
      </w:r>
      <w:r w:rsidR="00911C0D" w:rsidRPr="00FB1918">
        <w:t>súlade</w:t>
      </w:r>
      <w:r>
        <w:t xml:space="preserve"> s </w:t>
      </w:r>
      <w:r w:rsidR="00911C0D" w:rsidRPr="00FB1918">
        <w:t>pokynmi</w:t>
      </w:r>
      <w:r>
        <w:t xml:space="preserve"> v </w:t>
      </w:r>
      <w:r w:rsidR="00911C0D" w:rsidRPr="00FB1918">
        <w:t>časti II bode 2.3 prílohy II</w:t>
      </w:r>
      <w:r>
        <w:t xml:space="preserve"> k </w:t>
      </w:r>
      <w:r w:rsidR="00911C0D" w:rsidRPr="00FB1918">
        <w:t>tomuto nariadeniu;</w:t>
      </w:r>
    </w:p>
    <w:p w14:paraId="28DECEF8" w14:textId="26674E2A" w:rsidR="00911C0D" w:rsidRPr="00FB1918" w:rsidRDefault="00FB1918" w:rsidP="00FB1918">
      <w:pPr>
        <w:pStyle w:val="Point1"/>
      </w:pPr>
      <w:r w:rsidRPr="00FB1918">
        <w:t>d)</w:t>
      </w:r>
      <w:r w:rsidRPr="00FB1918">
        <w:tab/>
      </w:r>
      <w:r w:rsidR="00911C0D" w:rsidRPr="00FB1918">
        <w:t>informácie</w:t>
      </w:r>
      <w:r>
        <w:t xml:space="preserve"> o </w:t>
      </w:r>
      <w:r w:rsidR="00911C0D" w:rsidRPr="00FB1918">
        <w:t>nástrojoch, ktoré sa riadia právom tretej krajiny, uvedené vo vzore 7 prílohy I</w:t>
      </w:r>
      <w:r>
        <w:t xml:space="preserve"> k </w:t>
      </w:r>
      <w:r w:rsidR="00911C0D" w:rsidRPr="00FB1918">
        <w:t>tomuto nariadeniu sa vykazujú štvrťročne</w:t>
      </w:r>
      <w:r>
        <w:t xml:space="preserve"> v </w:t>
      </w:r>
      <w:r w:rsidR="00911C0D" w:rsidRPr="00FB1918">
        <w:t>súlade</w:t>
      </w:r>
      <w:r>
        <w:t xml:space="preserve"> s </w:t>
      </w:r>
      <w:r w:rsidR="00911C0D" w:rsidRPr="00FB1918">
        <w:t>pokynmi</w:t>
      </w:r>
      <w:r>
        <w:t xml:space="preserve"> v </w:t>
      </w:r>
      <w:r w:rsidR="00911C0D" w:rsidRPr="00FB1918">
        <w:t>časti II bode 4 prílohy II</w:t>
      </w:r>
      <w:r>
        <w:t xml:space="preserve"> k </w:t>
      </w:r>
      <w:r w:rsidR="00911C0D" w:rsidRPr="00FB1918">
        <w:t>tomuto nariadeniu.</w:t>
      </w:r>
    </w:p>
    <w:p w14:paraId="06B6C64E" w14:textId="0B1C5ED9" w:rsidR="00911C0D" w:rsidRPr="00FB1918" w:rsidRDefault="00911C0D" w:rsidP="00080A21">
      <w:pPr>
        <w:pStyle w:val="NumPar1"/>
        <w:numPr>
          <w:ilvl w:val="0"/>
          <w:numId w:val="1"/>
        </w:numPr>
      </w:pPr>
      <w:r w:rsidRPr="00FB1918">
        <w:t>Subjekty, ktorých krízová situácia sa rieši, predkladajú príslušným orgánom</w:t>
      </w:r>
      <w:r w:rsidR="00FB1918">
        <w:t xml:space="preserve"> a </w:t>
      </w:r>
      <w:r w:rsidRPr="00FB1918">
        <w:t>orgánom pre riešenie krízových situácií informácie</w:t>
      </w:r>
      <w:r w:rsidR="00FB1918">
        <w:t xml:space="preserve"> o </w:t>
      </w:r>
      <w:r w:rsidRPr="00FB1918">
        <w:t>rozčlenení vlastných zdrojov</w:t>
      </w:r>
      <w:r w:rsidR="00FB1918">
        <w:t xml:space="preserve"> a </w:t>
      </w:r>
      <w:r w:rsidRPr="00FB1918">
        <w:t>záväzkov podľa postavenia</w:t>
      </w:r>
      <w:r w:rsidR="00FB1918">
        <w:t xml:space="preserve"> v </w:t>
      </w:r>
      <w:r w:rsidRPr="00FB1918">
        <w:t>konkurznom konaní uvedené vo vzore 6 prílohy I na individuálnom základe štvrťročne</w:t>
      </w:r>
      <w:r w:rsidR="00FB1918">
        <w:t xml:space="preserve"> v </w:t>
      </w:r>
      <w:r w:rsidRPr="00FB1918">
        <w:t>súlade</w:t>
      </w:r>
      <w:r w:rsidR="00FB1918">
        <w:t xml:space="preserve"> s </w:t>
      </w:r>
      <w:r w:rsidRPr="00FB1918">
        <w:t>pokynmi</w:t>
      </w:r>
      <w:r w:rsidR="00FB1918">
        <w:t xml:space="preserve"> v </w:t>
      </w:r>
      <w:r w:rsidRPr="00FB1918">
        <w:t>časti II bode 3.2 prílohy II.</w:t>
      </w:r>
    </w:p>
    <w:p w14:paraId="2CE25962" w14:textId="4A653BC8" w:rsidR="00911C0D" w:rsidRPr="00FB1918" w:rsidRDefault="00911C0D" w:rsidP="00080A21">
      <w:pPr>
        <w:pStyle w:val="NumPar1"/>
        <w:numPr>
          <w:ilvl w:val="0"/>
          <w:numId w:val="1"/>
        </w:numPr>
      </w:pPr>
      <w:r w:rsidRPr="00FB1918">
        <w:t>Okrem informácií uvedených</w:t>
      </w:r>
      <w:r w:rsidR="00FB1918">
        <w:t xml:space="preserve"> v </w:t>
      </w:r>
      <w:r w:rsidRPr="00FB1918">
        <w:t>odsekoch 1</w:t>
      </w:r>
      <w:r w:rsidR="00FB1918">
        <w:t xml:space="preserve"> a </w:t>
      </w:r>
      <w:r w:rsidRPr="00FB1918">
        <w:t>2 subjekty, ktorých krízová situácia sa rieši</w:t>
      </w:r>
      <w:r w:rsidR="00FB1918">
        <w:t xml:space="preserve"> a </w:t>
      </w:r>
      <w:r w:rsidRPr="00FB1918">
        <w:t>na ktoré sa vzťahuje požiadavka stanovená</w:t>
      </w:r>
      <w:r w:rsidR="00FB1918">
        <w:t xml:space="preserve"> v </w:t>
      </w:r>
      <w:r w:rsidRPr="00FB1918">
        <w:t>článku 92a nariadenia (EÚ) č.</w:t>
      </w:r>
      <w:r w:rsidR="00FB1918">
        <w:t> </w:t>
      </w:r>
      <w:r w:rsidRPr="00FB1918">
        <w:t>575/2013 na individuálnom základe</w:t>
      </w:r>
      <w:r w:rsidR="00FB1918">
        <w:t xml:space="preserve"> v </w:t>
      </w:r>
      <w:r w:rsidRPr="00FB1918">
        <w:t>súlade</w:t>
      </w:r>
      <w:r w:rsidR="00FB1918">
        <w:t xml:space="preserve"> s </w:t>
      </w:r>
      <w:r w:rsidRPr="00FB1918">
        <w:t>článkom 6 ods. 1a uvedeného nariadenia, predkladajú orgánom pre riešenie krízových situácií</w:t>
      </w:r>
      <w:r w:rsidR="00FB1918">
        <w:t xml:space="preserve"> a </w:t>
      </w:r>
      <w:r w:rsidRPr="00FB1918">
        <w:t>príslušným orgánom informácie na individuálnom základe takto:</w:t>
      </w:r>
    </w:p>
    <w:p w14:paraId="028BBD2D" w14:textId="0D559D19" w:rsidR="00911C0D" w:rsidRPr="00FB1918" w:rsidRDefault="00FB1918" w:rsidP="00FB1918">
      <w:pPr>
        <w:pStyle w:val="Point1"/>
      </w:pPr>
      <w:r w:rsidRPr="00FB1918">
        <w:t>a)</w:t>
      </w:r>
      <w:r w:rsidRPr="00FB1918">
        <w:tab/>
      </w:r>
      <w:r w:rsidR="00911C0D" w:rsidRPr="00FB1918">
        <w:t>informácie</w:t>
      </w:r>
      <w:r>
        <w:t xml:space="preserve"> o </w:t>
      </w:r>
      <w:r w:rsidR="00911C0D" w:rsidRPr="00FB1918">
        <w:t>kľúčových parametroch uvedené</w:t>
      </w:r>
      <w:r>
        <w:t xml:space="preserve"> v </w:t>
      </w:r>
      <w:r w:rsidR="00911C0D" w:rsidRPr="00FB1918">
        <w:t>stĺpci 0020 vzoru 1 prílohy I</w:t>
      </w:r>
      <w:r>
        <w:t xml:space="preserve"> k </w:t>
      </w:r>
      <w:r w:rsidR="00911C0D" w:rsidRPr="00FB1918">
        <w:t>tomuto nariadeniu sa vykazujú štvrťročne</w:t>
      </w:r>
      <w:r>
        <w:t xml:space="preserve"> v </w:t>
      </w:r>
      <w:r w:rsidR="00911C0D" w:rsidRPr="00FB1918">
        <w:t>súlade</w:t>
      </w:r>
      <w:r>
        <w:t xml:space="preserve"> s </w:t>
      </w:r>
      <w:r w:rsidR="00911C0D" w:rsidRPr="00FB1918">
        <w:t>pokynmi</w:t>
      </w:r>
      <w:r>
        <w:t xml:space="preserve"> v </w:t>
      </w:r>
      <w:r w:rsidR="00911C0D" w:rsidRPr="00FB1918">
        <w:t>časti II bode 1 prílohy II</w:t>
      </w:r>
      <w:r>
        <w:t xml:space="preserve"> k </w:t>
      </w:r>
      <w:r w:rsidR="00911C0D" w:rsidRPr="00FB1918">
        <w:t>tomuto nariadeniu;</w:t>
      </w:r>
    </w:p>
    <w:p w14:paraId="45E52025" w14:textId="02CAB84C" w:rsidR="00911C0D" w:rsidRPr="00FB1918" w:rsidRDefault="00FB1918" w:rsidP="00FB1918">
      <w:pPr>
        <w:pStyle w:val="Point1"/>
      </w:pPr>
      <w:r w:rsidRPr="00FB1918">
        <w:t>b)</w:t>
      </w:r>
      <w:r w:rsidRPr="00FB1918">
        <w:tab/>
      </w:r>
      <w:r w:rsidR="00911C0D" w:rsidRPr="00FB1918">
        <w:t>informácie</w:t>
      </w:r>
      <w:r>
        <w:t xml:space="preserve"> o </w:t>
      </w:r>
      <w:r w:rsidR="00911C0D" w:rsidRPr="00FB1918">
        <w:t>zložení vlastných zdrojov</w:t>
      </w:r>
      <w:r>
        <w:t xml:space="preserve"> a </w:t>
      </w:r>
      <w:r w:rsidR="00911C0D" w:rsidRPr="00FB1918">
        <w:t>oprávnených záväzkov uvedené</w:t>
      </w:r>
      <w:r>
        <w:t xml:space="preserve"> v </w:t>
      </w:r>
      <w:r w:rsidR="00911C0D" w:rsidRPr="00FB1918">
        <w:t>stĺpcoch 0020</w:t>
      </w:r>
      <w:r>
        <w:t xml:space="preserve"> a </w:t>
      </w:r>
      <w:r w:rsidR="00911C0D" w:rsidRPr="00FB1918">
        <w:t>0030 vzoru 2 prílohy I</w:t>
      </w:r>
      <w:r>
        <w:t xml:space="preserve"> k </w:t>
      </w:r>
      <w:r w:rsidR="00911C0D" w:rsidRPr="00FB1918">
        <w:t>tomuto nariadeniu sa vykazujú štvrťročne</w:t>
      </w:r>
      <w:r>
        <w:t xml:space="preserve"> v </w:t>
      </w:r>
      <w:r w:rsidR="00911C0D" w:rsidRPr="00FB1918">
        <w:t>súlade</w:t>
      </w:r>
      <w:r>
        <w:t xml:space="preserve"> s </w:t>
      </w:r>
      <w:r w:rsidR="00911C0D" w:rsidRPr="00FB1918">
        <w:t>pokynmi</w:t>
      </w:r>
      <w:r>
        <w:t xml:space="preserve"> v </w:t>
      </w:r>
      <w:r w:rsidR="00911C0D" w:rsidRPr="00FB1918">
        <w:t>časti II bode 2.1 prílohy II</w:t>
      </w:r>
      <w:r>
        <w:t xml:space="preserve"> k </w:t>
      </w:r>
      <w:r w:rsidR="00911C0D" w:rsidRPr="00FB1918">
        <w:t>tomuto nariadeniu.</w:t>
      </w:r>
    </w:p>
    <w:p w14:paraId="020EF926" w14:textId="7BE06E75" w:rsidR="00911C0D" w:rsidRPr="00FB1918" w:rsidRDefault="00911C0D" w:rsidP="00911C0D">
      <w:pPr>
        <w:pStyle w:val="Titrearticle"/>
      </w:pPr>
      <w:r w:rsidRPr="00FB1918">
        <w:t xml:space="preserve">Článok </w:t>
      </w:r>
      <w:r w:rsidR="00227472" w:rsidRPr="00FB1918">
        <w:fldChar w:fldCharType="begin"/>
      </w:r>
      <w:r w:rsidR="00227472" w:rsidRPr="00FB1918">
        <w:instrText xml:space="preserve"> SEQ Figure \* ARABIC </w:instrText>
      </w:r>
      <w:r w:rsidR="00227472" w:rsidRPr="00FB1918">
        <w:fldChar w:fldCharType="separate"/>
      </w:r>
      <w:r w:rsidRPr="00FB1918">
        <w:t>4</w:t>
      </w:r>
      <w:r w:rsidR="00227472" w:rsidRPr="00FB1918">
        <w:fldChar w:fldCharType="end"/>
      </w:r>
      <w:r w:rsidRPr="00FB1918">
        <w:t xml:space="preserve"> </w:t>
      </w:r>
      <w:r w:rsidRPr="00FB1918">
        <w:br/>
        <w:t>Formát</w:t>
      </w:r>
      <w:r w:rsidR="00FB1918" w:rsidRPr="00FB1918">
        <w:t xml:space="preserve"> a </w:t>
      </w:r>
      <w:r w:rsidRPr="00FB1918">
        <w:t>frekvencia vykazovania subjektmi, ktorých krízová situácia sa rieši, na konsolidovanom základe</w:t>
      </w:r>
    </w:p>
    <w:p w14:paraId="1378D8C9" w14:textId="261B2955" w:rsidR="00911C0D" w:rsidRPr="00FB1918" w:rsidRDefault="00911C0D" w:rsidP="00080A21">
      <w:pPr>
        <w:pStyle w:val="NumPar1"/>
        <w:numPr>
          <w:ilvl w:val="0"/>
          <w:numId w:val="3"/>
        </w:numPr>
      </w:pPr>
      <w:r w:rsidRPr="00FB1918">
        <w:t>Subjekty, ktorých krízová situácia sa rieši</w:t>
      </w:r>
      <w:r w:rsidR="00FB1918">
        <w:t xml:space="preserve"> a </w:t>
      </w:r>
      <w:r w:rsidRPr="00FB1918">
        <w:t>na ktoré sa vzťahujú požiadavky stanovené</w:t>
      </w:r>
      <w:r w:rsidR="00FB1918">
        <w:t xml:space="preserve"> v </w:t>
      </w:r>
      <w:r w:rsidRPr="00FB1918">
        <w:t>článku 45 smernice 2014/59/EÚ na konsolidovanom základe</w:t>
      </w:r>
      <w:r w:rsidR="00FB1918">
        <w:t xml:space="preserve"> v </w:t>
      </w:r>
      <w:r w:rsidRPr="00FB1918">
        <w:t>súlade</w:t>
      </w:r>
      <w:r w:rsidR="00FB1918">
        <w:t xml:space="preserve"> s </w:t>
      </w:r>
      <w:r w:rsidRPr="00FB1918">
        <w:t>článkom 45e uvedenej smernice, predkladajú príslušným orgánom</w:t>
      </w:r>
      <w:r w:rsidR="00FB1918">
        <w:t xml:space="preserve"> a </w:t>
      </w:r>
      <w:r w:rsidRPr="00FB1918">
        <w:t>orgánom pre riešenie krízových situácií informácie na konsolidovanom základe takto:</w:t>
      </w:r>
    </w:p>
    <w:p w14:paraId="1E21506B" w14:textId="703C594A" w:rsidR="00911C0D" w:rsidRPr="00FB1918" w:rsidRDefault="00FB1918" w:rsidP="00FB1918">
      <w:pPr>
        <w:pStyle w:val="Point1"/>
      </w:pPr>
      <w:r w:rsidRPr="00FB1918">
        <w:t>a)</w:t>
      </w:r>
      <w:r w:rsidRPr="00FB1918">
        <w:tab/>
      </w:r>
      <w:r w:rsidR="00911C0D" w:rsidRPr="00FB1918">
        <w:t>informácie</w:t>
      </w:r>
      <w:r>
        <w:t xml:space="preserve"> o </w:t>
      </w:r>
      <w:r w:rsidR="00911C0D" w:rsidRPr="00FB1918">
        <w:t>kľúčových parametroch uvedené</w:t>
      </w:r>
      <w:r>
        <w:t xml:space="preserve"> v </w:t>
      </w:r>
      <w:r w:rsidR="00911C0D" w:rsidRPr="00FB1918">
        <w:t>stĺpci 0010 vzoru 1 prílohy I</w:t>
      </w:r>
      <w:r>
        <w:t xml:space="preserve"> k </w:t>
      </w:r>
      <w:r w:rsidR="00911C0D" w:rsidRPr="00FB1918">
        <w:t>tomuto nariadeniu sa vykazujú štvrťročne</w:t>
      </w:r>
      <w:r>
        <w:t xml:space="preserve"> v </w:t>
      </w:r>
      <w:r w:rsidR="00911C0D" w:rsidRPr="00FB1918">
        <w:t>súlade</w:t>
      </w:r>
      <w:r>
        <w:t xml:space="preserve"> s </w:t>
      </w:r>
      <w:r w:rsidR="00911C0D" w:rsidRPr="00FB1918">
        <w:t>pokynmi</w:t>
      </w:r>
      <w:r>
        <w:t xml:space="preserve"> v </w:t>
      </w:r>
      <w:r w:rsidR="00911C0D" w:rsidRPr="00FB1918">
        <w:t>časti II bode 1 prílohy II</w:t>
      </w:r>
      <w:r>
        <w:t xml:space="preserve"> k </w:t>
      </w:r>
      <w:r w:rsidR="00911C0D" w:rsidRPr="00FB1918">
        <w:t>tomuto nariadeniu;</w:t>
      </w:r>
    </w:p>
    <w:p w14:paraId="7F16E897" w14:textId="47FCC20A" w:rsidR="00911C0D" w:rsidRPr="00FB1918" w:rsidRDefault="00FB1918" w:rsidP="00FB1918">
      <w:pPr>
        <w:pStyle w:val="Point1"/>
      </w:pPr>
      <w:r w:rsidRPr="00FB1918">
        <w:t>b)</w:t>
      </w:r>
      <w:r w:rsidRPr="00FB1918">
        <w:tab/>
      </w:r>
      <w:r w:rsidR="00911C0D" w:rsidRPr="00FB1918">
        <w:t>informácie</w:t>
      </w:r>
      <w:r>
        <w:t xml:space="preserve"> o </w:t>
      </w:r>
      <w:r w:rsidR="00911C0D" w:rsidRPr="00FB1918">
        <w:t>zložení vlastných zdrojov</w:t>
      </w:r>
      <w:r>
        <w:t xml:space="preserve"> a </w:t>
      </w:r>
      <w:r w:rsidR="00911C0D" w:rsidRPr="00FB1918">
        <w:t>oprávnených záväzkov uvedené</w:t>
      </w:r>
      <w:r>
        <w:t xml:space="preserve"> v </w:t>
      </w:r>
      <w:r w:rsidR="00911C0D" w:rsidRPr="00FB1918">
        <w:t>stĺpci 0010 vzoru 2 prílohy I</w:t>
      </w:r>
      <w:r>
        <w:t xml:space="preserve"> k </w:t>
      </w:r>
      <w:r w:rsidR="00911C0D" w:rsidRPr="00FB1918">
        <w:t>tomuto nariadeniu sa vykazujú štvrťročne</w:t>
      </w:r>
      <w:r>
        <w:t xml:space="preserve"> v </w:t>
      </w:r>
      <w:r w:rsidR="00911C0D" w:rsidRPr="00FB1918">
        <w:t>súlade</w:t>
      </w:r>
      <w:r>
        <w:t xml:space="preserve"> s </w:t>
      </w:r>
      <w:r w:rsidR="00911C0D" w:rsidRPr="00FB1918">
        <w:t>pokynmi</w:t>
      </w:r>
      <w:r>
        <w:t xml:space="preserve"> v </w:t>
      </w:r>
      <w:r w:rsidR="00911C0D" w:rsidRPr="00FB1918">
        <w:t>časti II bode 2.1 prílohy II</w:t>
      </w:r>
      <w:r>
        <w:t xml:space="preserve"> k </w:t>
      </w:r>
      <w:r w:rsidR="00911C0D" w:rsidRPr="00FB1918">
        <w:t>tomuto nariadeniu;</w:t>
      </w:r>
    </w:p>
    <w:p w14:paraId="2CE5F340" w14:textId="49AC2877" w:rsidR="00911C0D" w:rsidRPr="00FB1918" w:rsidRDefault="00FB1918" w:rsidP="00FB1918">
      <w:pPr>
        <w:pStyle w:val="Point1"/>
      </w:pPr>
      <w:r w:rsidRPr="00FB1918">
        <w:t>c)</w:t>
      </w:r>
      <w:r w:rsidRPr="00FB1918">
        <w:tab/>
      </w:r>
      <w:r w:rsidR="00911C0D" w:rsidRPr="00FB1918">
        <w:t>informácie</w:t>
      </w:r>
      <w:r>
        <w:t xml:space="preserve"> o </w:t>
      </w:r>
      <w:r w:rsidR="00911C0D" w:rsidRPr="00FB1918">
        <w:t>štruktúre financovania oprávnených záväzkov uvedené vo vzore 4 prílohy I</w:t>
      </w:r>
      <w:r>
        <w:t xml:space="preserve"> k </w:t>
      </w:r>
      <w:r w:rsidR="00911C0D" w:rsidRPr="00FB1918">
        <w:t>tomuto nariadeniu sa vykazujú štvrťročne</w:t>
      </w:r>
      <w:r>
        <w:t xml:space="preserve"> v </w:t>
      </w:r>
      <w:r w:rsidR="00911C0D" w:rsidRPr="00FB1918">
        <w:t>súlade</w:t>
      </w:r>
      <w:r>
        <w:t xml:space="preserve"> s </w:t>
      </w:r>
      <w:r w:rsidR="00911C0D" w:rsidRPr="00FB1918">
        <w:t>pokynmi</w:t>
      </w:r>
      <w:r>
        <w:t xml:space="preserve"> v </w:t>
      </w:r>
      <w:r w:rsidR="00911C0D" w:rsidRPr="00FB1918">
        <w:t>časti II bode 2.3 prílohy II</w:t>
      </w:r>
      <w:r>
        <w:t xml:space="preserve"> k </w:t>
      </w:r>
      <w:r w:rsidR="00911C0D" w:rsidRPr="00FB1918">
        <w:t>tomuto nariadeniu;</w:t>
      </w:r>
    </w:p>
    <w:p w14:paraId="0CB1A49C" w14:textId="30A238CA" w:rsidR="00911C0D" w:rsidRPr="00FB1918" w:rsidRDefault="00FB1918" w:rsidP="00FB1918">
      <w:pPr>
        <w:pStyle w:val="Point1"/>
      </w:pPr>
      <w:r w:rsidRPr="00FB1918">
        <w:lastRenderedPageBreak/>
        <w:t>d)</w:t>
      </w:r>
      <w:r w:rsidRPr="00FB1918">
        <w:tab/>
      </w:r>
      <w:r w:rsidR="00911C0D" w:rsidRPr="00FB1918">
        <w:t>informácie</w:t>
      </w:r>
      <w:r>
        <w:t xml:space="preserve"> o </w:t>
      </w:r>
      <w:r w:rsidR="00911C0D" w:rsidRPr="00FB1918">
        <w:t>nástrojoch, ktoré sa riadia právom tretej krajiny, uvedené vo vzore 7 prílohy I</w:t>
      </w:r>
      <w:r>
        <w:t xml:space="preserve"> k </w:t>
      </w:r>
      <w:r w:rsidR="00911C0D" w:rsidRPr="00FB1918">
        <w:t>tomuto nariadeniu sa vykazujú štvrťročne</w:t>
      </w:r>
      <w:r>
        <w:t xml:space="preserve"> v </w:t>
      </w:r>
      <w:r w:rsidR="00911C0D" w:rsidRPr="00FB1918">
        <w:t>súlade</w:t>
      </w:r>
      <w:r>
        <w:t xml:space="preserve"> s </w:t>
      </w:r>
      <w:r w:rsidR="00911C0D" w:rsidRPr="00FB1918">
        <w:t>pokynmi</w:t>
      </w:r>
      <w:r>
        <w:t xml:space="preserve"> v </w:t>
      </w:r>
      <w:r w:rsidR="00911C0D" w:rsidRPr="00FB1918">
        <w:t>časti II bode 4 prílohy II</w:t>
      </w:r>
      <w:r>
        <w:t xml:space="preserve"> k </w:t>
      </w:r>
      <w:r w:rsidR="00911C0D" w:rsidRPr="00FB1918">
        <w:t>tomuto nariadeniu.</w:t>
      </w:r>
    </w:p>
    <w:p w14:paraId="1604BDA8" w14:textId="7B65C897" w:rsidR="00911C0D" w:rsidRPr="00FB1918" w:rsidRDefault="00911C0D" w:rsidP="00080A21">
      <w:pPr>
        <w:pStyle w:val="NumPar1"/>
        <w:numPr>
          <w:ilvl w:val="0"/>
          <w:numId w:val="3"/>
        </w:numPr>
      </w:pPr>
      <w:r w:rsidRPr="00FB1918">
        <w:t>Okrem informácií uvedených</w:t>
      </w:r>
      <w:r w:rsidR="00FB1918">
        <w:t xml:space="preserve"> v </w:t>
      </w:r>
      <w:r w:rsidRPr="00FB1918">
        <w:t>odseku 1 subjekty, ktorých krízová situácia sa rieši</w:t>
      </w:r>
      <w:r w:rsidR="00FB1918">
        <w:t xml:space="preserve"> a </w:t>
      </w:r>
      <w:r w:rsidRPr="00FB1918">
        <w:t>na ktoré sa vzťahuje požiadavka stanovená</w:t>
      </w:r>
      <w:r w:rsidR="00FB1918">
        <w:t xml:space="preserve"> v </w:t>
      </w:r>
      <w:r w:rsidRPr="00FB1918">
        <w:t>článku 92a nariadenia (EÚ) č.</w:t>
      </w:r>
      <w:r w:rsidR="00FB1918">
        <w:t> </w:t>
      </w:r>
      <w:r w:rsidRPr="00FB1918">
        <w:t>575/2013 na konsolidovanom základe</w:t>
      </w:r>
      <w:r w:rsidR="00FB1918">
        <w:t xml:space="preserve"> v </w:t>
      </w:r>
      <w:r w:rsidRPr="00FB1918">
        <w:t>súlade</w:t>
      </w:r>
      <w:r w:rsidR="00FB1918">
        <w:t xml:space="preserve"> s </w:t>
      </w:r>
      <w:r w:rsidRPr="00FB1918">
        <w:t>článkom 11 ods. 3a uvedeného nariadenia, predkladajú príslušným orgánom</w:t>
      </w:r>
      <w:r w:rsidR="00FB1918">
        <w:t xml:space="preserve"> a </w:t>
      </w:r>
      <w:r w:rsidRPr="00FB1918">
        <w:t>orgánom pre riešenie krízových situácií informácie na konsolidovanom základe takto:</w:t>
      </w:r>
    </w:p>
    <w:p w14:paraId="4EEC865C" w14:textId="3D00252C" w:rsidR="00911C0D" w:rsidRPr="00FB1918" w:rsidRDefault="00FB1918" w:rsidP="00FB1918">
      <w:pPr>
        <w:pStyle w:val="Point1"/>
      </w:pPr>
      <w:r w:rsidRPr="00FB1918">
        <w:t>a)</w:t>
      </w:r>
      <w:r w:rsidRPr="00FB1918">
        <w:tab/>
      </w:r>
      <w:r w:rsidR="00911C0D" w:rsidRPr="00FB1918">
        <w:t>informácie</w:t>
      </w:r>
      <w:r>
        <w:t xml:space="preserve"> o </w:t>
      </w:r>
      <w:r w:rsidR="00911C0D" w:rsidRPr="00FB1918">
        <w:t>kľúčových parametroch uvedené</w:t>
      </w:r>
      <w:r>
        <w:t xml:space="preserve"> v </w:t>
      </w:r>
      <w:r w:rsidR="00911C0D" w:rsidRPr="00FB1918">
        <w:t>stĺpci 0020 vzoru 1 prílohy I</w:t>
      </w:r>
      <w:r>
        <w:t xml:space="preserve"> k </w:t>
      </w:r>
      <w:r w:rsidR="00911C0D" w:rsidRPr="00FB1918">
        <w:t>tomuto nariadeniu sa vykazujú štvrťročne</w:t>
      </w:r>
      <w:r>
        <w:t xml:space="preserve"> v </w:t>
      </w:r>
      <w:r w:rsidR="00911C0D" w:rsidRPr="00FB1918">
        <w:t>súlade</w:t>
      </w:r>
      <w:r>
        <w:t xml:space="preserve"> s </w:t>
      </w:r>
      <w:r w:rsidR="00911C0D" w:rsidRPr="00FB1918">
        <w:t>pokynmi</w:t>
      </w:r>
      <w:r>
        <w:t xml:space="preserve"> v </w:t>
      </w:r>
      <w:r w:rsidR="00911C0D" w:rsidRPr="00FB1918">
        <w:t>časti II bode 1 prílohy II</w:t>
      </w:r>
      <w:r>
        <w:t xml:space="preserve"> k </w:t>
      </w:r>
      <w:r w:rsidR="00911C0D" w:rsidRPr="00FB1918">
        <w:t>tomuto nariadeniu;</w:t>
      </w:r>
    </w:p>
    <w:p w14:paraId="62EB5754" w14:textId="4A37E734" w:rsidR="00911C0D" w:rsidRPr="00FB1918" w:rsidRDefault="00FB1918" w:rsidP="00FB1918">
      <w:pPr>
        <w:pStyle w:val="Point1"/>
      </w:pPr>
      <w:r w:rsidRPr="00FB1918">
        <w:t>b)</w:t>
      </w:r>
      <w:r w:rsidRPr="00FB1918">
        <w:tab/>
      </w:r>
      <w:r w:rsidR="00911C0D" w:rsidRPr="00FB1918">
        <w:t>informácie</w:t>
      </w:r>
      <w:r>
        <w:t xml:space="preserve"> o </w:t>
      </w:r>
      <w:r w:rsidR="00911C0D" w:rsidRPr="00FB1918">
        <w:t>zložení vlastných zdrojov</w:t>
      </w:r>
      <w:r>
        <w:t xml:space="preserve"> a </w:t>
      </w:r>
      <w:r w:rsidR="00911C0D" w:rsidRPr="00FB1918">
        <w:t>oprávnených záväzkov uvedené</w:t>
      </w:r>
      <w:r>
        <w:t xml:space="preserve"> v </w:t>
      </w:r>
      <w:r w:rsidR="00911C0D" w:rsidRPr="00FB1918">
        <w:t>stĺpcoch 0020</w:t>
      </w:r>
      <w:r>
        <w:t xml:space="preserve"> a </w:t>
      </w:r>
      <w:r w:rsidR="00911C0D" w:rsidRPr="00FB1918">
        <w:t>0030 vzoru 2 prílohy I</w:t>
      </w:r>
      <w:r>
        <w:t xml:space="preserve"> k </w:t>
      </w:r>
      <w:r w:rsidR="00911C0D" w:rsidRPr="00FB1918">
        <w:t>tomuto nariadeniu sa vykazujú štvrťročne</w:t>
      </w:r>
      <w:r>
        <w:t xml:space="preserve"> v </w:t>
      </w:r>
      <w:r w:rsidR="00911C0D" w:rsidRPr="00FB1918">
        <w:t>súlade</w:t>
      </w:r>
      <w:r>
        <w:t xml:space="preserve"> s </w:t>
      </w:r>
      <w:r w:rsidR="00911C0D" w:rsidRPr="00FB1918">
        <w:t>pokynmi</w:t>
      </w:r>
      <w:r>
        <w:t xml:space="preserve"> v </w:t>
      </w:r>
      <w:r w:rsidR="00911C0D" w:rsidRPr="00FB1918">
        <w:t>časti II bode 2.1 prílohy II</w:t>
      </w:r>
      <w:r>
        <w:t xml:space="preserve"> k </w:t>
      </w:r>
      <w:r w:rsidR="00911C0D" w:rsidRPr="00FB1918">
        <w:t>tomuto nariadeniu.</w:t>
      </w:r>
    </w:p>
    <w:p w14:paraId="79821E88" w14:textId="3E6A08A1" w:rsidR="00911C0D" w:rsidRPr="00FB1918" w:rsidRDefault="00911C0D" w:rsidP="00911C0D">
      <w:pPr>
        <w:pStyle w:val="Titrearticle"/>
      </w:pPr>
      <w:r w:rsidRPr="00FB1918">
        <w:t xml:space="preserve">Článok </w:t>
      </w:r>
      <w:r w:rsidR="00227472" w:rsidRPr="00FB1918">
        <w:fldChar w:fldCharType="begin"/>
      </w:r>
      <w:r w:rsidR="00227472" w:rsidRPr="00FB1918">
        <w:instrText xml:space="preserve"> SEQ Figure \* ARABIC </w:instrText>
      </w:r>
      <w:r w:rsidR="00227472" w:rsidRPr="00FB1918">
        <w:fldChar w:fldCharType="separate"/>
      </w:r>
      <w:r w:rsidRPr="00FB1918">
        <w:t>5</w:t>
      </w:r>
      <w:r w:rsidR="00227472" w:rsidRPr="00FB1918">
        <w:fldChar w:fldCharType="end"/>
      </w:r>
      <w:r w:rsidRPr="00FB1918">
        <w:t xml:space="preserve"> </w:t>
      </w:r>
      <w:r w:rsidRPr="00FB1918">
        <w:br/>
        <w:t>Formát</w:t>
      </w:r>
      <w:r w:rsidR="00FB1918" w:rsidRPr="00FB1918">
        <w:t xml:space="preserve"> a </w:t>
      </w:r>
      <w:r w:rsidRPr="00FB1918">
        <w:t>frekvencia vykazovania na individuálnom základe subjektmi, ktoré nie sú samy subjektmi, ktorých krízová situácia sa rieši,</w:t>
      </w:r>
      <w:r w:rsidR="00FB1918" w:rsidRPr="00FB1918">
        <w:t xml:space="preserve"> a </w:t>
      </w:r>
      <w:r w:rsidRPr="00FB1918">
        <w:t>významnými dcérskymi spoločnosťami globálnych systémovo významných inštitúcií mimo EÚ</w:t>
      </w:r>
    </w:p>
    <w:p w14:paraId="0FDA52A0" w14:textId="7CC92C87" w:rsidR="00911C0D" w:rsidRPr="00FB1918" w:rsidRDefault="00911C0D" w:rsidP="00080A21">
      <w:pPr>
        <w:pStyle w:val="NumPar1"/>
        <w:numPr>
          <w:ilvl w:val="0"/>
          <w:numId w:val="4"/>
        </w:numPr>
      </w:pPr>
      <w:r w:rsidRPr="00FB1918">
        <w:t>Subjekty, ktoré nie sú samy subjektmi, ktorých krízová situácia sa rieši,</w:t>
      </w:r>
      <w:r w:rsidR="00FB1918">
        <w:t xml:space="preserve"> a </w:t>
      </w:r>
      <w:r w:rsidRPr="00FB1918">
        <w:t>na ktoré sa vzťahujú požiadavky stanovené</w:t>
      </w:r>
      <w:r w:rsidR="00FB1918">
        <w:t xml:space="preserve"> v </w:t>
      </w:r>
      <w:r w:rsidRPr="00FB1918">
        <w:t>článku 45 smernice 2014/59/EÚ na individuálnom základe</w:t>
      </w:r>
      <w:r w:rsidR="00FB1918">
        <w:t xml:space="preserve"> v </w:t>
      </w:r>
      <w:r w:rsidRPr="00FB1918">
        <w:t>súlade</w:t>
      </w:r>
      <w:r w:rsidR="00FB1918">
        <w:t xml:space="preserve"> s </w:t>
      </w:r>
      <w:r w:rsidRPr="00FB1918">
        <w:t>článkom 45f uvedenej smernice, predkladajú príslušným orgánom</w:t>
      </w:r>
      <w:r w:rsidR="00FB1918">
        <w:t xml:space="preserve"> a </w:t>
      </w:r>
      <w:r w:rsidRPr="00FB1918">
        <w:t>orgánom pre riešenie krízových situácií informácie na individuálnom základe takto:</w:t>
      </w:r>
    </w:p>
    <w:p w14:paraId="45A08A7C" w14:textId="6E0DA74C" w:rsidR="00911C0D" w:rsidRPr="00FB1918" w:rsidRDefault="00FB1918" w:rsidP="00FB1918">
      <w:pPr>
        <w:pStyle w:val="Point1"/>
      </w:pPr>
      <w:r w:rsidRPr="00FB1918">
        <w:t>a)</w:t>
      </w:r>
      <w:r w:rsidRPr="00FB1918">
        <w:tab/>
      </w:r>
      <w:r w:rsidR="00911C0D" w:rsidRPr="00FB1918">
        <w:t>informácie</w:t>
      </w:r>
      <w:r>
        <w:t xml:space="preserve"> o </w:t>
      </w:r>
      <w:r w:rsidR="00911C0D" w:rsidRPr="00FB1918">
        <w:t>výške</w:t>
      </w:r>
      <w:r>
        <w:t xml:space="preserve"> a </w:t>
      </w:r>
      <w:r w:rsidR="00911C0D" w:rsidRPr="00FB1918">
        <w:t>zložení vlastných zdrojov</w:t>
      </w:r>
      <w:r>
        <w:t xml:space="preserve"> a </w:t>
      </w:r>
      <w:r w:rsidR="00911C0D" w:rsidRPr="00FB1918">
        <w:t>oprávnených záväzkov uvedené</w:t>
      </w:r>
      <w:r>
        <w:t xml:space="preserve"> v </w:t>
      </w:r>
      <w:r w:rsidR="00911C0D" w:rsidRPr="00FB1918">
        <w:t>stĺpci 0010 vzoru 3 prílohy I</w:t>
      </w:r>
      <w:r>
        <w:t xml:space="preserve"> k </w:t>
      </w:r>
      <w:r w:rsidR="00911C0D" w:rsidRPr="00FB1918">
        <w:t>tomuto nariadeniu sa vykazujú štvrťročne</w:t>
      </w:r>
      <w:r>
        <w:t xml:space="preserve"> v </w:t>
      </w:r>
      <w:r w:rsidR="00911C0D" w:rsidRPr="00FB1918">
        <w:t>súlade</w:t>
      </w:r>
      <w:r>
        <w:t xml:space="preserve"> s </w:t>
      </w:r>
      <w:r w:rsidR="00911C0D" w:rsidRPr="00FB1918">
        <w:t>pokynmi</w:t>
      </w:r>
      <w:r>
        <w:t xml:space="preserve"> v </w:t>
      </w:r>
      <w:r w:rsidR="00911C0D" w:rsidRPr="00FB1918">
        <w:t>časti II bode 2.2 prílohy II</w:t>
      </w:r>
      <w:r>
        <w:t xml:space="preserve"> k </w:t>
      </w:r>
      <w:r w:rsidR="00911C0D" w:rsidRPr="00FB1918">
        <w:t>tomuto nariadeniu;</w:t>
      </w:r>
    </w:p>
    <w:p w14:paraId="3AED8007" w14:textId="10FA766E" w:rsidR="00911C0D" w:rsidRPr="00FB1918" w:rsidRDefault="00FB1918" w:rsidP="00FB1918">
      <w:pPr>
        <w:pStyle w:val="Point1"/>
      </w:pPr>
      <w:r w:rsidRPr="00FB1918">
        <w:t>b)</w:t>
      </w:r>
      <w:r w:rsidRPr="00FB1918">
        <w:tab/>
      </w:r>
      <w:r w:rsidR="00911C0D" w:rsidRPr="00FB1918">
        <w:t>informácie</w:t>
      </w:r>
      <w:r>
        <w:t xml:space="preserve"> o </w:t>
      </w:r>
      <w:r w:rsidR="00911C0D" w:rsidRPr="00FB1918">
        <w:t>štruktúre financovania oprávnených záväzkov uvedené vo vzore 4 prílohy I</w:t>
      </w:r>
      <w:r>
        <w:t xml:space="preserve"> k </w:t>
      </w:r>
      <w:r w:rsidR="00911C0D" w:rsidRPr="00FB1918">
        <w:t>tomuto nariadeniu sa vykazujú štvrťročne</w:t>
      </w:r>
      <w:r>
        <w:t xml:space="preserve"> v </w:t>
      </w:r>
      <w:r w:rsidR="00911C0D" w:rsidRPr="00FB1918">
        <w:t>súlade</w:t>
      </w:r>
      <w:r>
        <w:t xml:space="preserve"> s </w:t>
      </w:r>
      <w:r w:rsidR="00911C0D" w:rsidRPr="00FB1918">
        <w:t>pokynmi</w:t>
      </w:r>
      <w:r>
        <w:t xml:space="preserve"> v </w:t>
      </w:r>
      <w:r w:rsidR="00911C0D" w:rsidRPr="00FB1918">
        <w:t>časti II bode 2.3 prílohy II</w:t>
      </w:r>
      <w:r>
        <w:t xml:space="preserve"> k </w:t>
      </w:r>
      <w:r w:rsidR="00911C0D" w:rsidRPr="00FB1918">
        <w:t>tomuto nariadeniu;</w:t>
      </w:r>
    </w:p>
    <w:p w14:paraId="4455633C" w14:textId="4C1BE00C" w:rsidR="00911C0D" w:rsidRPr="00FB1918" w:rsidRDefault="00FB1918" w:rsidP="00FB1918">
      <w:pPr>
        <w:pStyle w:val="Point1"/>
      </w:pPr>
      <w:r w:rsidRPr="00FB1918">
        <w:t>c)</w:t>
      </w:r>
      <w:r w:rsidRPr="00FB1918">
        <w:tab/>
      </w:r>
      <w:r w:rsidR="00911C0D" w:rsidRPr="00FB1918">
        <w:t>informácie</w:t>
      </w:r>
      <w:r>
        <w:t xml:space="preserve"> o </w:t>
      </w:r>
      <w:r w:rsidR="00911C0D" w:rsidRPr="00FB1918">
        <w:t>nástrojoch, ktoré sa riadia právom tretej krajiny, uvedené vo vzore 7 prílohy I</w:t>
      </w:r>
      <w:r>
        <w:t xml:space="preserve"> k </w:t>
      </w:r>
      <w:r w:rsidR="00911C0D" w:rsidRPr="00FB1918">
        <w:t>tomuto nariadeniu sa vykazujú štvrťročne</w:t>
      </w:r>
      <w:r>
        <w:t xml:space="preserve"> v </w:t>
      </w:r>
      <w:r w:rsidR="00911C0D" w:rsidRPr="00FB1918">
        <w:t>súlade</w:t>
      </w:r>
      <w:r>
        <w:t xml:space="preserve"> s </w:t>
      </w:r>
      <w:r w:rsidR="00911C0D" w:rsidRPr="00FB1918">
        <w:t>pokynmi</w:t>
      </w:r>
      <w:r>
        <w:t xml:space="preserve"> v </w:t>
      </w:r>
      <w:r w:rsidR="00911C0D" w:rsidRPr="00FB1918">
        <w:t>časti II bode 4 prílohy II</w:t>
      </w:r>
      <w:r>
        <w:t xml:space="preserve"> k </w:t>
      </w:r>
      <w:r w:rsidR="00911C0D" w:rsidRPr="00FB1918">
        <w:t>tomuto nariadeniu.</w:t>
      </w:r>
    </w:p>
    <w:p w14:paraId="1ACCD4B5" w14:textId="2DE81FCE" w:rsidR="00911C0D" w:rsidRPr="00FB1918" w:rsidRDefault="00911C0D" w:rsidP="00080A21">
      <w:pPr>
        <w:pStyle w:val="NumPar1"/>
        <w:numPr>
          <w:ilvl w:val="0"/>
          <w:numId w:val="4"/>
        </w:numPr>
      </w:pPr>
      <w:r w:rsidRPr="00FB1918">
        <w:t>Subjekty, ktoré nie sú samy subjektmi, ktorých krízová situácia sa rieši, predkladajú príslušným orgánom</w:t>
      </w:r>
      <w:r w:rsidR="00FB1918">
        <w:t xml:space="preserve"> a </w:t>
      </w:r>
      <w:r w:rsidRPr="00FB1918">
        <w:t>orgánom pre riešenie krízových situácií informácie</w:t>
      </w:r>
      <w:r w:rsidR="00FB1918">
        <w:t xml:space="preserve"> o </w:t>
      </w:r>
      <w:r w:rsidRPr="00FB1918">
        <w:t>rozčlenení vlastných zdrojov</w:t>
      </w:r>
      <w:r w:rsidR="00FB1918">
        <w:t xml:space="preserve"> a </w:t>
      </w:r>
      <w:r w:rsidRPr="00FB1918">
        <w:t>záväzkov podľa postavenia</w:t>
      </w:r>
      <w:r w:rsidR="00FB1918">
        <w:t xml:space="preserve"> v </w:t>
      </w:r>
      <w:r w:rsidRPr="00FB1918">
        <w:t>konkurznom konaní uvedeného vo vzore 5 prílohy I na individuálnom základe štvrťročne</w:t>
      </w:r>
      <w:r w:rsidR="00FB1918">
        <w:t xml:space="preserve"> v </w:t>
      </w:r>
      <w:r w:rsidRPr="00FB1918">
        <w:t>súlade</w:t>
      </w:r>
      <w:r w:rsidR="00FB1918">
        <w:t xml:space="preserve"> s </w:t>
      </w:r>
      <w:r w:rsidRPr="00FB1918">
        <w:t>pokynmi</w:t>
      </w:r>
      <w:r w:rsidR="00FB1918">
        <w:t xml:space="preserve"> v </w:t>
      </w:r>
      <w:r w:rsidRPr="00FB1918">
        <w:t>časti II bode 3.1 prílohy II.</w:t>
      </w:r>
    </w:p>
    <w:p w14:paraId="3F08EA69" w14:textId="7A629B96" w:rsidR="00911C0D" w:rsidRPr="00FB1918" w:rsidRDefault="00911C0D" w:rsidP="00080A21">
      <w:pPr>
        <w:pStyle w:val="NumPar1"/>
        <w:numPr>
          <w:ilvl w:val="0"/>
          <w:numId w:val="4"/>
        </w:numPr>
      </w:pPr>
      <w:r w:rsidRPr="00FB1918">
        <w:t>Okrem informácií uvedených</w:t>
      </w:r>
      <w:r w:rsidR="00FB1918">
        <w:t xml:space="preserve"> v </w:t>
      </w:r>
      <w:r w:rsidRPr="00FB1918">
        <w:t>odsekoch 1</w:t>
      </w:r>
      <w:r w:rsidR="00FB1918">
        <w:t xml:space="preserve"> a </w:t>
      </w:r>
      <w:r w:rsidRPr="00FB1918">
        <w:t>2 subjekty, ktoré sú významnými dcérskymi spoločnosťami globálnych systémovo významných inštitúcií (G-SII) mimo EÚ</w:t>
      </w:r>
      <w:r w:rsidR="00FB1918">
        <w:t xml:space="preserve"> a </w:t>
      </w:r>
      <w:r w:rsidRPr="00FB1918">
        <w:t>na ktoré sa vzťahuje požiadavka stanovená</w:t>
      </w:r>
      <w:r w:rsidR="00FB1918">
        <w:t xml:space="preserve"> v </w:t>
      </w:r>
      <w:r w:rsidRPr="00FB1918">
        <w:t>článku 92b nariadenia (EÚ) č. 575/2013 na individuálnom základe</w:t>
      </w:r>
      <w:r w:rsidR="00FB1918">
        <w:t xml:space="preserve"> v </w:t>
      </w:r>
      <w:r w:rsidRPr="00FB1918">
        <w:t>súlade</w:t>
      </w:r>
      <w:r w:rsidR="00FB1918">
        <w:t xml:space="preserve"> s </w:t>
      </w:r>
      <w:r w:rsidRPr="00FB1918">
        <w:t>článkom 6 ods. 1a uvedeného nariadenia, predkladajú príslušným orgánom</w:t>
      </w:r>
      <w:r w:rsidR="00FB1918">
        <w:t xml:space="preserve"> a </w:t>
      </w:r>
      <w:r w:rsidRPr="00FB1918">
        <w:t>orgánom pre riešenie krízových situácií informácie</w:t>
      </w:r>
      <w:r w:rsidR="00FB1918">
        <w:t xml:space="preserve"> o </w:t>
      </w:r>
      <w:r w:rsidRPr="00FB1918">
        <w:t>výške</w:t>
      </w:r>
      <w:r w:rsidR="00FB1918">
        <w:t xml:space="preserve"> a </w:t>
      </w:r>
      <w:r w:rsidRPr="00FB1918">
        <w:t>zložení vlastných zdrojov</w:t>
      </w:r>
      <w:r w:rsidR="00FB1918">
        <w:t xml:space="preserve"> a </w:t>
      </w:r>
      <w:r w:rsidRPr="00FB1918">
        <w:t>oprávnených záväzkov uvedené</w:t>
      </w:r>
      <w:r w:rsidR="00FB1918">
        <w:t xml:space="preserve"> v </w:t>
      </w:r>
      <w:r w:rsidRPr="00FB1918">
        <w:t>stĺpci 0020 vzoru 3 prílohy I</w:t>
      </w:r>
      <w:r w:rsidR="00FB1918">
        <w:t xml:space="preserve"> k </w:t>
      </w:r>
      <w:r w:rsidRPr="00FB1918">
        <w:t xml:space="preserve">tomuto nariadeniu na individuálnom </w:t>
      </w:r>
      <w:r w:rsidRPr="00FB1918">
        <w:lastRenderedPageBreak/>
        <w:t>základe štvrťročne</w:t>
      </w:r>
      <w:r w:rsidR="00FB1918">
        <w:t xml:space="preserve"> v </w:t>
      </w:r>
      <w:r w:rsidRPr="00FB1918">
        <w:t>súlade</w:t>
      </w:r>
      <w:r w:rsidR="00FB1918">
        <w:t xml:space="preserve"> s </w:t>
      </w:r>
      <w:r w:rsidRPr="00FB1918">
        <w:t>pokynmi</w:t>
      </w:r>
      <w:r w:rsidR="00FB1918">
        <w:t xml:space="preserve"> v </w:t>
      </w:r>
      <w:r w:rsidRPr="00FB1918">
        <w:t>časti II bode 2.2 prílohy II</w:t>
      </w:r>
      <w:r w:rsidR="00FB1918">
        <w:t xml:space="preserve"> k </w:t>
      </w:r>
      <w:r w:rsidRPr="00FB1918">
        <w:t>tomuto nariadeniu.</w:t>
      </w:r>
    </w:p>
    <w:p w14:paraId="007672C5" w14:textId="77777777" w:rsidR="00FB1918" w:rsidRPr="00FB1918" w:rsidRDefault="00911C0D" w:rsidP="00911C0D">
      <w:pPr>
        <w:pStyle w:val="Titrearticle"/>
      </w:pPr>
      <w:r w:rsidRPr="00FB1918">
        <w:t xml:space="preserve">Článok </w:t>
      </w:r>
      <w:r w:rsidR="00227472" w:rsidRPr="00FB1918">
        <w:fldChar w:fldCharType="begin"/>
      </w:r>
      <w:r w:rsidR="00227472" w:rsidRPr="00FB1918">
        <w:instrText xml:space="preserve"> SEQ Figure \* ARABIC </w:instrText>
      </w:r>
      <w:r w:rsidR="00227472" w:rsidRPr="00FB1918">
        <w:fldChar w:fldCharType="separate"/>
      </w:r>
      <w:r w:rsidRPr="00FB1918">
        <w:t>6</w:t>
      </w:r>
      <w:r w:rsidR="00227472" w:rsidRPr="00FB1918">
        <w:fldChar w:fldCharType="end"/>
      </w:r>
      <w:r w:rsidRPr="00FB1918">
        <w:t xml:space="preserve"> </w:t>
      </w:r>
      <w:r w:rsidRPr="00FB1918">
        <w:br/>
        <w:t>Formát</w:t>
      </w:r>
      <w:r w:rsidR="00FB1918" w:rsidRPr="00FB1918">
        <w:t xml:space="preserve"> a </w:t>
      </w:r>
      <w:r w:rsidRPr="00FB1918">
        <w:t>frekvencia vykazovania na konsolidovanom základe subjektmi, ktoré nie sú samy subjektmi, ktorých krízová situácia sa rieši,</w:t>
      </w:r>
      <w:r w:rsidR="00FB1918" w:rsidRPr="00FB1918">
        <w:t xml:space="preserve"> a </w:t>
      </w:r>
      <w:r w:rsidRPr="00FB1918">
        <w:t>významnými dcérskymi spoločnosťami globálnych systémovo významných inštitúcií mimo EÚ</w:t>
      </w:r>
    </w:p>
    <w:p w14:paraId="5D1AFD35" w14:textId="517E9712" w:rsidR="00911C0D" w:rsidRPr="00FB1918" w:rsidRDefault="00911C0D" w:rsidP="00080A21">
      <w:pPr>
        <w:pStyle w:val="NumPar1"/>
        <w:numPr>
          <w:ilvl w:val="0"/>
          <w:numId w:val="5"/>
        </w:numPr>
      </w:pPr>
      <w:r w:rsidRPr="00FB1918">
        <w:t>Subjekty, ktoré nie sú samy subjektmi, ktorých krízová situácia sa rieši,</w:t>
      </w:r>
      <w:r w:rsidR="00FB1918">
        <w:t xml:space="preserve"> a </w:t>
      </w:r>
      <w:r w:rsidRPr="00FB1918">
        <w:t>na ktoré sa vzťahujú požiadavky stanovené</w:t>
      </w:r>
      <w:r w:rsidR="00FB1918">
        <w:t xml:space="preserve"> v </w:t>
      </w:r>
      <w:r w:rsidRPr="00FB1918">
        <w:t>článku 45 smernice 2014/59/EÚ na konsolidovanom základe</w:t>
      </w:r>
      <w:r w:rsidR="00FB1918">
        <w:t xml:space="preserve"> v </w:t>
      </w:r>
      <w:r w:rsidRPr="00FB1918">
        <w:t>súlade</w:t>
      </w:r>
      <w:r w:rsidR="00FB1918">
        <w:t xml:space="preserve"> s </w:t>
      </w:r>
      <w:r w:rsidRPr="00FB1918">
        <w:t>článkom 45f uvedenej smernice, predkladajú príslušným orgánom</w:t>
      </w:r>
      <w:r w:rsidR="00FB1918">
        <w:t xml:space="preserve"> a </w:t>
      </w:r>
      <w:r w:rsidRPr="00FB1918">
        <w:t>orgánom pre riešenie krízových situácií informácie na konsolidovanom základe takto:</w:t>
      </w:r>
    </w:p>
    <w:p w14:paraId="6F70BBA8" w14:textId="0DF7B278" w:rsidR="00911C0D" w:rsidRPr="00FB1918" w:rsidRDefault="00FB1918" w:rsidP="00FB1918">
      <w:pPr>
        <w:pStyle w:val="Point1"/>
      </w:pPr>
      <w:r w:rsidRPr="00FB1918">
        <w:t>a)</w:t>
      </w:r>
      <w:r w:rsidRPr="00FB1918">
        <w:tab/>
      </w:r>
      <w:r w:rsidR="00911C0D" w:rsidRPr="00FB1918">
        <w:t>informácie</w:t>
      </w:r>
      <w:r>
        <w:t xml:space="preserve"> o </w:t>
      </w:r>
      <w:r w:rsidR="00911C0D" w:rsidRPr="00FB1918">
        <w:t>výške</w:t>
      </w:r>
      <w:r>
        <w:t xml:space="preserve"> a </w:t>
      </w:r>
      <w:r w:rsidR="00911C0D" w:rsidRPr="00FB1918">
        <w:t>zložení vlastných zdrojov</w:t>
      </w:r>
      <w:r>
        <w:t xml:space="preserve"> a </w:t>
      </w:r>
      <w:r w:rsidR="00911C0D" w:rsidRPr="00FB1918">
        <w:t>oprávnených záväzkov uvedené</w:t>
      </w:r>
      <w:r>
        <w:t xml:space="preserve"> v </w:t>
      </w:r>
      <w:r w:rsidR="00911C0D" w:rsidRPr="00FB1918">
        <w:t>stĺpci 0010 vzoru 3 prílohy I</w:t>
      </w:r>
      <w:r>
        <w:t xml:space="preserve"> k </w:t>
      </w:r>
      <w:r w:rsidR="00911C0D" w:rsidRPr="00FB1918">
        <w:t>tomuto nariadeniu sa</w:t>
      </w:r>
      <w:r>
        <w:t xml:space="preserve"> v </w:t>
      </w:r>
      <w:r w:rsidR="00911C0D" w:rsidRPr="00FB1918">
        <w:t>súlade</w:t>
      </w:r>
      <w:r>
        <w:t xml:space="preserve"> s </w:t>
      </w:r>
      <w:r w:rsidR="00911C0D" w:rsidRPr="00FB1918">
        <w:t>pokynmi</w:t>
      </w:r>
      <w:r>
        <w:t xml:space="preserve"> v </w:t>
      </w:r>
      <w:r w:rsidR="00911C0D" w:rsidRPr="00FB1918">
        <w:t>časti II bode 2.2 prílohy II</w:t>
      </w:r>
      <w:r>
        <w:t xml:space="preserve"> k </w:t>
      </w:r>
      <w:r w:rsidR="00911C0D" w:rsidRPr="00FB1918">
        <w:t>tomuto nariadeniu vykazujú štvrťročne;</w:t>
      </w:r>
    </w:p>
    <w:p w14:paraId="52DC2154" w14:textId="3E64AE8E" w:rsidR="00911C0D" w:rsidRPr="00FB1918" w:rsidRDefault="00FB1918" w:rsidP="00FB1918">
      <w:pPr>
        <w:pStyle w:val="Point1"/>
      </w:pPr>
      <w:r w:rsidRPr="00FB1918">
        <w:t>b)</w:t>
      </w:r>
      <w:r w:rsidRPr="00FB1918">
        <w:tab/>
      </w:r>
      <w:r w:rsidR="00911C0D" w:rsidRPr="00FB1918">
        <w:t>informácie</w:t>
      </w:r>
      <w:r>
        <w:t xml:space="preserve"> o </w:t>
      </w:r>
      <w:r w:rsidR="00911C0D" w:rsidRPr="00FB1918">
        <w:t>štruktúre financovania oprávnených záväzkov uvedené vo vzore 4 prílohy I</w:t>
      </w:r>
      <w:r>
        <w:t xml:space="preserve"> k </w:t>
      </w:r>
      <w:r w:rsidR="00911C0D" w:rsidRPr="00FB1918">
        <w:t>tomuto nariadeniu sa</w:t>
      </w:r>
      <w:r>
        <w:t xml:space="preserve"> v </w:t>
      </w:r>
      <w:r w:rsidR="00911C0D" w:rsidRPr="00FB1918">
        <w:t>súlade</w:t>
      </w:r>
      <w:r>
        <w:t xml:space="preserve"> s </w:t>
      </w:r>
      <w:r w:rsidR="00911C0D" w:rsidRPr="00FB1918">
        <w:t>pokynmi</w:t>
      </w:r>
      <w:r>
        <w:t xml:space="preserve"> v </w:t>
      </w:r>
      <w:r w:rsidR="00911C0D" w:rsidRPr="00FB1918">
        <w:t>časti II bode 2.3 prílohy II</w:t>
      </w:r>
      <w:r>
        <w:t xml:space="preserve"> k </w:t>
      </w:r>
      <w:r w:rsidR="00911C0D" w:rsidRPr="00FB1918">
        <w:t>tomuto nariadeniu vykazujú štvrťročne;</w:t>
      </w:r>
    </w:p>
    <w:p w14:paraId="61F772BF" w14:textId="00E6FF68" w:rsidR="00911C0D" w:rsidRPr="00FB1918" w:rsidRDefault="00FB1918" w:rsidP="00FB1918">
      <w:pPr>
        <w:pStyle w:val="Point1"/>
      </w:pPr>
      <w:r w:rsidRPr="00FB1918">
        <w:t>c)</w:t>
      </w:r>
      <w:r w:rsidRPr="00FB1918">
        <w:tab/>
      </w:r>
      <w:r w:rsidR="00911C0D" w:rsidRPr="00FB1918">
        <w:t>informácie</w:t>
      </w:r>
      <w:r>
        <w:t xml:space="preserve"> o </w:t>
      </w:r>
      <w:r w:rsidR="00911C0D" w:rsidRPr="00FB1918">
        <w:t>nástrojoch, ktoré sa riadia právom tretej krajiny, uvedené vo vzore 7 prílohy I</w:t>
      </w:r>
      <w:r>
        <w:t xml:space="preserve"> k </w:t>
      </w:r>
      <w:r w:rsidR="00911C0D" w:rsidRPr="00FB1918">
        <w:t>tomuto nariadeniu sa</w:t>
      </w:r>
      <w:r>
        <w:t xml:space="preserve"> v </w:t>
      </w:r>
      <w:r w:rsidR="00911C0D" w:rsidRPr="00FB1918">
        <w:t>súlade</w:t>
      </w:r>
      <w:r>
        <w:t xml:space="preserve"> s </w:t>
      </w:r>
      <w:r w:rsidR="00911C0D" w:rsidRPr="00FB1918">
        <w:t>pokynmi</w:t>
      </w:r>
      <w:r>
        <w:t xml:space="preserve"> v </w:t>
      </w:r>
      <w:r w:rsidR="00911C0D" w:rsidRPr="00FB1918">
        <w:t>časti II bode 4 prílohy II</w:t>
      </w:r>
      <w:r>
        <w:t xml:space="preserve"> k </w:t>
      </w:r>
      <w:r w:rsidR="00911C0D" w:rsidRPr="00FB1918">
        <w:t>tomuto nariadeniu vykazujú štvrťročne.</w:t>
      </w:r>
    </w:p>
    <w:p w14:paraId="6CFA046B" w14:textId="7DA5AD5D" w:rsidR="00911C0D" w:rsidRPr="00FB1918" w:rsidRDefault="00911C0D" w:rsidP="00080A21">
      <w:pPr>
        <w:pStyle w:val="NumPar1"/>
        <w:numPr>
          <w:ilvl w:val="0"/>
          <w:numId w:val="5"/>
        </w:numPr>
      </w:pPr>
      <w:r w:rsidRPr="00FB1918">
        <w:t>Okrem informácií uvedených</w:t>
      </w:r>
      <w:r w:rsidR="00FB1918">
        <w:t xml:space="preserve"> v </w:t>
      </w:r>
      <w:r w:rsidRPr="00FB1918">
        <w:t>odseku 1 subjekty, ktoré sú významnými dcérskymi spoločnosťami G-SII mimo EÚ</w:t>
      </w:r>
      <w:r w:rsidR="00FB1918">
        <w:t xml:space="preserve"> a </w:t>
      </w:r>
      <w:r w:rsidRPr="00FB1918">
        <w:t>na ktoré sa vzťahuje požiadavka stanovená</w:t>
      </w:r>
      <w:r w:rsidR="00FB1918">
        <w:t xml:space="preserve"> v </w:t>
      </w:r>
      <w:r w:rsidRPr="00FB1918">
        <w:t>článku 92b nariadenia (EÚ) č. 575/2013 na konsolidovanom základe</w:t>
      </w:r>
      <w:r w:rsidR="00FB1918">
        <w:t xml:space="preserve"> v </w:t>
      </w:r>
      <w:r w:rsidRPr="00FB1918">
        <w:t>súlade</w:t>
      </w:r>
      <w:r w:rsidR="00FB1918">
        <w:t xml:space="preserve"> s </w:t>
      </w:r>
      <w:r w:rsidRPr="00FB1918">
        <w:t>článkom 11 ods. 3a uvedeného nariadenia, predkladajú príslušným orgánom</w:t>
      </w:r>
      <w:r w:rsidR="00FB1918">
        <w:t xml:space="preserve"> a </w:t>
      </w:r>
      <w:r w:rsidRPr="00FB1918">
        <w:t>orgánom pre riešenie krízových situácií informácie</w:t>
      </w:r>
      <w:r w:rsidR="00FB1918">
        <w:t xml:space="preserve"> o </w:t>
      </w:r>
      <w:r w:rsidRPr="00FB1918">
        <w:t>hodnote</w:t>
      </w:r>
      <w:r w:rsidR="00FB1918">
        <w:t xml:space="preserve"> a </w:t>
      </w:r>
      <w:r w:rsidRPr="00FB1918">
        <w:t>zložení vlastných zdrojov</w:t>
      </w:r>
      <w:r w:rsidR="00FB1918">
        <w:t xml:space="preserve"> a </w:t>
      </w:r>
      <w:r w:rsidRPr="00FB1918">
        <w:t>oprávnených záväzkov uvedené</w:t>
      </w:r>
      <w:r w:rsidR="00FB1918">
        <w:t xml:space="preserve"> v </w:t>
      </w:r>
      <w:r w:rsidRPr="00FB1918">
        <w:t>stĺpci 0020 vzoru 3 prílohy I</w:t>
      </w:r>
      <w:r w:rsidR="00FB1918">
        <w:t xml:space="preserve"> k </w:t>
      </w:r>
      <w:r w:rsidRPr="00FB1918">
        <w:t>tomuto nariadeniu na konsolidovanom základe štvrťročne</w:t>
      </w:r>
      <w:r w:rsidR="00FB1918">
        <w:t xml:space="preserve"> v </w:t>
      </w:r>
      <w:r w:rsidRPr="00FB1918">
        <w:t>súlade</w:t>
      </w:r>
      <w:r w:rsidR="00FB1918">
        <w:t xml:space="preserve"> s </w:t>
      </w:r>
      <w:r w:rsidRPr="00FB1918">
        <w:t>pokynmi</w:t>
      </w:r>
      <w:r w:rsidR="00FB1918">
        <w:t xml:space="preserve"> v </w:t>
      </w:r>
      <w:r w:rsidRPr="00FB1918">
        <w:t>časti II bode 2.2 prílohy II</w:t>
      </w:r>
      <w:r w:rsidR="00FB1918">
        <w:t xml:space="preserve"> k </w:t>
      </w:r>
      <w:r w:rsidRPr="00FB1918">
        <w:t>tomuto nariadeniu.</w:t>
      </w:r>
    </w:p>
    <w:p w14:paraId="4E886073" w14:textId="7AE50A74" w:rsidR="00911C0D" w:rsidRPr="00FB1918" w:rsidRDefault="00911C0D" w:rsidP="00146633">
      <w:pPr>
        <w:pStyle w:val="Titrearticle"/>
        <w:rPr>
          <w:i w:val="0"/>
        </w:rPr>
      </w:pPr>
      <w:r w:rsidRPr="00FB1918">
        <w:t xml:space="preserve">Článok </w:t>
      </w:r>
      <w:r w:rsidR="00227472" w:rsidRPr="00FB1918">
        <w:fldChar w:fldCharType="begin"/>
      </w:r>
      <w:r w:rsidR="00227472" w:rsidRPr="00FB1918">
        <w:instrText xml:space="preserve"> SEQ Figure \* ARABIC </w:instrText>
      </w:r>
      <w:r w:rsidR="00227472" w:rsidRPr="00FB1918">
        <w:fldChar w:fldCharType="separate"/>
      </w:r>
      <w:r w:rsidRPr="00FB1918">
        <w:t>7</w:t>
      </w:r>
      <w:r w:rsidR="00227472" w:rsidRPr="00FB1918">
        <w:fldChar w:fldCharType="end"/>
      </w:r>
      <w:r w:rsidRPr="00FB1918">
        <w:t xml:space="preserve"> </w:t>
      </w:r>
      <w:r w:rsidRPr="00FB1918">
        <w:br/>
        <w:t>Formáty výmeny údajov</w:t>
      </w:r>
      <w:r w:rsidR="00FB1918" w:rsidRPr="00FB1918">
        <w:t xml:space="preserve"> a </w:t>
      </w:r>
      <w:r w:rsidRPr="00FB1918">
        <w:t>informácie súvisiace</w:t>
      </w:r>
      <w:r w:rsidR="00FB1918" w:rsidRPr="00FB1918">
        <w:t xml:space="preserve"> s </w:t>
      </w:r>
      <w:r w:rsidRPr="00FB1918">
        <w:t>predkladanými údajmi</w:t>
      </w:r>
    </w:p>
    <w:p w14:paraId="60E9050D" w14:textId="6E8FC33B" w:rsidR="00911C0D" w:rsidRPr="00FB1918" w:rsidRDefault="00911C0D" w:rsidP="00080A21">
      <w:pPr>
        <w:pStyle w:val="NumPar1"/>
        <w:numPr>
          <w:ilvl w:val="0"/>
          <w:numId w:val="6"/>
        </w:numPr>
      </w:pPr>
      <w:r w:rsidRPr="00FB1918">
        <w:t>Vykazujúce subjekty predkladajú informácie</w:t>
      </w:r>
      <w:r w:rsidR="00FB1918">
        <w:t xml:space="preserve"> v </w:t>
      </w:r>
      <w:r w:rsidRPr="00FB1918">
        <w:t>súlade</w:t>
      </w:r>
      <w:r w:rsidR="00FB1918">
        <w:t xml:space="preserve"> s </w:t>
      </w:r>
      <w:r w:rsidRPr="00FB1918">
        <w:t>týmto nariadením vo formátoch</w:t>
      </w:r>
      <w:r w:rsidR="00FB1918">
        <w:t xml:space="preserve"> a </w:t>
      </w:r>
      <w:r w:rsidRPr="00FB1918">
        <w:t>zobrazeniach výmeny údajov, ktoré stanovili ich príslušné orgány alebo orgány pre riešenie krízových situácií,</w:t>
      </w:r>
      <w:r w:rsidR="00FB1918">
        <w:t xml:space="preserve"> a v </w:t>
      </w:r>
      <w:r w:rsidRPr="00FB1918">
        <w:t>súlade</w:t>
      </w:r>
      <w:r w:rsidR="00FB1918">
        <w:t xml:space="preserve"> s </w:t>
      </w:r>
      <w:r w:rsidRPr="00FB1918">
        <w:t>vymedzeniami údajových bodov uvedenými</w:t>
      </w:r>
      <w:r w:rsidR="00FB1918">
        <w:t xml:space="preserve"> v </w:t>
      </w:r>
      <w:r w:rsidRPr="00FB1918">
        <w:t>modeli údajových bodov</w:t>
      </w:r>
      <w:r w:rsidR="00FB1918">
        <w:t xml:space="preserve"> a </w:t>
      </w:r>
      <w:r w:rsidRPr="00FB1918">
        <w:t>pravidlami validácie stanovenými</w:t>
      </w:r>
      <w:r w:rsidR="00FB1918">
        <w:t xml:space="preserve"> v </w:t>
      </w:r>
      <w:r w:rsidRPr="00FB1918">
        <w:t>prílohe III</w:t>
      </w:r>
      <w:r w:rsidR="00FB1918">
        <w:t xml:space="preserve"> k </w:t>
      </w:r>
      <w:r w:rsidRPr="00FB1918">
        <w:t>tomuto nariadeniu.</w:t>
      </w:r>
    </w:p>
    <w:p w14:paraId="6673A56D" w14:textId="2D79F1D6" w:rsidR="00911C0D" w:rsidRPr="00FB1918" w:rsidRDefault="00911C0D" w:rsidP="00080A21">
      <w:pPr>
        <w:pStyle w:val="NumPar1"/>
        <w:numPr>
          <w:ilvl w:val="0"/>
          <w:numId w:val="5"/>
        </w:numPr>
      </w:pPr>
      <w:r w:rsidRPr="00FB1918">
        <w:t>Pri predkladaní informácií</w:t>
      </w:r>
      <w:r w:rsidR="00FB1918">
        <w:t xml:space="preserve"> v </w:t>
      </w:r>
      <w:r w:rsidRPr="00FB1918">
        <w:t>súlade</w:t>
      </w:r>
      <w:r w:rsidR="00FB1918">
        <w:t xml:space="preserve"> s </w:t>
      </w:r>
      <w:r w:rsidRPr="00FB1918">
        <w:t>týmto nariadením vykazujúce subjekty dodržiavajú tieto pravidlá:</w:t>
      </w:r>
    </w:p>
    <w:p w14:paraId="4DD8E5B4" w14:textId="3E8F6B33" w:rsidR="00FB1918" w:rsidRDefault="00FB1918" w:rsidP="00FB1918">
      <w:pPr>
        <w:pStyle w:val="Point1"/>
      </w:pPr>
      <w:r w:rsidRPr="00FB1918">
        <w:t>a)</w:t>
      </w:r>
      <w:r w:rsidRPr="00FB1918">
        <w:tab/>
      </w:r>
      <w:r w:rsidR="00911C0D" w:rsidRPr="00FB1918">
        <w:t>informácie, ktoré sa nepožadujú alebo neuplatňujú, sa do predložených údajov nezahŕňajú</w:t>
      </w:r>
      <w:r>
        <w:t>;</w:t>
      </w:r>
    </w:p>
    <w:p w14:paraId="3B400175" w14:textId="0541DBEA" w:rsidR="00911C0D" w:rsidRPr="00FB1918" w:rsidRDefault="00FB1918" w:rsidP="00FB1918">
      <w:pPr>
        <w:pStyle w:val="Point1"/>
      </w:pPr>
      <w:r w:rsidRPr="00FB1918">
        <w:t>b)</w:t>
      </w:r>
      <w:r w:rsidRPr="00FB1918">
        <w:tab/>
      </w:r>
      <w:r w:rsidR="00911C0D" w:rsidRPr="00FB1918">
        <w:t>číselné hodnoty sa predkladajú takto:</w:t>
      </w:r>
    </w:p>
    <w:p w14:paraId="7D58DBCF" w14:textId="7768A6E1" w:rsidR="00FB1918" w:rsidRDefault="00911C0D" w:rsidP="00146633">
      <w:pPr>
        <w:pStyle w:val="Point2"/>
      </w:pPr>
      <w:r w:rsidRPr="00FB1918">
        <w:t>i)</w:t>
      </w:r>
      <w:r w:rsidRPr="00FB1918">
        <w:tab/>
        <w:t>údajové body</w:t>
      </w:r>
      <w:r w:rsidR="00FB1918">
        <w:t xml:space="preserve"> s </w:t>
      </w:r>
      <w:r w:rsidRPr="00FB1918">
        <w:t>druhom údajov „peňažné“ sa vykazujú</w:t>
      </w:r>
      <w:r w:rsidR="00FB1918">
        <w:t xml:space="preserve"> s </w:t>
      </w:r>
      <w:r w:rsidRPr="00FB1918">
        <w:t>minimálnou presnosťou zodpovedajúcou tisícom jednotiek</w:t>
      </w:r>
      <w:r w:rsidR="00FB1918">
        <w:t>;</w:t>
      </w:r>
    </w:p>
    <w:p w14:paraId="6BCC8ADA" w14:textId="7B405579" w:rsidR="00FB1918" w:rsidRDefault="00911C0D" w:rsidP="00146633">
      <w:pPr>
        <w:pStyle w:val="Point2"/>
      </w:pPr>
      <w:r w:rsidRPr="00FB1918">
        <w:lastRenderedPageBreak/>
        <w:t>ii)</w:t>
      </w:r>
      <w:r w:rsidRPr="00FB1918">
        <w:tab/>
        <w:t>údajové body</w:t>
      </w:r>
      <w:r w:rsidR="00FB1918">
        <w:t xml:space="preserve"> s </w:t>
      </w:r>
      <w:r w:rsidRPr="00FB1918">
        <w:t>druhom údajov „percentuálny podiel“ sa vyjadrujú podľa jednotky</w:t>
      </w:r>
      <w:r w:rsidR="00FB1918">
        <w:t xml:space="preserve"> s </w:t>
      </w:r>
      <w:r w:rsidRPr="00FB1918">
        <w:t>minimálnou presnosťou zodpovedajúcou štyrom desatinným miestam</w:t>
      </w:r>
      <w:r w:rsidR="00FB1918">
        <w:t>;</w:t>
      </w:r>
    </w:p>
    <w:p w14:paraId="5478D846" w14:textId="1B9F657E" w:rsidR="00911C0D" w:rsidRPr="00FB1918" w:rsidRDefault="00911C0D" w:rsidP="00146633">
      <w:pPr>
        <w:pStyle w:val="Point2"/>
      </w:pPr>
      <w:r w:rsidRPr="00FB1918">
        <w:t>iii)</w:t>
      </w:r>
      <w:r w:rsidRPr="00FB1918">
        <w:tab/>
        <w:t>údajové body</w:t>
      </w:r>
      <w:r w:rsidR="00FB1918">
        <w:t xml:space="preserve"> s </w:t>
      </w:r>
      <w:r w:rsidRPr="00FB1918">
        <w:t>druhom údajov „celé číslo“ sa vykazujú bez použitia desatinných čísel</w:t>
      </w:r>
      <w:r w:rsidR="00FB1918">
        <w:t xml:space="preserve"> a s </w:t>
      </w:r>
      <w:r w:rsidRPr="00FB1918">
        <w:t>presnosťou zodpovedajúcou jednotkám;</w:t>
      </w:r>
    </w:p>
    <w:p w14:paraId="3B0DDC02" w14:textId="4FBC2327" w:rsidR="00911C0D" w:rsidRPr="00FB1918" w:rsidRDefault="00FB1918" w:rsidP="00FB1918">
      <w:pPr>
        <w:pStyle w:val="Point1"/>
      </w:pPr>
      <w:r w:rsidRPr="00FB1918">
        <w:t>c)</w:t>
      </w:r>
      <w:r w:rsidRPr="00FB1918">
        <w:tab/>
      </w:r>
      <w:r w:rsidR="00911C0D" w:rsidRPr="00FB1918">
        <w:t>inštitúcie sa identifikujú výlučne na základe svojho identifikátora právneho subjektu (LEI). Právne subjekty</w:t>
      </w:r>
      <w:r>
        <w:t xml:space="preserve"> a </w:t>
      </w:r>
      <w:r w:rsidR="00911C0D" w:rsidRPr="00FB1918">
        <w:t>protistrany iné než inštitúcie sa identifikujú na základe svojho LEI, ak je</w:t>
      </w:r>
      <w:r>
        <w:t xml:space="preserve"> k </w:t>
      </w:r>
      <w:r w:rsidR="00911C0D" w:rsidRPr="00FB1918">
        <w:t>dispozícii.</w:t>
      </w:r>
    </w:p>
    <w:p w14:paraId="1DBE05C1" w14:textId="2D7AFAE7" w:rsidR="00911C0D" w:rsidRPr="00FB1918" w:rsidRDefault="00911C0D" w:rsidP="00080A21">
      <w:pPr>
        <w:pStyle w:val="NumPar1"/>
        <w:numPr>
          <w:ilvl w:val="0"/>
          <w:numId w:val="5"/>
        </w:numPr>
      </w:pPr>
      <w:r w:rsidRPr="00FB1918">
        <w:t>K informáciám, ktoré vykazujúce subjekty predkladajú</w:t>
      </w:r>
      <w:r w:rsidR="00FB1918">
        <w:t xml:space="preserve"> v </w:t>
      </w:r>
      <w:r w:rsidRPr="00FB1918">
        <w:t>súlade</w:t>
      </w:r>
      <w:r w:rsidR="00FB1918">
        <w:t xml:space="preserve"> s </w:t>
      </w:r>
      <w:r w:rsidRPr="00FB1918">
        <w:t>týmto nariadením, sa dopĺňajú tieto informácie:</w:t>
      </w:r>
    </w:p>
    <w:p w14:paraId="1DEF8C77" w14:textId="6C790606" w:rsidR="00911C0D" w:rsidRPr="00FB1918" w:rsidRDefault="00FB1918" w:rsidP="00FB1918">
      <w:pPr>
        <w:pStyle w:val="Point1"/>
      </w:pPr>
      <w:r w:rsidRPr="00FB1918">
        <w:t>a)</w:t>
      </w:r>
      <w:r w:rsidRPr="00FB1918">
        <w:tab/>
      </w:r>
      <w:r w:rsidR="00911C0D" w:rsidRPr="00FB1918">
        <w:t>referenčný dátum vykazovania</w:t>
      </w:r>
      <w:r>
        <w:t xml:space="preserve"> a </w:t>
      </w:r>
      <w:r w:rsidR="00911C0D" w:rsidRPr="00FB1918">
        <w:t>referenčné obdobie;</w:t>
      </w:r>
    </w:p>
    <w:p w14:paraId="09EC726C" w14:textId="06B499FB" w:rsidR="00911C0D" w:rsidRPr="00FB1918" w:rsidRDefault="00FB1918" w:rsidP="00FB1918">
      <w:pPr>
        <w:pStyle w:val="Point1"/>
      </w:pPr>
      <w:r w:rsidRPr="00FB1918">
        <w:t>b)</w:t>
      </w:r>
      <w:r w:rsidRPr="00FB1918">
        <w:tab/>
      </w:r>
      <w:r w:rsidR="00911C0D" w:rsidRPr="00FB1918">
        <w:t>mena vykazovania;</w:t>
      </w:r>
    </w:p>
    <w:p w14:paraId="4EEE4DC2" w14:textId="181EB106" w:rsidR="00911C0D" w:rsidRPr="00FB1918" w:rsidRDefault="00FB1918" w:rsidP="00FB1918">
      <w:pPr>
        <w:pStyle w:val="Point1"/>
      </w:pPr>
      <w:r w:rsidRPr="00FB1918">
        <w:t>c)</w:t>
      </w:r>
      <w:r w:rsidRPr="00FB1918">
        <w:tab/>
      </w:r>
      <w:r w:rsidR="00911C0D" w:rsidRPr="00FB1918">
        <w:t>účtovný štandard;</w:t>
      </w:r>
    </w:p>
    <w:p w14:paraId="2729F1FB" w14:textId="30EFACB3" w:rsidR="00911C0D" w:rsidRPr="00FB1918" w:rsidRDefault="00FB1918" w:rsidP="00FB1918">
      <w:pPr>
        <w:pStyle w:val="Point1"/>
      </w:pPr>
      <w:r w:rsidRPr="00FB1918">
        <w:t>d)</w:t>
      </w:r>
      <w:r w:rsidRPr="00FB1918">
        <w:tab/>
      </w:r>
      <w:r w:rsidR="00911C0D" w:rsidRPr="00FB1918">
        <w:t>LEI vykazujúcej inštitúcie;</w:t>
      </w:r>
    </w:p>
    <w:p w14:paraId="0F34F03F" w14:textId="635F2521" w:rsidR="00911C0D" w:rsidRPr="00FB1918" w:rsidRDefault="00FB1918" w:rsidP="00FB1918">
      <w:pPr>
        <w:pStyle w:val="Point1"/>
      </w:pPr>
      <w:r w:rsidRPr="00FB1918">
        <w:t>e)</w:t>
      </w:r>
      <w:r w:rsidRPr="00FB1918">
        <w:tab/>
      </w:r>
      <w:r w:rsidR="00911C0D" w:rsidRPr="00FB1918">
        <w:tab/>
        <w:t>rozsah konsolidácie.</w:t>
      </w:r>
    </w:p>
    <w:p w14:paraId="7CF14DFD" w14:textId="085B80E4" w:rsidR="00911C0D" w:rsidRPr="00FB1918" w:rsidRDefault="00911C0D" w:rsidP="00911C0D">
      <w:pPr>
        <w:pStyle w:val="Titrearticle"/>
      </w:pPr>
      <w:r w:rsidRPr="00FB1918">
        <w:t xml:space="preserve">Článok </w:t>
      </w:r>
      <w:r w:rsidR="00227472" w:rsidRPr="00FB1918">
        <w:fldChar w:fldCharType="begin"/>
      </w:r>
      <w:r w:rsidR="00227472" w:rsidRPr="00FB1918">
        <w:instrText xml:space="preserve"> SEQ Figure \* ARABIC </w:instrText>
      </w:r>
      <w:r w:rsidR="00227472" w:rsidRPr="00FB1918">
        <w:fldChar w:fldCharType="separate"/>
      </w:r>
      <w:r w:rsidRPr="00FB1918">
        <w:t>8</w:t>
      </w:r>
      <w:r w:rsidR="00227472" w:rsidRPr="00FB1918">
        <w:fldChar w:fldCharType="end"/>
      </w:r>
      <w:r w:rsidRPr="00FB1918">
        <w:t xml:space="preserve"> </w:t>
      </w:r>
      <w:r w:rsidRPr="00FB1918">
        <w:br/>
        <w:t>Štandardizovaná prezentácia poradí</w:t>
      </w:r>
      <w:r w:rsidR="00FB1918" w:rsidRPr="00FB1918">
        <w:t xml:space="preserve"> v </w:t>
      </w:r>
      <w:r w:rsidRPr="00FB1918">
        <w:t>konkurznom konaní</w:t>
      </w:r>
    </w:p>
    <w:p w14:paraId="5049F073" w14:textId="661410EE" w:rsidR="00911C0D" w:rsidRPr="00FB1918" w:rsidRDefault="00911C0D" w:rsidP="00727C02">
      <w:pPr>
        <w:pStyle w:val="NumPar1"/>
        <w:numPr>
          <w:ilvl w:val="0"/>
          <w:numId w:val="11"/>
        </w:numPr>
      </w:pPr>
      <w:r w:rsidRPr="00FB1918">
        <w:t>Orgány pre riešenie krízových situácií zostavujú informácie</w:t>
      </w:r>
      <w:r w:rsidR="00FB1918">
        <w:t xml:space="preserve"> o </w:t>
      </w:r>
      <w:r w:rsidRPr="00FB1918">
        <w:t>poradí položiek vo svojom vnútroštátnom konkurznom konaní</w:t>
      </w:r>
      <w:r w:rsidR="00FB1918">
        <w:t xml:space="preserve"> v </w:t>
      </w:r>
      <w:r w:rsidRPr="00FB1918">
        <w:t>štandardizovanom formáte stanovenom</w:t>
      </w:r>
      <w:r w:rsidR="00FB1918">
        <w:t xml:space="preserve"> v </w:t>
      </w:r>
      <w:r w:rsidRPr="00FB1918">
        <w:t>prílohe IV. Ak dôjde</w:t>
      </w:r>
      <w:r w:rsidR="00FB1918">
        <w:t xml:space="preserve"> k </w:t>
      </w:r>
      <w:r w:rsidRPr="00FB1918">
        <w:t>zmenám, bez zbytočného odkladu aktualizujú uvedené informácie.</w:t>
      </w:r>
    </w:p>
    <w:p w14:paraId="3F9A4A43" w14:textId="15ACF677" w:rsidR="00911C0D" w:rsidRPr="00FB1918" w:rsidRDefault="00911C0D" w:rsidP="00727C02">
      <w:pPr>
        <w:pStyle w:val="NumPar1"/>
        <w:numPr>
          <w:ilvl w:val="0"/>
          <w:numId w:val="11"/>
        </w:numPr>
      </w:pPr>
      <w:r w:rsidRPr="00FB1918">
        <w:t>Orgány pre riešenie krízových situácií uverejňujú informácie uvedené</w:t>
      </w:r>
      <w:r w:rsidR="00FB1918">
        <w:t xml:space="preserve"> v </w:t>
      </w:r>
      <w:r w:rsidRPr="00FB1918">
        <w:t>odseku 1</w:t>
      </w:r>
      <w:r w:rsidR="00FB1918">
        <w:t xml:space="preserve"> s </w:t>
      </w:r>
      <w:r w:rsidRPr="00FB1918">
        <w:t>cieľom sprístupniť ich inštitúciám podliehajúcim ich dohľadu.</w:t>
      </w:r>
    </w:p>
    <w:p w14:paraId="1D1FC80E" w14:textId="77777777" w:rsidR="00911C0D" w:rsidRPr="00FB1918" w:rsidRDefault="00911C0D" w:rsidP="00911C0D">
      <w:pPr>
        <w:pStyle w:val="SectionTitle"/>
        <w:rPr>
          <w:b w:val="0"/>
          <w:i/>
        </w:rPr>
      </w:pPr>
      <w:r w:rsidRPr="00FB1918">
        <w:rPr>
          <w:b w:val="0"/>
          <w:i/>
        </w:rPr>
        <w:t>HLAVA II</w:t>
      </w:r>
      <w:r w:rsidRPr="00FB1918">
        <w:t xml:space="preserve"> </w:t>
      </w:r>
      <w:r w:rsidRPr="00FB1918">
        <w:br/>
      </w:r>
      <w:r w:rsidRPr="00FB1918">
        <w:rPr>
          <w:b w:val="0"/>
          <w:i/>
        </w:rPr>
        <w:t>ZVEREJŇOVANIE INFORMÁCIÍ INŠTITÚCIAMI</w:t>
      </w:r>
    </w:p>
    <w:p w14:paraId="674A8126" w14:textId="06C4F5DD" w:rsidR="00911C0D" w:rsidRPr="00FB1918" w:rsidRDefault="00911C0D" w:rsidP="00911C0D">
      <w:pPr>
        <w:pStyle w:val="Titrearticle"/>
      </w:pPr>
      <w:r w:rsidRPr="00FB1918">
        <w:t xml:space="preserve">Článok </w:t>
      </w:r>
      <w:r w:rsidR="00227472" w:rsidRPr="00FB1918">
        <w:fldChar w:fldCharType="begin"/>
      </w:r>
      <w:r w:rsidR="00227472" w:rsidRPr="00FB1918">
        <w:instrText xml:space="preserve"> SEQ Figure \* ARABIC </w:instrText>
      </w:r>
      <w:r w:rsidR="00227472" w:rsidRPr="00FB1918">
        <w:fldChar w:fldCharType="separate"/>
      </w:r>
      <w:r w:rsidRPr="00FB1918">
        <w:t>9</w:t>
      </w:r>
      <w:r w:rsidR="00227472" w:rsidRPr="00FB1918">
        <w:fldChar w:fldCharType="end"/>
      </w:r>
      <w:r w:rsidRPr="00FB1918">
        <w:t xml:space="preserve"> </w:t>
      </w:r>
      <w:r w:rsidRPr="00FB1918">
        <w:br/>
        <w:t>Frekvencia zverejňovania informácií</w:t>
      </w:r>
      <w:r w:rsidR="00FB1918" w:rsidRPr="00FB1918">
        <w:t xml:space="preserve"> a </w:t>
      </w:r>
      <w:r w:rsidRPr="00FB1918">
        <w:t>dátumy zverejňovania informácií</w:t>
      </w:r>
    </w:p>
    <w:p w14:paraId="30497442" w14:textId="4D171AA6" w:rsidR="00911C0D" w:rsidRPr="00FB1918" w:rsidRDefault="00911C0D" w:rsidP="00727C02">
      <w:pPr>
        <w:pStyle w:val="NumPar1"/>
        <w:numPr>
          <w:ilvl w:val="0"/>
          <w:numId w:val="12"/>
        </w:numPr>
      </w:pPr>
      <w:r w:rsidRPr="00FB1918">
        <w:t>Zverejňovanie informácií uvedených</w:t>
      </w:r>
      <w:r w:rsidR="00FB1918">
        <w:t xml:space="preserve"> v </w:t>
      </w:r>
      <w:r w:rsidRPr="00FB1918">
        <w:t>článku 10 ods. 1 sa vykonáva štvrťročne. Zverejňovanie informácií uvedených</w:t>
      </w:r>
      <w:r w:rsidR="00FB1918">
        <w:t xml:space="preserve"> v </w:t>
      </w:r>
      <w:r w:rsidRPr="00FB1918">
        <w:t>článku 10 ods. 2 sa vykonáva polročne.</w:t>
      </w:r>
    </w:p>
    <w:p w14:paraId="0CFDDF92" w14:textId="432B33DC" w:rsidR="00911C0D" w:rsidRPr="00FB1918" w:rsidRDefault="00911C0D" w:rsidP="00146633">
      <w:pPr>
        <w:pStyle w:val="NumPar1"/>
      </w:pPr>
      <w:r w:rsidRPr="00FB1918">
        <w:t>Zverejňovanie informácií uvedených</w:t>
      </w:r>
      <w:r w:rsidR="00FB1918">
        <w:t xml:space="preserve"> v </w:t>
      </w:r>
      <w:r w:rsidRPr="00FB1918">
        <w:t xml:space="preserve">článku </w:t>
      </w:r>
      <w:r w:rsidRPr="00FB1918">
        <w:fldChar w:fldCharType="begin"/>
      </w:r>
      <w:r w:rsidRPr="00FB1918">
        <w:instrText xml:space="preserve"> REF _Ref21450145 \# 0 \h  \* MERGEFORMAT </w:instrText>
      </w:r>
      <w:r w:rsidRPr="00FB1918">
        <w:fldChar w:fldCharType="separate"/>
      </w:r>
      <w:r w:rsidRPr="00FB1918">
        <w:t>11</w:t>
      </w:r>
      <w:r w:rsidRPr="00FB1918">
        <w:fldChar w:fldCharType="end"/>
      </w:r>
      <w:r w:rsidRPr="00FB1918">
        <w:t xml:space="preserve"> ods. 1</w:t>
      </w:r>
      <w:r w:rsidR="00FB1918">
        <w:t xml:space="preserve"> a </w:t>
      </w:r>
      <w:r w:rsidRPr="00FB1918">
        <w:t xml:space="preserve">článku </w:t>
      </w:r>
      <w:r w:rsidRPr="00FB1918">
        <w:fldChar w:fldCharType="begin"/>
      </w:r>
      <w:r w:rsidRPr="00FB1918">
        <w:instrText xml:space="preserve"> REF _Ref21087242 \# 0 \h  \* MERGEFORMAT </w:instrText>
      </w:r>
      <w:r w:rsidRPr="00FB1918">
        <w:fldChar w:fldCharType="separate"/>
      </w:r>
      <w:r w:rsidRPr="00FB1918">
        <w:t>14</w:t>
      </w:r>
      <w:r w:rsidRPr="00FB1918">
        <w:fldChar w:fldCharType="end"/>
      </w:r>
      <w:r w:rsidRPr="00FB1918">
        <w:t xml:space="preserve"> ods. 1 sa vykonáva polročne. Zverejňovanie informácií uvedených</w:t>
      </w:r>
      <w:r w:rsidR="00FB1918">
        <w:t xml:space="preserve"> v </w:t>
      </w:r>
      <w:r w:rsidRPr="00FB1918">
        <w:t xml:space="preserve">článku </w:t>
      </w:r>
      <w:r w:rsidRPr="00FB1918">
        <w:fldChar w:fldCharType="begin"/>
      </w:r>
      <w:r w:rsidRPr="00FB1918">
        <w:instrText xml:space="preserve"> REF _Ref21450145 \# 0 \h  \* MERGEFORMAT </w:instrText>
      </w:r>
      <w:r w:rsidRPr="00FB1918">
        <w:fldChar w:fldCharType="separate"/>
      </w:r>
      <w:r w:rsidRPr="00FB1918">
        <w:t>11</w:t>
      </w:r>
      <w:r w:rsidRPr="00FB1918">
        <w:fldChar w:fldCharType="end"/>
      </w:r>
      <w:r w:rsidRPr="00FB1918">
        <w:t xml:space="preserve"> ods. 2</w:t>
      </w:r>
      <w:r w:rsidR="00FB1918">
        <w:t xml:space="preserve"> a </w:t>
      </w:r>
      <w:r w:rsidRPr="00FB1918">
        <w:t>článku 14 ods. 2 sa vykonáva každoročne.</w:t>
      </w:r>
    </w:p>
    <w:p w14:paraId="0276A47B" w14:textId="42C79E69" w:rsidR="00911C0D" w:rsidRPr="00FB1918" w:rsidRDefault="00911C0D" w:rsidP="00146633">
      <w:pPr>
        <w:pStyle w:val="NumPar1"/>
      </w:pPr>
      <w:r w:rsidRPr="00FB1918">
        <w:t>Zverejňovanie informácií uvedených</w:t>
      </w:r>
      <w:r w:rsidR="00FB1918">
        <w:t xml:space="preserve"> v </w:t>
      </w:r>
      <w:r w:rsidRPr="00FB1918">
        <w:t>článku 12 ods. 1 sa vykonáva štvrťročne. Zverejňovanie informácií uvedených</w:t>
      </w:r>
      <w:r w:rsidR="00FB1918">
        <w:t xml:space="preserve"> v </w:t>
      </w:r>
      <w:r w:rsidRPr="00FB1918">
        <w:t>článku 12 ods. 2 sa vykonáva polročne.</w:t>
      </w:r>
    </w:p>
    <w:p w14:paraId="1C90BE41" w14:textId="053F14FB" w:rsidR="00911C0D" w:rsidRPr="00FB1918" w:rsidRDefault="00911C0D" w:rsidP="00146633">
      <w:pPr>
        <w:pStyle w:val="NumPar1"/>
      </w:pPr>
      <w:r w:rsidRPr="00FB1918">
        <w:t>Zverejňovanie informácií uvedených</w:t>
      </w:r>
      <w:r w:rsidR="00FB1918">
        <w:t xml:space="preserve"> v </w:t>
      </w:r>
      <w:r w:rsidRPr="00FB1918">
        <w:t>článku 13 ods. 1 sa vykonáva polročne. Zverejňovanie informácií uvedených</w:t>
      </w:r>
      <w:r w:rsidR="00FB1918">
        <w:t xml:space="preserve"> v </w:t>
      </w:r>
      <w:r w:rsidRPr="00FB1918">
        <w:t>článku 13 ods. 2 sa vykonáva polročne.</w:t>
      </w:r>
    </w:p>
    <w:p w14:paraId="77DF8699" w14:textId="11A61CEA" w:rsidR="00911C0D" w:rsidRPr="00FB1918" w:rsidRDefault="00911C0D" w:rsidP="00146633">
      <w:pPr>
        <w:pStyle w:val="NumPar1"/>
      </w:pPr>
      <w:r w:rsidRPr="00FB1918">
        <w:t>Zverejňovanie informácií uvedených</w:t>
      </w:r>
      <w:r w:rsidR="00FB1918">
        <w:t xml:space="preserve"> v </w:t>
      </w:r>
      <w:r w:rsidRPr="00FB1918">
        <w:t xml:space="preserve">článku </w:t>
      </w:r>
      <w:r w:rsidRPr="00FB1918">
        <w:fldChar w:fldCharType="begin"/>
      </w:r>
      <w:r w:rsidRPr="00FB1918">
        <w:instrText xml:space="preserve"> REF _Ref21087218 \# 0 \h  \* MERGEFORMAT </w:instrText>
      </w:r>
      <w:r w:rsidRPr="00FB1918">
        <w:fldChar w:fldCharType="separate"/>
      </w:r>
      <w:r w:rsidRPr="00FB1918">
        <w:t>15</w:t>
      </w:r>
      <w:r w:rsidRPr="00FB1918">
        <w:fldChar w:fldCharType="end"/>
      </w:r>
      <w:r w:rsidRPr="00FB1918">
        <w:t xml:space="preserve"> sa vykonáva takto:</w:t>
      </w:r>
    </w:p>
    <w:p w14:paraId="553B9B42" w14:textId="66171E64" w:rsidR="00911C0D" w:rsidRPr="00FB1918" w:rsidRDefault="00FB1918" w:rsidP="00FB1918">
      <w:pPr>
        <w:pStyle w:val="Point1"/>
      </w:pPr>
      <w:r w:rsidRPr="00FB1918">
        <w:t>a)</w:t>
      </w:r>
      <w:r w:rsidRPr="00FB1918">
        <w:tab/>
      </w:r>
      <w:r w:rsidR="00911C0D" w:rsidRPr="00FB1918">
        <w:t>polročne, ak je zverejňujúci subjekt veľkou inštitúciou;</w:t>
      </w:r>
    </w:p>
    <w:p w14:paraId="5280B728" w14:textId="3FE30719" w:rsidR="00FB1918" w:rsidRDefault="00FB1918" w:rsidP="00FB1918">
      <w:pPr>
        <w:pStyle w:val="Point1"/>
      </w:pPr>
      <w:r w:rsidRPr="00FB1918">
        <w:t>b)</w:t>
      </w:r>
      <w:r w:rsidRPr="00FB1918">
        <w:tab/>
      </w:r>
      <w:r w:rsidR="00146633" w:rsidRPr="00FB1918">
        <w:t>ročne, ak zverejňujúci subjekt nie je veľkou inštitúciou ani malou</w:t>
      </w:r>
      <w:r>
        <w:t xml:space="preserve"> a </w:t>
      </w:r>
      <w:r w:rsidR="00146633" w:rsidRPr="00FB1918">
        <w:t>menej zložitou inštitúciou</w:t>
      </w:r>
      <w:r>
        <w:t>.</w:t>
      </w:r>
    </w:p>
    <w:p w14:paraId="67AF5D74" w14:textId="44497E57" w:rsidR="00911C0D" w:rsidRPr="00FB1918" w:rsidRDefault="00911C0D" w:rsidP="00911C0D">
      <w:pPr>
        <w:pStyle w:val="Point0"/>
      </w:pPr>
      <w:r w:rsidRPr="00FB1918">
        <w:lastRenderedPageBreak/>
        <w:t>6.</w:t>
      </w:r>
      <w:r w:rsidRPr="00FB1918">
        <w:tab/>
        <w:t>Na účely zverejňovania informácií zverejňujúce subjekty dodržiavajú tieto pravidlá:</w:t>
      </w:r>
    </w:p>
    <w:p w14:paraId="5CF73ABB" w14:textId="3125B395" w:rsidR="00FB1918" w:rsidRDefault="00FB1918" w:rsidP="00FB1918">
      <w:pPr>
        <w:pStyle w:val="Point1"/>
      </w:pPr>
      <w:r w:rsidRPr="00FB1918">
        <w:t>a)</w:t>
      </w:r>
      <w:r w:rsidRPr="00FB1918">
        <w:tab/>
      </w:r>
      <w:r w:rsidR="00911C0D" w:rsidRPr="00FB1918">
        <w:t>ročne zverejňované informácie sa uverejňujú</w:t>
      </w:r>
      <w:r>
        <w:t xml:space="preserve"> k </w:t>
      </w:r>
      <w:r w:rsidR="00911C0D" w:rsidRPr="00FB1918">
        <w:t>rovnakému dátumu, ako je dátum, ku ktorému inštitúcie uverejňujú svoju účtovnú závierku, alebo čo najskôr po uvedenom dátume</w:t>
      </w:r>
      <w:r>
        <w:t>;</w:t>
      </w:r>
    </w:p>
    <w:p w14:paraId="544E27A0" w14:textId="2C7CD993" w:rsidR="00FB1918" w:rsidRDefault="00FB1918" w:rsidP="00FB1918">
      <w:pPr>
        <w:pStyle w:val="Point1"/>
      </w:pPr>
      <w:r w:rsidRPr="00FB1918">
        <w:t>b)</w:t>
      </w:r>
      <w:r w:rsidRPr="00FB1918">
        <w:tab/>
      </w:r>
      <w:r w:rsidR="00911C0D" w:rsidRPr="00FB1918">
        <w:t>polročne</w:t>
      </w:r>
      <w:r>
        <w:t xml:space="preserve"> a </w:t>
      </w:r>
      <w:r w:rsidR="00911C0D" w:rsidRPr="00FB1918">
        <w:t>štvrťročne zverejňované informácie sa uverejňujú</w:t>
      </w:r>
      <w:r>
        <w:t xml:space="preserve"> k </w:t>
      </w:r>
      <w:r w:rsidR="00911C0D" w:rsidRPr="00FB1918">
        <w:t>rovnakému dátumu, ako je dátum, ku ktorému inštitúcie uverejňujú svoje finančné správy za zodpovedajúce obdobie, ak je to uplatniteľné, alebo čo najskôr po uvedenom dátume</w:t>
      </w:r>
      <w:r>
        <w:t>;</w:t>
      </w:r>
    </w:p>
    <w:p w14:paraId="7CC4F5BD" w14:textId="3CAFFB1B" w:rsidR="00911C0D" w:rsidRPr="00FB1918" w:rsidRDefault="00FB1918" w:rsidP="00FB1918">
      <w:pPr>
        <w:pStyle w:val="Point1"/>
      </w:pPr>
      <w:r w:rsidRPr="00FB1918">
        <w:t>c)</w:t>
      </w:r>
      <w:r w:rsidRPr="00FB1918">
        <w:tab/>
      </w:r>
      <w:r w:rsidR="00911C0D" w:rsidRPr="00FB1918">
        <w:t>akékoľvek oneskorenie medzi dátumom uverejnenia informácií požadovaným podľa tejto hlavy</w:t>
      </w:r>
      <w:r>
        <w:t xml:space="preserve"> a </w:t>
      </w:r>
      <w:r w:rsidR="00911C0D" w:rsidRPr="00FB1918">
        <w:t>príslušnou účtovnou závierkou musí byť primerané</w:t>
      </w:r>
      <w:r>
        <w:t xml:space="preserve"> a v </w:t>
      </w:r>
      <w:r w:rsidR="00911C0D" w:rsidRPr="00FB1918">
        <w:t>žiadnom prípade nesmie presiahnuť žiadny časový harmonogram stanovený príslušnými orgánmi podľa článku 106 smernice Európskeho parlamentu</w:t>
      </w:r>
      <w:r>
        <w:t xml:space="preserve"> a </w:t>
      </w:r>
      <w:r w:rsidR="00911C0D" w:rsidRPr="00FB1918">
        <w:t>Rady 2013/36/EÚ</w:t>
      </w:r>
      <w:r w:rsidR="00911C0D" w:rsidRPr="00FB1918">
        <w:rPr>
          <w:rStyle w:val="FootnoteReference"/>
        </w:rPr>
        <w:footnoteReference w:id="6"/>
      </w:r>
      <w:r w:rsidR="00911C0D" w:rsidRPr="00FB1918">
        <w:t>.</w:t>
      </w:r>
    </w:p>
    <w:p w14:paraId="2B144DCB" w14:textId="12750A5C" w:rsidR="00911C0D" w:rsidRPr="00FB1918" w:rsidRDefault="00911C0D" w:rsidP="00911C0D">
      <w:pPr>
        <w:pStyle w:val="Titrearticle"/>
      </w:pPr>
      <w:bookmarkStart w:id="1" w:name="_Ref21085297"/>
      <w:r w:rsidRPr="00FB1918">
        <w:t xml:space="preserve">Článok </w:t>
      </w:r>
      <w:r w:rsidR="00227472" w:rsidRPr="00FB1918">
        <w:fldChar w:fldCharType="begin"/>
      </w:r>
      <w:r w:rsidR="00227472" w:rsidRPr="00FB1918">
        <w:instrText xml:space="preserve"> SEQ Figure \* ARABIC </w:instrText>
      </w:r>
      <w:r w:rsidR="00227472" w:rsidRPr="00FB1918">
        <w:fldChar w:fldCharType="separate"/>
      </w:r>
      <w:r w:rsidRPr="00FB1918">
        <w:t>10</w:t>
      </w:r>
      <w:r w:rsidR="00227472" w:rsidRPr="00FB1918">
        <w:fldChar w:fldCharType="end"/>
      </w:r>
      <w:bookmarkEnd w:id="1"/>
      <w:r w:rsidRPr="00FB1918">
        <w:t xml:space="preserve"> </w:t>
      </w:r>
      <w:r w:rsidRPr="00FB1918">
        <w:br/>
        <w:t>Zverejňovanie informácií</w:t>
      </w:r>
      <w:r w:rsidR="00FB1918" w:rsidRPr="00FB1918">
        <w:t xml:space="preserve"> o </w:t>
      </w:r>
      <w:r w:rsidRPr="00FB1918">
        <w:t>kľúčových parametroch týkajúcich sa vlastných zdrojov</w:t>
      </w:r>
      <w:r w:rsidR="00FB1918" w:rsidRPr="00FB1918">
        <w:t xml:space="preserve"> a </w:t>
      </w:r>
      <w:r w:rsidRPr="00FB1918">
        <w:t>oprávnených záväzkov</w:t>
      </w:r>
      <w:r w:rsidR="00FB1918" w:rsidRPr="00FB1918">
        <w:t xml:space="preserve"> a o </w:t>
      </w:r>
      <w:r w:rsidRPr="00FB1918">
        <w:t>požiadavkách na vlastné zdroje</w:t>
      </w:r>
      <w:r w:rsidR="00FB1918" w:rsidRPr="00FB1918">
        <w:t xml:space="preserve"> a </w:t>
      </w:r>
      <w:r w:rsidRPr="00FB1918">
        <w:t>oprávnené záväzky subjektmi, ktorých krízová situácia sa rieši</w:t>
      </w:r>
    </w:p>
    <w:p w14:paraId="160E3F97" w14:textId="545F50E4" w:rsidR="00FB1918" w:rsidRDefault="00911C0D" w:rsidP="00727C02">
      <w:pPr>
        <w:pStyle w:val="NumPar1"/>
        <w:numPr>
          <w:ilvl w:val="0"/>
          <w:numId w:val="10"/>
        </w:numPr>
      </w:pPr>
      <w:r w:rsidRPr="00FB1918">
        <w:t>Subjekty identifikované ako subjekty, ktorých krízová situácia sa rieši</w:t>
      </w:r>
      <w:r w:rsidR="00FB1918">
        <w:t xml:space="preserve"> a </w:t>
      </w:r>
      <w:r w:rsidRPr="00FB1918">
        <w:t>ktoré sú G-SII alebo sú súčasťou G-SII, zverejňujú informácie požadované</w:t>
      </w:r>
      <w:r w:rsidR="00FB1918">
        <w:t xml:space="preserve"> v </w:t>
      </w:r>
      <w:r w:rsidRPr="00FB1918">
        <w:t>článku 447 písm. h) nariadenia (EÚ) č. 575/2013</w:t>
      </w:r>
      <w:r w:rsidR="00FB1918">
        <w:t xml:space="preserve"> a v </w:t>
      </w:r>
      <w:r w:rsidRPr="00FB1918">
        <w:t>článku 45i ods. 3 písm. a)</w:t>
      </w:r>
      <w:r w:rsidR="00FB1918">
        <w:t xml:space="preserve"> a </w:t>
      </w:r>
      <w:r w:rsidRPr="00FB1918">
        <w:t>c) smernice 2014/59/EÚ</w:t>
      </w:r>
      <w:r w:rsidR="00FB1918">
        <w:t xml:space="preserve"> v </w:t>
      </w:r>
      <w:r w:rsidRPr="00FB1918">
        <w:t>súlade so vzorom EU KM2 uvedeným</w:t>
      </w:r>
      <w:r w:rsidR="00FB1918">
        <w:t xml:space="preserve"> v </w:t>
      </w:r>
      <w:r w:rsidRPr="00FB1918">
        <w:t>prílohe</w:t>
      </w:r>
      <w:r w:rsidR="00FB1918">
        <w:t xml:space="preserve"> V k </w:t>
      </w:r>
      <w:r w:rsidRPr="00FB1918">
        <w:t>tomuto nariadeniu</w:t>
      </w:r>
      <w:r w:rsidR="00FB1918">
        <w:t xml:space="preserve"> a s </w:t>
      </w:r>
      <w:r w:rsidRPr="00FB1918">
        <w:t>príslušnými pokynmi stanovenými</w:t>
      </w:r>
      <w:r w:rsidR="00FB1918">
        <w:t xml:space="preserve"> v </w:t>
      </w:r>
      <w:r w:rsidRPr="00FB1918">
        <w:t>prílohe VI</w:t>
      </w:r>
      <w:r w:rsidR="00FB1918">
        <w:t xml:space="preserve"> k </w:t>
      </w:r>
      <w:r w:rsidRPr="00FB1918">
        <w:t>tomuto nariadeniu</w:t>
      </w:r>
      <w:r w:rsidR="00FB1918">
        <w:t>.</w:t>
      </w:r>
    </w:p>
    <w:p w14:paraId="2955CCFE" w14:textId="6ECDE25C" w:rsidR="00911C0D" w:rsidRPr="00FB1918" w:rsidRDefault="00911C0D" w:rsidP="00727C02">
      <w:pPr>
        <w:pStyle w:val="NumPar1"/>
        <w:numPr>
          <w:ilvl w:val="0"/>
          <w:numId w:val="10"/>
        </w:numPr>
      </w:pPr>
      <w:r w:rsidRPr="00FB1918">
        <w:t>Subjekty identifikované ako subjekty, ktorých krízová situácia sa rieši, ktoré nie sú G-SII</w:t>
      </w:r>
      <w:r w:rsidR="00FB1918">
        <w:t xml:space="preserve"> a </w:t>
      </w:r>
      <w:r w:rsidRPr="00FB1918">
        <w:t>nie sú ani súčasťou G-SII, zverejňujú informácie požadované</w:t>
      </w:r>
      <w:r w:rsidR="00FB1918">
        <w:t xml:space="preserve"> v </w:t>
      </w:r>
      <w:r w:rsidRPr="00FB1918">
        <w:t>článku 45i ods. 3 písm. a)</w:t>
      </w:r>
      <w:r w:rsidR="00FB1918">
        <w:t xml:space="preserve"> a </w:t>
      </w:r>
      <w:r w:rsidRPr="00FB1918">
        <w:t>c) smernice 2014/59/EÚ</w:t>
      </w:r>
      <w:r w:rsidR="00FB1918">
        <w:t xml:space="preserve"> v </w:t>
      </w:r>
      <w:r w:rsidRPr="00FB1918">
        <w:t>súlade so vzorom EU KM2 uvedeným</w:t>
      </w:r>
      <w:r w:rsidR="00FB1918">
        <w:t xml:space="preserve"> v </w:t>
      </w:r>
      <w:r w:rsidRPr="00FB1918">
        <w:t>prílohe</w:t>
      </w:r>
      <w:r w:rsidR="00FB1918">
        <w:t xml:space="preserve"> V k </w:t>
      </w:r>
      <w:r w:rsidRPr="00FB1918">
        <w:t>tomuto nariadeniu</w:t>
      </w:r>
      <w:r w:rsidR="00FB1918">
        <w:t xml:space="preserve"> a s </w:t>
      </w:r>
      <w:r w:rsidRPr="00FB1918">
        <w:t>príslušnými pokynmi stanovenými</w:t>
      </w:r>
      <w:r w:rsidR="00FB1918">
        <w:t xml:space="preserve"> v </w:t>
      </w:r>
      <w:r w:rsidRPr="00FB1918">
        <w:t>prílohe VI</w:t>
      </w:r>
      <w:r w:rsidR="00FB1918">
        <w:t xml:space="preserve"> k </w:t>
      </w:r>
      <w:r w:rsidRPr="00FB1918">
        <w:t>tomuto nariadeniu.</w:t>
      </w:r>
    </w:p>
    <w:p w14:paraId="5BA5FA46" w14:textId="07620F0D" w:rsidR="00911C0D" w:rsidRPr="00FB1918" w:rsidRDefault="00911C0D" w:rsidP="00911C0D">
      <w:pPr>
        <w:pStyle w:val="Titrearticle"/>
      </w:pPr>
      <w:bookmarkStart w:id="2" w:name="_Ref21450145"/>
      <w:r w:rsidRPr="00FB1918">
        <w:t xml:space="preserve">Článok </w:t>
      </w:r>
      <w:r w:rsidR="00227472" w:rsidRPr="00FB1918">
        <w:fldChar w:fldCharType="begin"/>
      </w:r>
      <w:r w:rsidR="00227472" w:rsidRPr="00FB1918">
        <w:instrText xml:space="preserve"> SEQ Figure \* ARABIC </w:instrText>
      </w:r>
      <w:r w:rsidR="00227472" w:rsidRPr="00FB1918">
        <w:fldChar w:fldCharType="separate"/>
      </w:r>
      <w:r w:rsidRPr="00FB1918">
        <w:t>11</w:t>
      </w:r>
      <w:r w:rsidR="00227472" w:rsidRPr="00FB1918">
        <w:fldChar w:fldCharType="end"/>
      </w:r>
      <w:bookmarkEnd w:id="2"/>
      <w:r w:rsidRPr="00FB1918">
        <w:t xml:space="preserve"> </w:t>
      </w:r>
      <w:r w:rsidRPr="00FB1918">
        <w:br/>
        <w:t>Zverejňovanie informácií</w:t>
      </w:r>
      <w:r w:rsidR="00FB1918" w:rsidRPr="00FB1918">
        <w:t xml:space="preserve"> o </w:t>
      </w:r>
      <w:r w:rsidRPr="00FB1918">
        <w:t>zložení vlastných zdrojov</w:t>
      </w:r>
      <w:r w:rsidR="00FB1918" w:rsidRPr="00FB1918">
        <w:t xml:space="preserve"> a </w:t>
      </w:r>
      <w:r w:rsidRPr="00FB1918">
        <w:t>oprávnených záväzkov subjektmi, ktorých krízová situácia sa rieši</w:t>
      </w:r>
    </w:p>
    <w:p w14:paraId="097F2CA5" w14:textId="789D1AB5" w:rsidR="00911C0D" w:rsidRPr="00FB1918" w:rsidRDefault="00911C0D" w:rsidP="00727C02">
      <w:pPr>
        <w:pStyle w:val="NumPar1"/>
        <w:numPr>
          <w:ilvl w:val="0"/>
          <w:numId w:val="9"/>
        </w:numPr>
      </w:pPr>
      <w:r w:rsidRPr="00FB1918">
        <w:t>Subjekty identifikované ako subjekty, ktorých krízová situácia sa rieši</w:t>
      </w:r>
      <w:r w:rsidR="00FB1918">
        <w:t xml:space="preserve"> a </w:t>
      </w:r>
      <w:r w:rsidRPr="00FB1918">
        <w:t>ktoré sú G-SII alebo sú súčasťou G-SII, zverejňujú informácie požadované</w:t>
      </w:r>
      <w:r w:rsidR="00FB1918">
        <w:t xml:space="preserve"> v </w:t>
      </w:r>
      <w:r w:rsidRPr="00FB1918">
        <w:t>súlade</w:t>
      </w:r>
      <w:r w:rsidR="00FB1918">
        <w:t xml:space="preserve"> s </w:t>
      </w:r>
      <w:r w:rsidRPr="00FB1918">
        <w:t>článkom 437a písm. a), c)</w:t>
      </w:r>
      <w:r w:rsidR="00FB1918">
        <w:t xml:space="preserve"> a </w:t>
      </w:r>
      <w:r w:rsidRPr="00FB1918">
        <w:t>d) nariadenia (EÚ) č. 575/2013</w:t>
      </w:r>
      <w:r w:rsidR="00FB1918">
        <w:t xml:space="preserve"> a </w:t>
      </w:r>
      <w:r w:rsidRPr="00FB1918">
        <w:t>informácie</w:t>
      </w:r>
      <w:r w:rsidR="00FB1918">
        <w:t xml:space="preserve"> o </w:t>
      </w:r>
      <w:r w:rsidRPr="00FB1918">
        <w:t>zložení vlastných zdrojov</w:t>
      </w:r>
      <w:r w:rsidR="00FB1918">
        <w:t xml:space="preserve"> a </w:t>
      </w:r>
      <w:r w:rsidRPr="00FB1918">
        <w:t>oprávnených záväzkov požadované</w:t>
      </w:r>
      <w:r w:rsidR="00FB1918">
        <w:t xml:space="preserve"> v </w:t>
      </w:r>
      <w:r w:rsidRPr="00FB1918">
        <w:t>článku 45i ods. 3 písm. b) smernice 2014/59/EÚ</w:t>
      </w:r>
      <w:r w:rsidR="00FB1918">
        <w:t xml:space="preserve"> v </w:t>
      </w:r>
      <w:r w:rsidRPr="00FB1918">
        <w:t>súlade so vzorom EU TLAC1 uvedeným</w:t>
      </w:r>
      <w:r w:rsidR="00FB1918">
        <w:t xml:space="preserve"> v </w:t>
      </w:r>
      <w:r w:rsidRPr="00FB1918">
        <w:t>prílohe</w:t>
      </w:r>
      <w:r w:rsidR="00FB1918">
        <w:t xml:space="preserve"> V k </w:t>
      </w:r>
      <w:r w:rsidRPr="00FB1918">
        <w:t>tomuto nariadeniu</w:t>
      </w:r>
      <w:r w:rsidR="00FB1918">
        <w:t xml:space="preserve"> a s </w:t>
      </w:r>
      <w:r w:rsidRPr="00FB1918">
        <w:t>príslušnými pokynmi stanovenými</w:t>
      </w:r>
      <w:r w:rsidR="00FB1918">
        <w:t xml:space="preserve"> v </w:t>
      </w:r>
      <w:r w:rsidRPr="00FB1918">
        <w:t>prílohe VI</w:t>
      </w:r>
      <w:r w:rsidR="00FB1918">
        <w:t xml:space="preserve"> k </w:t>
      </w:r>
      <w:r w:rsidRPr="00FB1918">
        <w:t>tomuto nariadeniu.</w:t>
      </w:r>
    </w:p>
    <w:p w14:paraId="6EE067EB" w14:textId="2FF12F8A" w:rsidR="00911C0D" w:rsidRPr="00FB1918" w:rsidRDefault="00911C0D" w:rsidP="00727C02">
      <w:pPr>
        <w:pStyle w:val="NumPar1"/>
        <w:numPr>
          <w:ilvl w:val="0"/>
          <w:numId w:val="9"/>
        </w:numPr>
      </w:pPr>
      <w:r w:rsidRPr="00FB1918">
        <w:t>Subjekty identifikované ako subjekty, ktorých krízová situácia sa rieši</w:t>
      </w:r>
      <w:r w:rsidR="00FB1918">
        <w:t xml:space="preserve"> a </w:t>
      </w:r>
      <w:r w:rsidRPr="00FB1918">
        <w:t>ktoré nie sú G-SII</w:t>
      </w:r>
      <w:r w:rsidR="00FB1918">
        <w:t xml:space="preserve"> a </w:t>
      </w:r>
      <w:r w:rsidRPr="00FB1918">
        <w:t>nie sú ani súčasťou G-SII, zverejňujú informácie</w:t>
      </w:r>
      <w:r w:rsidR="00FB1918">
        <w:t xml:space="preserve"> o </w:t>
      </w:r>
      <w:r w:rsidRPr="00FB1918">
        <w:t>zložení vlastných zdrojov</w:t>
      </w:r>
      <w:r w:rsidR="00FB1918">
        <w:t xml:space="preserve"> a </w:t>
      </w:r>
      <w:r w:rsidRPr="00FB1918">
        <w:t>oprávnených záväzkov požadované podľa článku 45i ods. 3 písm. b) smernice 2014/59/EÚ</w:t>
      </w:r>
      <w:r w:rsidR="00FB1918">
        <w:t xml:space="preserve"> v </w:t>
      </w:r>
      <w:r w:rsidRPr="00FB1918">
        <w:t>súlade so vzorom EU TLAC1 uvedeným</w:t>
      </w:r>
      <w:r w:rsidR="00FB1918">
        <w:t xml:space="preserve"> v </w:t>
      </w:r>
      <w:r w:rsidRPr="00FB1918">
        <w:t>prílohe</w:t>
      </w:r>
      <w:r w:rsidR="00FB1918">
        <w:t xml:space="preserve"> V k </w:t>
      </w:r>
      <w:r w:rsidRPr="00FB1918">
        <w:t>tomuto nariadeniu</w:t>
      </w:r>
      <w:r w:rsidR="00FB1918">
        <w:t xml:space="preserve"> a s </w:t>
      </w:r>
      <w:r w:rsidRPr="00FB1918">
        <w:t>príslušnými pokynmi stanovenými</w:t>
      </w:r>
      <w:r w:rsidR="00FB1918">
        <w:t xml:space="preserve"> v </w:t>
      </w:r>
      <w:r w:rsidRPr="00FB1918">
        <w:t>prílohe VI</w:t>
      </w:r>
      <w:r w:rsidR="00FB1918">
        <w:t xml:space="preserve"> k </w:t>
      </w:r>
      <w:r w:rsidRPr="00FB1918">
        <w:t>tomuto nariadeniu.</w:t>
      </w:r>
    </w:p>
    <w:p w14:paraId="31FF8221" w14:textId="341C63E8" w:rsidR="00911C0D" w:rsidRPr="00FB1918" w:rsidRDefault="00911C0D" w:rsidP="00911C0D">
      <w:pPr>
        <w:pStyle w:val="Titrearticle"/>
      </w:pPr>
      <w:bookmarkStart w:id="3" w:name="_Ref21087987"/>
      <w:r w:rsidRPr="00FB1918">
        <w:lastRenderedPageBreak/>
        <w:t xml:space="preserve">Článok </w:t>
      </w:r>
      <w:r w:rsidR="00227472" w:rsidRPr="00FB1918">
        <w:fldChar w:fldCharType="begin"/>
      </w:r>
      <w:r w:rsidR="00227472" w:rsidRPr="00FB1918">
        <w:instrText xml:space="preserve"> SEQ Figure \* ARABIC </w:instrText>
      </w:r>
      <w:r w:rsidR="00227472" w:rsidRPr="00FB1918">
        <w:fldChar w:fldCharType="separate"/>
      </w:r>
      <w:r w:rsidRPr="00FB1918">
        <w:t>12</w:t>
      </w:r>
      <w:r w:rsidR="00227472" w:rsidRPr="00FB1918">
        <w:fldChar w:fldCharType="end"/>
      </w:r>
      <w:bookmarkEnd w:id="3"/>
      <w:r w:rsidRPr="00FB1918">
        <w:t xml:space="preserve"> </w:t>
      </w:r>
      <w:r w:rsidRPr="00FB1918">
        <w:br/>
        <w:t>Zverejňovanie informácií</w:t>
      </w:r>
      <w:r w:rsidR="00FB1918" w:rsidRPr="00FB1918">
        <w:t xml:space="preserve"> o </w:t>
      </w:r>
      <w:r w:rsidRPr="00FB1918">
        <w:t>kľúčových parametroch</w:t>
      </w:r>
      <w:r w:rsidR="00FB1918" w:rsidRPr="00FB1918">
        <w:t xml:space="preserve"> a </w:t>
      </w:r>
      <w:r w:rsidRPr="00FB1918">
        <w:t>internej kapacite na absorpciu strát subjektmi, ktoré nie sú samy subjektmi, ktorých krízová situácia sa rieši</w:t>
      </w:r>
    </w:p>
    <w:p w14:paraId="32300B39" w14:textId="4E8166F0" w:rsidR="00911C0D" w:rsidRPr="00FB1918" w:rsidRDefault="00911C0D" w:rsidP="00727C02">
      <w:pPr>
        <w:pStyle w:val="NumPar1"/>
        <w:numPr>
          <w:ilvl w:val="0"/>
          <w:numId w:val="8"/>
        </w:numPr>
      </w:pPr>
      <w:r w:rsidRPr="00FB1918">
        <w:t>Subjekty, ktoré sú významnými dcérskymi spoločnosťami G-SII mimo EÚ</w:t>
      </w:r>
      <w:r w:rsidR="00FB1918">
        <w:t xml:space="preserve"> a </w:t>
      </w:r>
      <w:r w:rsidRPr="00FB1918">
        <w:t>ktoré nie sú samy subjektmi, ktorých krízová situácia sa rieši, zverejňujú</w:t>
      </w:r>
      <w:r w:rsidR="00FB1918">
        <w:t xml:space="preserve"> v </w:t>
      </w:r>
      <w:r w:rsidRPr="00FB1918">
        <w:t>súlade so vzorom EU ILAC uvedeným</w:t>
      </w:r>
      <w:r w:rsidR="00FB1918">
        <w:t xml:space="preserve"> v </w:t>
      </w:r>
      <w:r w:rsidRPr="00FB1918">
        <w:t>prílohe</w:t>
      </w:r>
      <w:r w:rsidR="00FB1918">
        <w:t xml:space="preserve"> V k </w:t>
      </w:r>
      <w:r w:rsidRPr="00FB1918">
        <w:t>tomuto nariadeniu</w:t>
      </w:r>
      <w:r w:rsidR="00FB1918">
        <w:t xml:space="preserve"> a s </w:t>
      </w:r>
      <w:r w:rsidRPr="00FB1918">
        <w:t>príslušnými pokynmi stanovenými</w:t>
      </w:r>
      <w:r w:rsidR="00FB1918">
        <w:t xml:space="preserve"> v </w:t>
      </w:r>
      <w:r w:rsidRPr="00FB1918">
        <w:t>prílohe VI</w:t>
      </w:r>
      <w:r w:rsidR="00FB1918">
        <w:t xml:space="preserve"> k </w:t>
      </w:r>
      <w:r w:rsidRPr="00FB1918">
        <w:t>tomuto nariadeniu tieto informácie:</w:t>
      </w:r>
    </w:p>
    <w:p w14:paraId="782B5E5F" w14:textId="005FED4D" w:rsidR="00911C0D" w:rsidRPr="00FB1918" w:rsidRDefault="00FB1918" w:rsidP="00FB1918">
      <w:pPr>
        <w:pStyle w:val="Point1"/>
      </w:pPr>
      <w:r w:rsidRPr="00FB1918">
        <w:t>a)</w:t>
      </w:r>
      <w:r w:rsidRPr="00FB1918">
        <w:tab/>
      </w:r>
      <w:r w:rsidR="00911C0D" w:rsidRPr="00FB1918">
        <w:t>informácie požadované</w:t>
      </w:r>
      <w:r>
        <w:t xml:space="preserve"> v </w:t>
      </w:r>
      <w:r w:rsidR="00911C0D" w:rsidRPr="00FB1918">
        <w:t>súlade</w:t>
      </w:r>
      <w:r>
        <w:t xml:space="preserve"> s </w:t>
      </w:r>
      <w:r w:rsidR="00911C0D" w:rsidRPr="00FB1918">
        <w:t>článkom 437a písm. a), c)</w:t>
      </w:r>
      <w:r>
        <w:t xml:space="preserve"> a </w:t>
      </w:r>
      <w:r w:rsidR="00911C0D" w:rsidRPr="00FB1918">
        <w:t>d) nariadenia (EÚ) č. 575/2013;</w:t>
      </w:r>
    </w:p>
    <w:p w14:paraId="32D06C75" w14:textId="43A7CB53" w:rsidR="00911C0D" w:rsidRPr="00FB1918" w:rsidRDefault="00FB1918" w:rsidP="00FB1918">
      <w:pPr>
        <w:pStyle w:val="Point1"/>
      </w:pPr>
      <w:r w:rsidRPr="00FB1918">
        <w:t>b)</w:t>
      </w:r>
      <w:r w:rsidRPr="00FB1918">
        <w:tab/>
      </w:r>
      <w:r w:rsidR="00911C0D" w:rsidRPr="00FB1918">
        <w:t>informácie požadované</w:t>
      </w:r>
      <w:r>
        <w:t xml:space="preserve"> v </w:t>
      </w:r>
      <w:r w:rsidR="00911C0D" w:rsidRPr="00FB1918">
        <w:t>súlade</w:t>
      </w:r>
      <w:r>
        <w:t xml:space="preserve"> s </w:t>
      </w:r>
      <w:r w:rsidR="00911C0D" w:rsidRPr="00FB1918">
        <w:t>článkom 447 písm. h) nariadenia (EÚ) č.</w:t>
      </w:r>
      <w:r>
        <w:t> </w:t>
      </w:r>
      <w:r w:rsidR="00911C0D" w:rsidRPr="00FB1918">
        <w:t>575/2013;</w:t>
      </w:r>
    </w:p>
    <w:p w14:paraId="00DD876B" w14:textId="656CC28D" w:rsidR="00911C0D" w:rsidRPr="00FB1918" w:rsidRDefault="00FB1918" w:rsidP="00FB1918">
      <w:pPr>
        <w:pStyle w:val="Point1"/>
      </w:pPr>
      <w:r w:rsidRPr="00FB1918">
        <w:t>c)</w:t>
      </w:r>
      <w:r w:rsidRPr="00FB1918">
        <w:tab/>
      </w:r>
      <w:r w:rsidR="00911C0D" w:rsidRPr="00FB1918">
        <w:t>informácie požadované</w:t>
      </w:r>
      <w:r>
        <w:t xml:space="preserve"> v </w:t>
      </w:r>
      <w:r w:rsidR="00911C0D" w:rsidRPr="00FB1918">
        <w:t>súlade</w:t>
      </w:r>
      <w:r>
        <w:t xml:space="preserve"> s </w:t>
      </w:r>
      <w:r w:rsidR="00911C0D" w:rsidRPr="00FB1918">
        <w:t>článkom 45i ods. 3 písm. a)</w:t>
      </w:r>
      <w:r>
        <w:t xml:space="preserve"> a </w:t>
      </w:r>
      <w:r w:rsidR="00911C0D" w:rsidRPr="00FB1918">
        <w:t>c) smernice 2014/59/EÚ;</w:t>
      </w:r>
    </w:p>
    <w:p w14:paraId="4DA0CF37" w14:textId="5FD0FE85" w:rsidR="00911C0D" w:rsidRPr="00FB1918" w:rsidRDefault="00FB1918" w:rsidP="00FB1918">
      <w:pPr>
        <w:pStyle w:val="Point1"/>
      </w:pPr>
      <w:r w:rsidRPr="00FB1918">
        <w:t>d)</w:t>
      </w:r>
      <w:r w:rsidRPr="00FB1918">
        <w:tab/>
      </w:r>
      <w:r w:rsidR="00911C0D" w:rsidRPr="00FB1918">
        <w:t>informácie týkajúce sa zloženia vlastných zdrojov</w:t>
      </w:r>
      <w:r>
        <w:t xml:space="preserve"> a </w:t>
      </w:r>
      <w:r w:rsidR="00911C0D" w:rsidRPr="00FB1918">
        <w:t>oprávnených záväzkov požadované</w:t>
      </w:r>
      <w:r>
        <w:t xml:space="preserve"> v </w:t>
      </w:r>
      <w:r w:rsidR="00911C0D" w:rsidRPr="00FB1918">
        <w:t>súlade</w:t>
      </w:r>
      <w:r>
        <w:t xml:space="preserve"> s </w:t>
      </w:r>
      <w:r w:rsidR="00911C0D" w:rsidRPr="00FB1918">
        <w:t>článkom 45i ods. 3 písm. b) smernice 2014/59/EÚ.</w:t>
      </w:r>
    </w:p>
    <w:p w14:paraId="2D3A456D" w14:textId="464E7B83" w:rsidR="00911C0D" w:rsidRPr="00FB1918" w:rsidRDefault="00911C0D" w:rsidP="00911C0D">
      <w:pPr>
        <w:pStyle w:val="Point0"/>
      </w:pPr>
      <w:r w:rsidRPr="00FB1918">
        <w:t>2.</w:t>
      </w:r>
      <w:r w:rsidRPr="00FB1918">
        <w:tab/>
        <w:t>Subjekty iné ako významné dcérske spoločnosti G-SII mimo EÚ, ktoré nie sú samy subjektmi, ktorých krízová situácia sa rieši, zverejňujú</w:t>
      </w:r>
      <w:r w:rsidR="00FB1918">
        <w:t xml:space="preserve"> v </w:t>
      </w:r>
      <w:r w:rsidRPr="00FB1918">
        <w:t>súlade so vzorom EU ILAC uvedeným</w:t>
      </w:r>
      <w:r w:rsidR="00FB1918">
        <w:t xml:space="preserve"> v </w:t>
      </w:r>
      <w:r w:rsidRPr="00FB1918">
        <w:t>prílohe</w:t>
      </w:r>
      <w:r w:rsidR="00FB1918">
        <w:t xml:space="preserve"> V k </w:t>
      </w:r>
      <w:r w:rsidRPr="00FB1918">
        <w:t>tomuto nariadeniu</w:t>
      </w:r>
      <w:r w:rsidR="00FB1918">
        <w:t xml:space="preserve"> a s </w:t>
      </w:r>
      <w:r w:rsidRPr="00FB1918">
        <w:t>príslušnými pokynmi stanovenými</w:t>
      </w:r>
      <w:r w:rsidR="00FB1918">
        <w:t xml:space="preserve"> v </w:t>
      </w:r>
      <w:r w:rsidRPr="00FB1918">
        <w:t>prílohe VI</w:t>
      </w:r>
      <w:r w:rsidR="00FB1918">
        <w:t xml:space="preserve"> k </w:t>
      </w:r>
      <w:r w:rsidRPr="00FB1918">
        <w:t>tomuto nariadeniu tieto informácie:</w:t>
      </w:r>
    </w:p>
    <w:p w14:paraId="2F8640BD" w14:textId="07DB0427" w:rsidR="00911C0D" w:rsidRPr="00FB1918" w:rsidRDefault="00FB1918" w:rsidP="00FB1918">
      <w:pPr>
        <w:pStyle w:val="Point1"/>
      </w:pPr>
      <w:r w:rsidRPr="00FB1918">
        <w:t>a)</w:t>
      </w:r>
      <w:r w:rsidRPr="00FB1918">
        <w:tab/>
      </w:r>
      <w:r w:rsidR="00911C0D" w:rsidRPr="00FB1918">
        <w:t>informácie požadované</w:t>
      </w:r>
      <w:r>
        <w:t xml:space="preserve"> v </w:t>
      </w:r>
      <w:r w:rsidR="00911C0D" w:rsidRPr="00FB1918">
        <w:t>súlade</w:t>
      </w:r>
      <w:r>
        <w:t xml:space="preserve"> s </w:t>
      </w:r>
      <w:r w:rsidR="00911C0D" w:rsidRPr="00FB1918">
        <w:t>článkom 45i ods. 3 písm. a)</w:t>
      </w:r>
      <w:r>
        <w:t xml:space="preserve"> a </w:t>
      </w:r>
      <w:r w:rsidR="00911C0D" w:rsidRPr="00FB1918">
        <w:t>c) smernice 2014/59/EÚ;</w:t>
      </w:r>
    </w:p>
    <w:p w14:paraId="4C6E59D7" w14:textId="68EE7FFF" w:rsidR="00911C0D" w:rsidRPr="00FB1918" w:rsidRDefault="00FB1918" w:rsidP="00FB1918">
      <w:pPr>
        <w:pStyle w:val="Point1"/>
      </w:pPr>
      <w:r w:rsidRPr="00FB1918">
        <w:t>b)</w:t>
      </w:r>
      <w:r w:rsidRPr="00FB1918">
        <w:tab/>
      </w:r>
      <w:r w:rsidR="00911C0D" w:rsidRPr="00FB1918">
        <w:t>informácie týkajúce sa zloženia vlastných zdrojov</w:t>
      </w:r>
      <w:r>
        <w:t xml:space="preserve"> a </w:t>
      </w:r>
      <w:r w:rsidR="00911C0D" w:rsidRPr="00FB1918">
        <w:t>oprávnených záväzkov požadované</w:t>
      </w:r>
      <w:r>
        <w:t xml:space="preserve"> v </w:t>
      </w:r>
      <w:r w:rsidR="00911C0D" w:rsidRPr="00FB1918">
        <w:t>súlade</w:t>
      </w:r>
      <w:r>
        <w:t xml:space="preserve"> s </w:t>
      </w:r>
      <w:r w:rsidR="00911C0D" w:rsidRPr="00FB1918">
        <w:t>článkom 45i ods. 3 písm. b) smernice 2014/59/EÚ.</w:t>
      </w:r>
    </w:p>
    <w:p w14:paraId="40797C60" w14:textId="77777777" w:rsidR="00911C0D" w:rsidRPr="00FB1918" w:rsidRDefault="00911C0D" w:rsidP="00911C0D">
      <w:pPr>
        <w:pStyle w:val="Titrearticle"/>
      </w:pPr>
      <w:bookmarkStart w:id="4" w:name="_Ref21088028"/>
      <w:r w:rsidRPr="00FB1918">
        <w:t xml:space="preserve">Článok </w:t>
      </w:r>
      <w:bookmarkEnd w:id="4"/>
      <w:r w:rsidRPr="00FB1918">
        <w:fldChar w:fldCharType="begin"/>
      </w:r>
      <w:r w:rsidRPr="00FB1918">
        <w:instrText xml:space="preserve"> SEQ Figure \* ARABIC </w:instrText>
      </w:r>
      <w:r w:rsidRPr="00FB1918">
        <w:fldChar w:fldCharType="separate"/>
      </w:r>
      <w:r w:rsidRPr="00FB1918">
        <w:t>13</w:t>
      </w:r>
      <w:r w:rsidRPr="00FB1918">
        <w:fldChar w:fldCharType="end"/>
      </w:r>
      <w:r w:rsidRPr="00FB1918">
        <w:t xml:space="preserve"> </w:t>
      </w:r>
      <w:r w:rsidRPr="00FB1918">
        <w:br/>
        <w:t>Zverejňovanie poradia veriteľov subjektmi inými, než sú subjekty, ktorých krízová situácia sa rieši</w:t>
      </w:r>
    </w:p>
    <w:p w14:paraId="0C616652" w14:textId="7C13A640" w:rsidR="00FB1918" w:rsidRDefault="00911C0D" w:rsidP="00727C02">
      <w:pPr>
        <w:pStyle w:val="NumPar1"/>
        <w:numPr>
          <w:ilvl w:val="0"/>
          <w:numId w:val="7"/>
        </w:numPr>
      </w:pPr>
      <w:r w:rsidRPr="00FB1918">
        <w:t>Subjekty, ktoré sú významnými dcérskymi spoločnosťami G-SII mimo EÚ</w:t>
      </w:r>
      <w:r w:rsidR="00FB1918">
        <w:t xml:space="preserve"> a </w:t>
      </w:r>
      <w:r w:rsidRPr="00FB1918">
        <w:t>ktoré nie sú samy subjektmi, ktorých krízová situácia sa rieši, zverejňujú informácie</w:t>
      </w:r>
      <w:r w:rsidR="00FB1918">
        <w:t xml:space="preserve"> o </w:t>
      </w:r>
      <w:r w:rsidRPr="00FB1918">
        <w:t>profile splatnosti</w:t>
      </w:r>
      <w:r w:rsidR="00FB1918">
        <w:t xml:space="preserve"> a </w:t>
      </w:r>
      <w:r w:rsidRPr="00FB1918">
        <w:t>postavení</w:t>
      </w:r>
      <w:r w:rsidR="00FB1918">
        <w:t xml:space="preserve"> v </w:t>
      </w:r>
      <w:r w:rsidRPr="00FB1918">
        <w:t>bežnom insolvenčnom konaní požadované</w:t>
      </w:r>
      <w:r w:rsidR="00FB1918">
        <w:t xml:space="preserve"> v </w:t>
      </w:r>
      <w:r w:rsidRPr="00FB1918">
        <w:t>článku 437a písm. a)</w:t>
      </w:r>
      <w:r w:rsidR="00FB1918">
        <w:t xml:space="preserve"> a </w:t>
      </w:r>
      <w:r w:rsidRPr="00FB1918">
        <w:t>b) nariadenia (EÚ) č. 575/2013</w:t>
      </w:r>
      <w:r w:rsidR="00FB1918">
        <w:t xml:space="preserve"> a v </w:t>
      </w:r>
      <w:r w:rsidRPr="00FB1918">
        <w:t>článku 45i ods. 3 písm. b) smernice 2014/59/EÚ</w:t>
      </w:r>
      <w:r w:rsidR="00FB1918">
        <w:t xml:space="preserve"> v </w:t>
      </w:r>
      <w:r w:rsidRPr="00FB1918">
        <w:t>súlade so vzorom EU TLAC2a uvedeným</w:t>
      </w:r>
      <w:r w:rsidR="00FB1918">
        <w:t xml:space="preserve"> v </w:t>
      </w:r>
      <w:r w:rsidRPr="00FB1918">
        <w:t>prílohe</w:t>
      </w:r>
      <w:r w:rsidR="00FB1918">
        <w:t xml:space="preserve"> V k </w:t>
      </w:r>
      <w:r w:rsidRPr="00FB1918">
        <w:t>tomuto nariadeniu</w:t>
      </w:r>
      <w:r w:rsidR="00FB1918">
        <w:t xml:space="preserve"> a s </w:t>
      </w:r>
      <w:r w:rsidRPr="00FB1918">
        <w:t>príslušnými pokynmi stanovenými</w:t>
      </w:r>
      <w:r w:rsidR="00FB1918">
        <w:t xml:space="preserve"> v </w:t>
      </w:r>
      <w:r w:rsidRPr="00FB1918">
        <w:t>prílohe VI</w:t>
      </w:r>
      <w:r w:rsidR="00FB1918">
        <w:t xml:space="preserve"> k </w:t>
      </w:r>
      <w:r w:rsidRPr="00FB1918">
        <w:t>tomuto nariadeniu</w:t>
      </w:r>
      <w:r w:rsidR="00FB1918">
        <w:t>.</w:t>
      </w:r>
    </w:p>
    <w:p w14:paraId="653D8D54" w14:textId="4D0E8B43" w:rsidR="00FB1918" w:rsidRDefault="00911C0D" w:rsidP="00727C02">
      <w:pPr>
        <w:pStyle w:val="NumPar1"/>
        <w:numPr>
          <w:ilvl w:val="0"/>
          <w:numId w:val="7"/>
        </w:numPr>
      </w:pPr>
      <w:r w:rsidRPr="00FB1918">
        <w:t>Subjekty iné ako významné dcérske spoločnosti G-SII mimo EÚ, ktoré nie sú samy subjektmi, ktorých krízová situácia sa rieši, zverejňujú informácie</w:t>
      </w:r>
      <w:r w:rsidR="00FB1918">
        <w:t xml:space="preserve"> o </w:t>
      </w:r>
      <w:r w:rsidRPr="00FB1918">
        <w:t>profile splatnosti</w:t>
      </w:r>
      <w:r w:rsidR="00FB1918">
        <w:t xml:space="preserve"> a </w:t>
      </w:r>
      <w:r w:rsidRPr="00FB1918">
        <w:t>postavení</w:t>
      </w:r>
      <w:r w:rsidR="00FB1918">
        <w:t xml:space="preserve"> v </w:t>
      </w:r>
      <w:r w:rsidRPr="00FB1918">
        <w:t>bežnom insolvenčnom konaní požadované</w:t>
      </w:r>
      <w:r w:rsidR="00FB1918">
        <w:t xml:space="preserve"> v </w:t>
      </w:r>
      <w:r w:rsidRPr="00FB1918">
        <w:t>článku 45i ods. 3 písm. b) smernice 2014/59/EÚ</w:t>
      </w:r>
      <w:r w:rsidR="00FB1918">
        <w:t xml:space="preserve"> v </w:t>
      </w:r>
      <w:r w:rsidRPr="00FB1918">
        <w:t>súlade so vzorom EU TLAC2b uvedeným</w:t>
      </w:r>
      <w:r w:rsidR="00FB1918">
        <w:t xml:space="preserve"> v </w:t>
      </w:r>
      <w:r w:rsidRPr="00FB1918">
        <w:t>prílohe</w:t>
      </w:r>
      <w:r w:rsidR="00FB1918">
        <w:t xml:space="preserve"> V k </w:t>
      </w:r>
      <w:r w:rsidRPr="00FB1918">
        <w:t>tomuto nariadeniu</w:t>
      </w:r>
      <w:r w:rsidR="00FB1918">
        <w:t xml:space="preserve"> a s </w:t>
      </w:r>
      <w:r w:rsidRPr="00FB1918">
        <w:t>príslušnými pokynmi stanovenými</w:t>
      </w:r>
      <w:r w:rsidR="00FB1918">
        <w:t xml:space="preserve"> v </w:t>
      </w:r>
      <w:r w:rsidRPr="00FB1918">
        <w:t>prílohe VI</w:t>
      </w:r>
      <w:r w:rsidR="00FB1918">
        <w:t xml:space="preserve"> k </w:t>
      </w:r>
      <w:r w:rsidRPr="00FB1918">
        <w:t>tomuto nariadeniu</w:t>
      </w:r>
      <w:r w:rsidR="00FB1918">
        <w:t>.</w:t>
      </w:r>
    </w:p>
    <w:p w14:paraId="51B0E851" w14:textId="4C6E948D" w:rsidR="00911C0D" w:rsidRPr="00FB1918" w:rsidRDefault="00911C0D" w:rsidP="00B129CF">
      <w:pPr>
        <w:pStyle w:val="Text1"/>
      </w:pPr>
      <w:r w:rsidRPr="00FB1918">
        <w:t>Subjekty uvedené</w:t>
      </w:r>
      <w:r w:rsidR="00FB1918">
        <w:t xml:space="preserve"> v </w:t>
      </w:r>
      <w:r w:rsidRPr="00FB1918">
        <w:t>prvom pododseku tohto odseku sa môžu rozhodnúť, že na zverejňovanie informácií</w:t>
      </w:r>
      <w:r w:rsidR="00FB1918">
        <w:t xml:space="preserve"> o </w:t>
      </w:r>
      <w:r w:rsidRPr="00FB1918">
        <w:t>profile splatnosti</w:t>
      </w:r>
      <w:r w:rsidR="00FB1918">
        <w:t xml:space="preserve"> a </w:t>
      </w:r>
      <w:r w:rsidRPr="00FB1918">
        <w:t>postavení</w:t>
      </w:r>
      <w:r w:rsidR="00FB1918">
        <w:t xml:space="preserve"> v </w:t>
      </w:r>
      <w:r w:rsidRPr="00FB1918">
        <w:t>bežnom insolvenčnom konaní požadovaných</w:t>
      </w:r>
      <w:r w:rsidR="00FB1918">
        <w:t xml:space="preserve"> v </w:t>
      </w:r>
      <w:r w:rsidRPr="00FB1918">
        <w:t>súlade</w:t>
      </w:r>
      <w:r w:rsidR="00FB1918">
        <w:t xml:space="preserve"> s </w:t>
      </w:r>
      <w:r w:rsidRPr="00FB1918">
        <w:t>článkom 45i ods. 3 písm. b) smernice 2014/59/EÚ namiesto vzoru EU TLAC2b použijú vzor EU TLAC2a.</w:t>
      </w:r>
    </w:p>
    <w:p w14:paraId="0ACD53CE" w14:textId="77777777" w:rsidR="00911C0D" w:rsidRPr="00FB1918" w:rsidRDefault="00911C0D" w:rsidP="00911C0D">
      <w:pPr>
        <w:pStyle w:val="Titrearticle"/>
      </w:pPr>
      <w:bookmarkStart w:id="5" w:name="_Ref21087242"/>
      <w:r w:rsidRPr="00FB1918">
        <w:lastRenderedPageBreak/>
        <w:t xml:space="preserve">Článok </w:t>
      </w:r>
      <w:bookmarkEnd w:id="5"/>
      <w:r w:rsidRPr="00FB1918">
        <w:fldChar w:fldCharType="begin"/>
      </w:r>
      <w:r w:rsidRPr="00FB1918">
        <w:instrText xml:space="preserve"> SEQ Figure \* ARABIC </w:instrText>
      </w:r>
      <w:r w:rsidRPr="00FB1918">
        <w:fldChar w:fldCharType="separate"/>
      </w:r>
      <w:r w:rsidRPr="00FB1918">
        <w:t>14</w:t>
      </w:r>
      <w:r w:rsidRPr="00FB1918">
        <w:fldChar w:fldCharType="end"/>
      </w:r>
      <w:r w:rsidRPr="00FB1918">
        <w:t xml:space="preserve"> </w:t>
      </w:r>
      <w:r w:rsidRPr="00FB1918">
        <w:br/>
        <w:t>Zverejňovanie poradia veriteľov subjektmi, ktorých krízová situácia sa rieši</w:t>
      </w:r>
    </w:p>
    <w:p w14:paraId="5D56235B" w14:textId="6C49F9AC" w:rsidR="00FB1918" w:rsidRDefault="00911C0D" w:rsidP="00727C02">
      <w:pPr>
        <w:pStyle w:val="NumPar1"/>
        <w:numPr>
          <w:ilvl w:val="0"/>
          <w:numId w:val="13"/>
        </w:numPr>
      </w:pPr>
      <w:r w:rsidRPr="00FB1918">
        <w:t>Subjekty identifikované ako subjekty, ktorých krízová situácia sa rieši</w:t>
      </w:r>
      <w:r w:rsidR="00FB1918">
        <w:t xml:space="preserve"> a </w:t>
      </w:r>
      <w:r w:rsidRPr="00FB1918">
        <w:t>ktoré sú G-SII alebo sú súčasťou G-SII, zverejňujú informácie</w:t>
      </w:r>
      <w:r w:rsidR="00FB1918">
        <w:t xml:space="preserve"> o </w:t>
      </w:r>
      <w:r w:rsidRPr="00FB1918">
        <w:t>profile splatnosti</w:t>
      </w:r>
      <w:r w:rsidR="00FB1918">
        <w:t xml:space="preserve"> a </w:t>
      </w:r>
      <w:r w:rsidRPr="00FB1918">
        <w:t>postavení</w:t>
      </w:r>
      <w:r w:rsidR="00FB1918">
        <w:t xml:space="preserve"> v </w:t>
      </w:r>
      <w:r w:rsidRPr="00FB1918">
        <w:t>bežnom insolvenčnom konaní stanovené</w:t>
      </w:r>
      <w:r w:rsidR="00FB1918">
        <w:t xml:space="preserve"> v </w:t>
      </w:r>
      <w:r w:rsidRPr="00FB1918">
        <w:t>článku 437a písm. a)</w:t>
      </w:r>
      <w:r w:rsidR="00FB1918">
        <w:t xml:space="preserve"> a </w:t>
      </w:r>
      <w:r w:rsidRPr="00FB1918">
        <w:t>b) nariadenia (EÚ) č. 575/2013</w:t>
      </w:r>
      <w:r w:rsidR="00FB1918">
        <w:t xml:space="preserve"> a v </w:t>
      </w:r>
      <w:r w:rsidRPr="00FB1918">
        <w:t>článku 45i ods. 3 písm. b) smernice 2014/59/EÚ</w:t>
      </w:r>
      <w:r w:rsidR="00FB1918">
        <w:t xml:space="preserve"> v </w:t>
      </w:r>
      <w:r w:rsidRPr="00FB1918">
        <w:t>súlade so vzorom EU TLAC3a uvedeným</w:t>
      </w:r>
      <w:r w:rsidR="00FB1918">
        <w:t xml:space="preserve"> v </w:t>
      </w:r>
      <w:r w:rsidRPr="00FB1918">
        <w:t>prílohe</w:t>
      </w:r>
      <w:r w:rsidR="00FB1918">
        <w:t xml:space="preserve"> V k </w:t>
      </w:r>
      <w:r w:rsidRPr="00FB1918">
        <w:t>tomuto nariadeniu</w:t>
      </w:r>
      <w:r w:rsidR="00FB1918">
        <w:t xml:space="preserve"> a s </w:t>
      </w:r>
      <w:r w:rsidRPr="00FB1918">
        <w:t>príslušnými pokynmi stanovenými</w:t>
      </w:r>
      <w:r w:rsidR="00FB1918">
        <w:t xml:space="preserve"> v </w:t>
      </w:r>
      <w:r w:rsidRPr="00FB1918">
        <w:t>prílohe VI</w:t>
      </w:r>
      <w:r w:rsidR="00FB1918">
        <w:t xml:space="preserve"> k </w:t>
      </w:r>
      <w:r w:rsidRPr="00FB1918">
        <w:t>tomuto nariadeniu</w:t>
      </w:r>
      <w:r w:rsidR="00FB1918">
        <w:t>.</w:t>
      </w:r>
    </w:p>
    <w:p w14:paraId="6201D574" w14:textId="223E4FC1" w:rsidR="00FB1918" w:rsidRDefault="00911C0D" w:rsidP="00727C02">
      <w:pPr>
        <w:pStyle w:val="NumPar1"/>
        <w:numPr>
          <w:ilvl w:val="0"/>
          <w:numId w:val="13"/>
        </w:numPr>
      </w:pPr>
      <w:r w:rsidRPr="00FB1918">
        <w:t>Subjekty identifikované ako subjekty, ktorých krízová situácia sa rieši</w:t>
      </w:r>
      <w:r w:rsidR="00FB1918">
        <w:t xml:space="preserve"> a </w:t>
      </w:r>
      <w:r w:rsidRPr="00FB1918">
        <w:t>ktoré nie sú G-SII</w:t>
      </w:r>
      <w:r w:rsidR="00FB1918">
        <w:t xml:space="preserve"> a </w:t>
      </w:r>
      <w:r w:rsidRPr="00FB1918">
        <w:t>nie sú ani súčasťou G-SII, zverejňujú informácie</w:t>
      </w:r>
      <w:r w:rsidR="00FB1918">
        <w:t xml:space="preserve"> o </w:t>
      </w:r>
      <w:r w:rsidRPr="00FB1918">
        <w:t>profile splatnosti</w:t>
      </w:r>
      <w:r w:rsidR="00FB1918">
        <w:t xml:space="preserve"> a </w:t>
      </w:r>
      <w:r w:rsidRPr="00FB1918">
        <w:t>postavení</w:t>
      </w:r>
      <w:r w:rsidR="00FB1918">
        <w:t xml:space="preserve"> v </w:t>
      </w:r>
      <w:r w:rsidRPr="00FB1918">
        <w:t>bežnom insolvenčnom konaní stanovené</w:t>
      </w:r>
      <w:r w:rsidR="00FB1918">
        <w:t xml:space="preserve"> v </w:t>
      </w:r>
      <w:r w:rsidRPr="00FB1918">
        <w:t>článku 45i ods. 3 písm. b) smernice 2014/59/EÚ</w:t>
      </w:r>
      <w:r w:rsidR="00FB1918">
        <w:t xml:space="preserve"> v </w:t>
      </w:r>
      <w:r w:rsidRPr="00FB1918">
        <w:t>súlade so vzorom EU TLAC3b uvedeným</w:t>
      </w:r>
      <w:r w:rsidR="00FB1918">
        <w:t xml:space="preserve"> v </w:t>
      </w:r>
      <w:r w:rsidRPr="00FB1918">
        <w:t>prílohe</w:t>
      </w:r>
      <w:r w:rsidR="00FB1918">
        <w:t xml:space="preserve"> V k </w:t>
      </w:r>
      <w:r w:rsidRPr="00FB1918">
        <w:t>tomuto nariadeniu</w:t>
      </w:r>
      <w:r w:rsidR="00FB1918">
        <w:t xml:space="preserve"> a s </w:t>
      </w:r>
      <w:r w:rsidRPr="00FB1918">
        <w:t>príslušnými pokynmi stanovenými</w:t>
      </w:r>
      <w:r w:rsidR="00FB1918">
        <w:t xml:space="preserve"> v </w:t>
      </w:r>
      <w:r w:rsidRPr="00FB1918">
        <w:t>prílohe VI</w:t>
      </w:r>
      <w:r w:rsidR="00FB1918">
        <w:t xml:space="preserve"> k </w:t>
      </w:r>
      <w:r w:rsidRPr="00FB1918">
        <w:t>tomuto nariadeniu</w:t>
      </w:r>
      <w:r w:rsidR="00FB1918">
        <w:t>.</w:t>
      </w:r>
    </w:p>
    <w:p w14:paraId="312D7D45" w14:textId="7CBEE9A4" w:rsidR="00911C0D" w:rsidRPr="00FB1918" w:rsidRDefault="00911C0D" w:rsidP="008E17B7">
      <w:pPr>
        <w:pStyle w:val="Text1"/>
      </w:pPr>
      <w:r w:rsidRPr="00FB1918">
        <w:t>Subjekty uvedené</w:t>
      </w:r>
      <w:r w:rsidR="00FB1918">
        <w:t xml:space="preserve"> v </w:t>
      </w:r>
      <w:r w:rsidRPr="00FB1918">
        <w:t>prvom pododseku tohto odseku sa môžu rozhodnúť, že na zverejňovanie informácií</w:t>
      </w:r>
      <w:r w:rsidR="00FB1918">
        <w:t xml:space="preserve"> o </w:t>
      </w:r>
      <w:r w:rsidRPr="00FB1918">
        <w:t>profile splatnosti</w:t>
      </w:r>
      <w:r w:rsidR="00FB1918">
        <w:t xml:space="preserve"> a </w:t>
      </w:r>
      <w:r w:rsidRPr="00FB1918">
        <w:t>postavení</w:t>
      </w:r>
      <w:r w:rsidR="00FB1918">
        <w:t xml:space="preserve"> v </w:t>
      </w:r>
      <w:r w:rsidRPr="00FB1918">
        <w:t>bežnom insolvenčnom konaní požadovaných</w:t>
      </w:r>
      <w:r w:rsidR="00FB1918">
        <w:t xml:space="preserve"> v </w:t>
      </w:r>
      <w:r w:rsidRPr="00FB1918">
        <w:t>súlade</w:t>
      </w:r>
      <w:r w:rsidR="00FB1918">
        <w:t xml:space="preserve"> s </w:t>
      </w:r>
      <w:r w:rsidRPr="00FB1918">
        <w:t>článkom 45i ods. 3 písm. b) smernice 2014/59/EÚ namiesto vzoru EU TLAC3b použijú vzor EU TLAC3a.</w:t>
      </w:r>
    </w:p>
    <w:p w14:paraId="392B83E1" w14:textId="484D8E3A" w:rsidR="00911C0D" w:rsidRPr="00FB1918" w:rsidRDefault="00911C0D" w:rsidP="00911C0D">
      <w:pPr>
        <w:pStyle w:val="Titrearticle"/>
      </w:pPr>
      <w:bookmarkStart w:id="6" w:name="_Ref21087218"/>
      <w:r w:rsidRPr="00FB1918">
        <w:t xml:space="preserve">Článok </w:t>
      </w:r>
      <w:r w:rsidR="00227472" w:rsidRPr="00FB1918">
        <w:fldChar w:fldCharType="begin"/>
      </w:r>
      <w:r w:rsidR="00227472" w:rsidRPr="00FB1918">
        <w:instrText xml:space="preserve"> SEQ Figure \* ARABIC </w:instrText>
      </w:r>
      <w:r w:rsidR="00227472" w:rsidRPr="00FB1918">
        <w:fldChar w:fldCharType="separate"/>
      </w:r>
      <w:r w:rsidRPr="00FB1918">
        <w:t>15</w:t>
      </w:r>
      <w:r w:rsidR="00227472" w:rsidRPr="00FB1918">
        <w:fldChar w:fldCharType="end"/>
      </w:r>
      <w:bookmarkEnd w:id="6"/>
      <w:r w:rsidRPr="00FB1918">
        <w:t xml:space="preserve"> </w:t>
      </w:r>
      <w:r w:rsidRPr="00FB1918">
        <w:br/>
        <w:t>Zverejňovanie hlavných znakov vlastných zdrojov</w:t>
      </w:r>
      <w:r w:rsidR="00FB1918" w:rsidRPr="00FB1918">
        <w:t xml:space="preserve"> a </w:t>
      </w:r>
      <w:r w:rsidRPr="00FB1918">
        <w:t>oprávnených záväzkov</w:t>
      </w:r>
    </w:p>
    <w:p w14:paraId="2EF3C911" w14:textId="5AEAADF8" w:rsidR="00FB1918" w:rsidRDefault="00911C0D" w:rsidP="00911C0D">
      <w:pPr>
        <w:keepNext/>
        <w:keepLines/>
        <w:spacing w:before="360"/>
      </w:pPr>
      <w:r w:rsidRPr="00FB1918">
        <w:t>Subjekty identifikované ako subjekty, ktorých krízová situácia sa rieši</w:t>
      </w:r>
      <w:r w:rsidR="00FB1918">
        <w:t xml:space="preserve"> a </w:t>
      </w:r>
      <w:r w:rsidRPr="00FB1918">
        <w:t>ktoré sú G-SII alebo sú súčasťou G-SII,</w:t>
      </w:r>
      <w:r w:rsidR="00FB1918">
        <w:t xml:space="preserve"> a </w:t>
      </w:r>
      <w:r w:rsidRPr="00FB1918">
        <w:t>subjekty, ktoré sú významnými dcérskymi spoločnosťami G-SII mimo EÚ</w:t>
      </w:r>
      <w:r w:rsidR="00FB1918">
        <w:t xml:space="preserve"> a </w:t>
      </w:r>
      <w:r w:rsidRPr="00FB1918">
        <w:t>ktoré nie sú samy subjektmi, ktorých krízová situácia sa rieši, zverejňujú informácie stanovené</w:t>
      </w:r>
      <w:r w:rsidR="00FB1918">
        <w:t xml:space="preserve"> v </w:t>
      </w:r>
      <w:r w:rsidRPr="00FB1918">
        <w:t>článku 437a písm. a) nariadenia (EÚ) č. 575/2013</w:t>
      </w:r>
      <w:r w:rsidR="00FB1918">
        <w:t xml:space="preserve"> v </w:t>
      </w:r>
      <w:r w:rsidRPr="00FB1918">
        <w:t>súlade</w:t>
      </w:r>
      <w:r w:rsidR="00FB1918">
        <w:t xml:space="preserve"> s </w:t>
      </w:r>
      <w:r w:rsidRPr="00FB1918">
        <w:t>vykonávacím aktom uvedeným</w:t>
      </w:r>
      <w:r w:rsidR="00FB1918">
        <w:t xml:space="preserve"> v </w:t>
      </w:r>
      <w:r w:rsidRPr="00FB1918">
        <w:t>článku 434a uvedeného nariadenia</w:t>
      </w:r>
      <w:r w:rsidR="00FB1918">
        <w:t>.</w:t>
      </w:r>
    </w:p>
    <w:p w14:paraId="20EB102D" w14:textId="7B66B9D3" w:rsidR="00911C0D" w:rsidRPr="00FB1918" w:rsidRDefault="00911C0D" w:rsidP="00146633">
      <w:pPr>
        <w:pStyle w:val="Titrearticle"/>
      </w:pPr>
      <w:r w:rsidRPr="00FB1918">
        <w:t xml:space="preserve">Článok </w:t>
      </w:r>
      <w:r w:rsidR="00227472" w:rsidRPr="00FB1918">
        <w:fldChar w:fldCharType="begin"/>
      </w:r>
      <w:r w:rsidR="00227472" w:rsidRPr="00FB1918">
        <w:instrText xml:space="preserve"> SEQ Figure \* ARABIC </w:instrText>
      </w:r>
      <w:r w:rsidR="00227472" w:rsidRPr="00FB1918">
        <w:fldChar w:fldCharType="separate"/>
      </w:r>
      <w:r w:rsidRPr="00FB1918">
        <w:t>16</w:t>
      </w:r>
      <w:r w:rsidR="00227472" w:rsidRPr="00FB1918">
        <w:fldChar w:fldCharType="end"/>
      </w:r>
      <w:r w:rsidRPr="00FB1918">
        <w:t xml:space="preserve"> </w:t>
      </w:r>
      <w:r w:rsidRPr="00FB1918">
        <w:br/>
        <w:t>Všeobecné pravidlá zverejňovania informácií</w:t>
      </w:r>
    </w:p>
    <w:p w14:paraId="067AE271" w14:textId="22972E2B" w:rsidR="00FB1918" w:rsidRDefault="00911C0D" w:rsidP="00727C02">
      <w:pPr>
        <w:pStyle w:val="NumPar1"/>
        <w:numPr>
          <w:ilvl w:val="0"/>
          <w:numId w:val="14"/>
        </w:numPr>
      </w:pPr>
      <w:r w:rsidRPr="00FB1918">
        <w:t>Ak zverejňujúce subjekty môžu</w:t>
      </w:r>
      <w:r w:rsidR="00FB1918">
        <w:t xml:space="preserve"> v </w:t>
      </w:r>
      <w:r w:rsidRPr="00FB1918">
        <w:t>súlade</w:t>
      </w:r>
      <w:r w:rsidR="00FB1918">
        <w:t xml:space="preserve"> s </w:t>
      </w:r>
      <w:r w:rsidRPr="00FB1918">
        <w:t>článkom 432 nariadenia (EÚ) č. 575/2013 vynechať jedno alebo viac zverejnení informácií, príslušné riadky alebo stĺpce vzorov alebo tabuliek stanovené</w:t>
      </w:r>
      <w:r w:rsidR="00FB1918">
        <w:t xml:space="preserve"> v </w:t>
      </w:r>
      <w:r w:rsidRPr="00FB1918">
        <w:t>tomto nariadení môžu zostať prázdne</w:t>
      </w:r>
      <w:r w:rsidR="00FB1918">
        <w:t xml:space="preserve"> a </w:t>
      </w:r>
      <w:r w:rsidRPr="00FB1918">
        <w:t>číslovanie nasledujúcich riadkov alebo stĺpcov sa nemení</w:t>
      </w:r>
      <w:r w:rsidR="00FB1918">
        <w:t>.</w:t>
      </w:r>
    </w:p>
    <w:p w14:paraId="49548C8F" w14:textId="60EF96F5" w:rsidR="00FB1918" w:rsidRDefault="00911C0D" w:rsidP="00727C02">
      <w:pPr>
        <w:pStyle w:val="NumPar1"/>
        <w:numPr>
          <w:ilvl w:val="0"/>
          <w:numId w:val="14"/>
        </w:numPr>
      </w:pPr>
      <w:r w:rsidRPr="00FB1918">
        <w:t>Zverejňujúce subjekty jasne zaznamenajú</w:t>
      </w:r>
      <w:r w:rsidR="00FB1918">
        <w:t xml:space="preserve"> v </w:t>
      </w:r>
      <w:r w:rsidRPr="00FB1918">
        <w:t>príslušnom vzore alebo tabuľke prázdne riadky alebo stĺpce</w:t>
      </w:r>
      <w:r w:rsidR="00FB1918">
        <w:t xml:space="preserve"> a </w:t>
      </w:r>
      <w:r w:rsidRPr="00FB1918">
        <w:t>dôvod vynechania príslušného zverejnenia informácií</w:t>
      </w:r>
      <w:r w:rsidR="00FB1918">
        <w:t>.</w:t>
      </w:r>
    </w:p>
    <w:p w14:paraId="2DFEFA5E" w14:textId="4682CC3A" w:rsidR="00911C0D" w:rsidRPr="00FB1918" w:rsidRDefault="00911C0D" w:rsidP="00727C02">
      <w:pPr>
        <w:pStyle w:val="NumPar1"/>
        <w:numPr>
          <w:ilvl w:val="0"/>
          <w:numId w:val="14"/>
        </w:numPr>
      </w:pPr>
      <w:r w:rsidRPr="00FB1918">
        <w:t>Kvalitatívny opis</w:t>
      </w:r>
      <w:r w:rsidR="00FB1918">
        <w:t xml:space="preserve"> a </w:t>
      </w:r>
      <w:r w:rsidRPr="00FB1918">
        <w:t>akékoľvek ďalšie potrebné doplňujúce informácie pripojené ku kvantitatívnym údajom</w:t>
      </w:r>
      <w:r w:rsidR="00FB1918">
        <w:t xml:space="preserve"> v </w:t>
      </w:r>
      <w:r w:rsidRPr="00FB1918">
        <w:t>súlade</w:t>
      </w:r>
      <w:r w:rsidR="00FB1918">
        <w:t xml:space="preserve"> s </w:t>
      </w:r>
      <w:r w:rsidRPr="00FB1918">
        <w:t>článkom 431 nariadenia (EÚ) č. 575/2013 musia byť primerane jasné</w:t>
      </w:r>
      <w:r w:rsidR="00FB1918">
        <w:t xml:space="preserve"> a </w:t>
      </w:r>
      <w:r w:rsidRPr="00FB1918">
        <w:t>komplexné, aby používatelia informácií mohli kvantitatívne údaje pochopiť,</w:t>
      </w:r>
      <w:r w:rsidR="00FB1918">
        <w:t xml:space="preserve"> a </w:t>
      </w:r>
      <w:r w:rsidRPr="00FB1918">
        <w:t>musia byť umiestnené vedľa vzorov, ktoré opisujú.</w:t>
      </w:r>
    </w:p>
    <w:p w14:paraId="29D7C25D" w14:textId="64DF0622" w:rsidR="00911C0D" w:rsidRPr="00FB1918" w:rsidRDefault="00911C0D" w:rsidP="00727C02">
      <w:pPr>
        <w:pStyle w:val="NumPar1"/>
        <w:numPr>
          <w:ilvl w:val="0"/>
          <w:numId w:val="14"/>
        </w:numPr>
      </w:pPr>
      <w:r w:rsidRPr="00FB1918">
        <w:t>Pokiaľ ide</w:t>
      </w:r>
      <w:r w:rsidR="00FB1918">
        <w:t xml:space="preserve"> o </w:t>
      </w:r>
      <w:r w:rsidRPr="00FB1918">
        <w:t>zverejňovanie číselných hodnôt, zverejňujúce subjekty dodržiavajú tieto pravidlá:</w:t>
      </w:r>
    </w:p>
    <w:p w14:paraId="554837EF" w14:textId="4D687FBC" w:rsidR="00911C0D" w:rsidRPr="00FB1918" w:rsidRDefault="00FB1918" w:rsidP="00FB1918">
      <w:pPr>
        <w:pStyle w:val="Point1"/>
      </w:pPr>
      <w:r w:rsidRPr="00FB1918">
        <w:t>a)</w:t>
      </w:r>
      <w:r w:rsidRPr="00FB1918">
        <w:tab/>
      </w:r>
      <w:r w:rsidR="00911C0D" w:rsidRPr="00FB1918">
        <w:t>kvantitatívne peňažné údaje sa zverejňujú</w:t>
      </w:r>
      <w:r>
        <w:t xml:space="preserve"> s </w:t>
      </w:r>
      <w:r w:rsidR="00911C0D" w:rsidRPr="00FB1918">
        <w:t>minimálnou presnosťou zodpovedajúcou miliónom jednotiek;</w:t>
      </w:r>
    </w:p>
    <w:p w14:paraId="4E96B6F9" w14:textId="568521F4" w:rsidR="00911C0D" w:rsidRPr="00FB1918" w:rsidRDefault="00FB1918" w:rsidP="00FB1918">
      <w:pPr>
        <w:pStyle w:val="Point1"/>
      </w:pPr>
      <w:r w:rsidRPr="00FB1918">
        <w:lastRenderedPageBreak/>
        <w:t>b)</w:t>
      </w:r>
      <w:r w:rsidRPr="00FB1918">
        <w:tab/>
      </w:r>
      <w:r w:rsidR="00911C0D" w:rsidRPr="00FB1918">
        <w:t>kvantitatívne údaje zverejňované ako „percentuálny podiel“ sa vyjadrujú podľa jednotky</w:t>
      </w:r>
      <w:r>
        <w:t xml:space="preserve"> s </w:t>
      </w:r>
      <w:r w:rsidR="00911C0D" w:rsidRPr="00FB1918">
        <w:t>minimálnou presnosťou zodpovedajúcou štyrom desatinným miestam.</w:t>
      </w:r>
    </w:p>
    <w:p w14:paraId="06F63E8F" w14:textId="77777777" w:rsidR="00911C0D" w:rsidRPr="00FB1918" w:rsidRDefault="00911C0D" w:rsidP="00146633">
      <w:pPr>
        <w:pStyle w:val="NumPar1"/>
      </w:pPr>
      <w:r w:rsidRPr="00FB1918">
        <w:t>Zverejňujúce subjekty dopĺňajú zverejňované informácie týmito údajmi:</w:t>
      </w:r>
    </w:p>
    <w:p w14:paraId="6F05D921" w14:textId="046F9BC5" w:rsidR="00FB1918" w:rsidRDefault="00FB1918" w:rsidP="00FB1918">
      <w:pPr>
        <w:pStyle w:val="Point1"/>
      </w:pPr>
      <w:r w:rsidRPr="00FB1918">
        <w:t>a)</w:t>
      </w:r>
      <w:r w:rsidRPr="00FB1918">
        <w:tab/>
      </w:r>
      <w:r w:rsidR="00911C0D" w:rsidRPr="00FB1918">
        <w:t>referenčný dátum zverejňovania</w:t>
      </w:r>
      <w:r>
        <w:t xml:space="preserve"> a </w:t>
      </w:r>
      <w:r w:rsidR="00911C0D" w:rsidRPr="00FB1918">
        <w:t>referenčné obdobie</w:t>
      </w:r>
      <w:r>
        <w:t>;</w:t>
      </w:r>
    </w:p>
    <w:p w14:paraId="7B91344E" w14:textId="56861878" w:rsidR="00FB1918" w:rsidRDefault="00FB1918" w:rsidP="00FB1918">
      <w:pPr>
        <w:pStyle w:val="Point1"/>
      </w:pPr>
      <w:r w:rsidRPr="00FB1918">
        <w:t>b)</w:t>
      </w:r>
      <w:r w:rsidRPr="00FB1918">
        <w:tab/>
      </w:r>
      <w:r w:rsidR="00911C0D" w:rsidRPr="00FB1918">
        <w:t>mena zverejňovania</w:t>
      </w:r>
      <w:r>
        <w:t>;</w:t>
      </w:r>
    </w:p>
    <w:p w14:paraId="5B5B4AB9" w14:textId="097C9A6C" w:rsidR="00911C0D" w:rsidRPr="00FB1918" w:rsidRDefault="00FB1918" w:rsidP="00FB1918">
      <w:pPr>
        <w:pStyle w:val="Point1"/>
      </w:pPr>
      <w:r w:rsidRPr="00FB1918">
        <w:t>c)</w:t>
      </w:r>
      <w:r w:rsidRPr="00FB1918">
        <w:tab/>
      </w:r>
      <w:r w:rsidR="00911C0D" w:rsidRPr="00FB1918">
        <w:t>názov</w:t>
      </w:r>
      <w:r>
        <w:t xml:space="preserve"> a </w:t>
      </w:r>
      <w:r w:rsidR="00911C0D" w:rsidRPr="00FB1918">
        <w:t>prípadne identifikátor právneho subjektu (LEI) zverejňujúceho subjektu;</w:t>
      </w:r>
    </w:p>
    <w:p w14:paraId="1D4C346B" w14:textId="0F90BE0F" w:rsidR="00FB1918" w:rsidRDefault="00FB1918" w:rsidP="00FB1918">
      <w:pPr>
        <w:pStyle w:val="Point1"/>
      </w:pPr>
      <w:r w:rsidRPr="00FB1918">
        <w:t>d)</w:t>
      </w:r>
      <w:r w:rsidRPr="00FB1918">
        <w:tab/>
      </w:r>
      <w:r w:rsidR="00911C0D" w:rsidRPr="00FB1918">
        <w:t>v prípade potreby účtovný štandard</w:t>
      </w:r>
      <w:r>
        <w:t xml:space="preserve"> a</w:t>
      </w:r>
    </w:p>
    <w:p w14:paraId="582EB987" w14:textId="677207DE" w:rsidR="00911C0D" w:rsidRPr="00FB1918" w:rsidRDefault="00FB1918" w:rsidP="00FB1918">
      <w:pPr>
        <w:pStyle w:val="Point1"/>
      </w:pPr>
      <w:r w:rsidRPr="00FB1918">
        <w:t>e)</w:t>
      </w:r>
      <w:r w:rsidRPr="00FB1918">
        <w:tab/>
      </w:r>
      <w:r w:rsidR="00911C0D" w:rsidRPr="00FB1918">
        <w:t>v prípade potreby rozsah konsolidácie.</w:t>
      </w:r>
    </w:p>
    <w:p w14:paraId="13904397" w14:textId="6E48D9B3" w:rsidR="00911C0D" w:rsidRPr="00FB1918" w:rsidRDefault="00911C0D" w:rsidP="00911C0D">
      <w:pPr>
        <w:pStyle w:val="SectionTitle"/>
        <w:rPr>
          <w:b w:val="0"/>
          <w:i/>
        </w:rPr>
      </w:pPr>
      <w:r w:rsidRPr="00FB1918">
        <w:rPr>
          <w:b w:val="0"/>
          <w:i/>
        </w:rPr>
        <w:t>HLAVA III</w:t>
      </w:r>
      <w:r w:rsidRPr="00FB1918">
        <w:t xml:space="preserve"> </w:t>
      </w:r>
      <w:r w:rsidRPr="00FB1918">
        <w:br/>
      </w:r>
      <w:r w:rsidRPr="00FB1918">
        <w:rPr>
          <w:b w:val="0"/>
          <w:i/>
        </w:rPr>
        <w:t>ZÁVEREČNÉ USTANOVENIA</w:t>
      </w:r>
    </w:p>
    <w:p w14:paraId="207DBFA4" w14:textId="2B0756C1" w:rsidR="00911C0D" w:rsidRPr="00FB1918" w:rsidRDefault="00911C0D" w:rsidP="00146633">
      <w:pPr>
        <w:pStyle w:val="Titrearticle"/>
      </w:pPr>
      <w:r w:rsidRPr="00FB1918">
        <w:t xml:space="preserve">Článok </w:t>
      </w:r>
      <w:r w:rsidR="00227472" w:rsidRPr="00FB1918">
        <w:fldChar w:fldCharType="begin"/>
      </w:r>
      <w:r w:rsidR="00227472" w:rsidRPr="00FB1918">
        <w:instrText xml:space="preserve"> SEQ Figure \* ARABIC </w:instrText>
      </w:r>
      <w:r w:rsidR="00227472" w:rsidRPr="00FB1918">
        <w:fldChar w:fldCharType="separate"/>
      </w:r>
      <w:r w:rsidRPr="00FB1918">
        <w:t>17</w:t>
      </w:r>
      <w:r w:rsidR="00227472" w:rsidRPr="00FB1918">
        <w:fldChar w:fldCharType="end"/>
      </w:r>
      <w:r w:rsidRPr="00FB1918">
        <w:t xml:space="preserve"> </w:t>
      </w:r>
      <w:r w:rsidRPr="00FB1918">
        <w:br/>
        <w:t>Nadobudnutie účinnosti</w:t>
      </w:r>
      <w:r w:rsidR="00FB1918" w:rsidRPr="00FB1918">
        <w:t xml:space="preserve"> a </w:t>
      </w:r>
      <w:r w:rsidRPr="00FB1918">
        <w:t>uplatňovanie</w:t>
      </w:r>
    </w:p>
    <w:p w14:paraId="132DAA82" w14:textId="4AE0EAB2" w:rsidR="00911C0D" w:rsidRPr="00FB1918" w:rsidRDefault="00911C0D" w:rsidP="00911C0D">
      <w:r w:rsidRPr="00FB1918">
        <w:t>Toto nariadenie nadobúda účinnosť dvadsiatym dňom po jeho uverejnení</w:t>
      </w:r>
      <w:r w:rsidR="00FB1918">
        <w:t xml:space="preserve"> v </w:t>
      </w:r>
      <w:r w:rsidRPr="00FB1918">
        <w:rPr>
          <w:i/>
        </w:rPr>
        <w:t>Úradnom vestníku Európskej únie</w:t>
      </w:r>
      <w:r w:rsidRPr="00FB1918">
        <w:t>.</w:t>
      </w:r>
    </w:p>
    <w:p w14:paraId="59F2EBFB" w14:textId="27C240C6" w:rsidR="00911C0D" w:rsidRPr="00FB1918" w:rsidRDefault="00911C0D" w:rsidP="00911C0D">
      <w:pPr>
        <w:widowControl w:val="0"/>
        <w:autoSpaceDE w:val="0"/>
        <w:autoSpaceDN w:val="0"/>
        <w:rPr>
          <w:rFonts w:eastAsia="Times New Roman"/>
        </w:rPr>
      </w:pPr>
      <w:r w:rsidRPr="00FB1918">
        <w:t>Hlava I sa uplatňuje od 28</w:t>
      </w:r>
      <w:r w:rsidR="00FB1918">
        <w:t>. júna</w:t>
      </w:r>
      <w:r w:rsidRPr="00FB1918">
        <w:t xml:space="preserve"> 2021.</w:t>
      </w:r>
    </w:p>
    <w:p w14:paraId="2F7214D1" w14:textId="5C3A2671" w:rsidR="00F82D09" w:rsidRPr="00FB1918" w:rsidRDefault="00911C0D" w:rsidP="00911C0D">
      <w:pPr>
        <w:widowControl w:val="0"/>
        <w:autoSpaceDE w:val="0"/>
        <w:autoSpaceDN w:val="0"/>
        <w:rPr>
          <w:rFonts w:eastAsia="Times New Roman"/>
        </w:rPr>
      </w:pPr>
      <w:r w:rsidRPr="00FB1918">
        <w:t xml:space="preserve">Hlava II sa uplatňuje od </w:t>
      </w:r>
      <w:r w:rsidRPr="00FB1918">
        <w:rPr>
          <w:i/>
        </w:rPr>
        <w:t>[vložte dátum nadobudnutia účinnosti tohto nariadenia]</w:t>
      </w:r>
      <w:r w:rsidRPr="00FB1918">
        <w:t>, pokiaľ ide</w:t>
      </w:r>
      <w:r w:rsidR="00FB1918">
        <w:t xml:space="preserve"> o </w:t>
      </w:r>
      <w:r w:rsidRPr="00FB1918">
        <w:t>zverejňovanie informácií</w:t>
      </w:r>
      <w:r w:rsidR="00FB1918">
        <w:t xml:space="preserve"> v </w:t>
      </w:r>
      <w:r w:rsidRPr="00FB1918">
        <w:t>súlade</w:t>
      </w:r>
      <w:r w:rsidR="00FB1918">
        <w:t xml:space="preserve"> s </w:t>
      </w:r>
      <w:r w:rsidRPr="00FB1918">
        <w:t>článkom 437a</w:t>
      </w:r>
      <w:r w:rsidR="00FB1918">
        <w:t xml:space="preserve"> a </w:t>
      </w:r>
      <w:r w:rsidRPr="00FB1918">
        <w:t>článkom 447 písm. h) nariadenia (EÚ) č. 575/2013,</w:t>
      </w:r>
      <w:r w:rsidR="00FB1918">
        <w:t xml:space="preserve"> a </w:t>
      </w:r>
      <w:r w:rsidRPr="00FB1918">
        <w:t>od dátumu začatia uplatňovania požiadaviek na zverejňovanie informácií</w:t>
      </w:r>
      <w:r w:rsidR="00FB1918">
        <w:t xml:space="preserve"> v </w:t>
      </w:r>
      <w:r w:rsidRPr="00FB1918">
        <w:t>súlade</w:t>
      </w:r>
      <w:r w:rsidR="00FB1918">
        <w:t xml:space="preserve"> s </w:t>
      </w:r>
      <w:r w:rsidRPr="00FB1918">
        <w:t>článkom 3 ods. 1 tretím pododsekom smernice (EÚ) 2019/879, pokiaľ ide</w:t>
      </w:r>
      <w:r w:rsidR="00FB1918">
        <w:t xml:space="preserve"> o </w:t>
      </w:r>
      <w:r w:rsidRPr="00FB1918">
        <w:t>zverejňovanie informácií</w:t>
      </w:r>
      <w:r w:rsidR="00FB1918">
        <w:t xml:space="preserve"> v </w:t>
      </w:r>
      <w:r w:rsidRPr="00FB1918">
        <w:t>súlade</w:t>
      </w:r>
      <w:r w:rsidR="00FB1918">
        <w:t xml:space="preserve"> s </w:t>
      </w:r>
      <w:r w:rsidRPr="00FB1918">
        <w:t>článkom 45i ods. 3 smernice 2014/59/EÚ.</w:t>
      </w:r>
    </w:p>
    <w:p w14:paraId="48405F17" w14:textId="16434E04" w:rsidR="00911C0D" w:rsidRPr="00FB1918" w:rsidRDefault="00911C0D" w:rsidP="00911C0D">
      <w:pPr>
        <w:pStyle w:val="Applicationdirecte"/>
        <w:keepNext/>
        <w:keepLines/>
      </w:pPr>
      <w:r w:rsidRPr="00FB1918">
        <w:t>Toto nariadenie je záväzné</w:t>
      </w:r>
      <w:r w:rsidR="00FB1918">
        <w:t xml:space="preserve"> v </w:t>
      </w:r>
      <w:r w:rsidRPr="00FB1918">
        <w:t>celom rozsahu</w:t>
      </w:r>
      <w:r w:rsidR="00FB1918">
        <w:t xml:space="preserve"> a </w:t>
      </w:r>
      <w:r w:rsidRPr="00FB1918">
        <w:t>priamo uplatniteľné vo všetkých členských štátoch.</w:t>
      </w:r>
    </w:p>
    <w:p w14:paraId="688CD257" w14:textId="77777777" w:rsidR="00911C0D" w:rsidRPr="00FB1918" w:rsidRDefault="00DD5153" w:rsidP="00DD5153">
      <w:pPr>
        <w:pStyle w:val="Fait"/>
      </w:pPr>
      <w:r w:rsidRPr="00FB1918">
        <w:t>V Bruseli</w:t>
      </w:r>
    </w:p>
    <w:p w14:paraId="7D6E3D67" w14:textId="77777777" w:rsidR="00911C0D" w:rsidRPr="00FB1918" w:rsidRDefault="00911C0D" w:rsidP="00911C0D">
      <w:pPr>
        <w:pStyle w:val="Institutionquisigne"/>
      </w:pPr>
      <w:r w:rsidRPr="00FB1918">
        <w:tab/>
        <w:t>Za Komisiu</w:t>
      </w:r>
    </w:p>
    <w:p w14:paraId="0936848B" w14:textId="77777777" w:rsidR="00911C0D" w:rsidRPr="00FB1918" w:rsidRDefault="00911C0D" w:rsidP="00911C0D">
      <w:pPr>
        <w:pStyle w:val="Personnequisigne"/>
      </w:pPr>
      <w:r w:rsidRPr="00FB1918">
        <w:tab/>
        <w:t xml:space="preserve">predsedníčka </w:t>
      </w:r>
      <w:r w:rsidRPr="00FB1918">
        <w:br/>
      </w:r>
      <w:r w:rsidRPr="00FB1918">
        <w:tab/>
        <w:t>Ursula VON DER LEYEN</w:t>
      </w:r>
    </w:p>
    <w:sectPr w:rsidR="00911C0D" w:rsidRPr="00FB1918" w:rsidSect="002E60E0">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968E8" w14:textId="77777777" w:rsidR="00911C0D" w:rsidRDefault="00911C0D" w:rsidP="00911C0D">
      <w:pPr>
        <w:spacing w:before="0" w:after="0"/>
      </w:pPr>
      <w:r>
        <w:separator/>
      </w:r>
    </w:p>
  </w:endnote>
  <w:endnote w:type="continuationSeparator" w:id="0">
    <w:p w14:paraId="285C3A38" w14:textId="77777777" w:rsidR="00911C0D" w:rsidRDefault="00911C0D" w:rsidP="00911C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97B4D" w14:textId="4F17FB3B" w:rsidR="002E60E0" w:rsidRPr="002E60E0" w:rsidRDefault="002E60E0" w:rsidP="002E60E0">
    <w:pPr>
      <w:pStyle w:val="Footer"/>
      <w:rPr>
        <w:rFonts w:ascii="Arial" w:hAnsi="Arial" w:cs="Arial"/>
        <w:b/>
        <w:sz w:val="48"/>
      </w:rPr>
    </w:pPr>
    <w:r w:rsidRPr="002E60E0">
      <w:rPr>
        <w:rFonts w:ascii="Arial" w:hAnsi="Arial" w:cs="Arial"/>
        <w:b/>
        <w:sz w:val="48"/>
      </w:rPr>
      <w:t>SK</w:t>
    </w:r>
    <w:r w:rsidRPr="002E60E0">
      <w:rPr>
        <w:rFonts w:ascii="Arial" w:hAnsi="Arial" w:cs="Arial"/>
        <w:b/>
        <w:sz w:val="48"/>
      </w:rPr>
      <w:tab/>
    </w:r>
    <w:r w:rsidRPr="002E60E0">
      <w:rPr>
        <w:rFonts w:ascii="Arial" w:hAnsi="Arial" w:cs="Arial"/>
        <w:b/>
        <w:sz w:val="48"/>
      </w:rPr>
      <w:tab/>
    </w:r>
    <w:r w:rsidRPr="002E60E0">
      <w:tab/>
    </w:r>
    <w:r w:rsidRPr="002E60E0">
      <w:rPr>
        <w:rFonts w:ascii="Arial" w:hAnsi="Arial" w:cs="Arial"/>
        <w:b/>
        <w:sz w:val="48"/>
      </w:rPr>
      <w:t>SK</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0F1B7" w14:textId="32CA0F03" w:rsidR="002E60E0" w:rsidRPr="002E60E0" w:rsidRDefault="002E60E0" w:rsidP="002E60E0">
    <w:pPr>
      <w:pStyle w:val="Footer"/>
      <w:rPr>
        <w:rFonts w:ascii="Arial" w:hAnsi="Arial" w:cs="Arial"/>
        <w:b/>
        <w:sz w:val="48"/>
      </w:rPr>
    </w:pPr>
    <w:r w:rsidRPr="002E60E0">
      <w:rPr>
        <w:rFonts w:ascii="Arial" w:hAnsi="Arial" w:cs="Arial"/>
        <w:b/>
        <w:sz w:val="48"/>
      </w:rPr>
      <w:t>SK</w:t>
    </w:r>
    <w:r w:rsidRPr="002E60E0">
      <w:rPr>
        <w:rFonts w:ascii="Arial" w:hAnsi="Arial" w:cs="Arial"/>
        <w:b/>
        <w:sz w:val="48"/>
      </w:rPr>
      <w:tab/>
    </w:r>
    <w:r>
      <w:fldChar w:fldCharType="begin"/>
    </w:r>
    <w:r>
      <w:instrText xml:space="preserve"> PAGE  \* MERGEFORMAT </w:instrText>
    </w:r>
    <w:r>
      <w:fldChar w:fldCharType="separate"/>
    </w:r>
    <w:r w:rsidR="005150AE">
      <w:rPr>
        <w:noProof/>
      </w:rPr>
      <w:t>12</w:t>
    </w:r>
    <w:r>
      <w:fldChar w:fldCharType="end"/>
    </w:r>
    <w:r>
      <w:tab/>
    </w:r>
    <w:r w:rsidRPr="002E60E0">
      <w:tab/>
    </w:r>
    <w:r w:rsidRPr="002E60E0">
      <w:rPr>
        <w:rFonts w:ascii="Arial" w:hAnsi="Arial" w:cs="Arial"/>
        <w:b/>
        <w:sz w:val="48"/>
      </w:rPr>
      <w:t>SK</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67706" w14:textId="77777777" w:rsidR="002E60E0" w:rsidRPr="002E60E0" w:rsidRDefault="002E60E0" w:rsidP="002E60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D0A5" w14:textId="77777777" w:rsidR="00911C0D" w:rsidRDefault="00911C0D" w:rsidP="00911C0D">
      <w:pPr>
        <w:spacing w:before="0" w:after="0"/>
      </w:pPr>
      <w:r>
        <w:separator/>
      </w:r>
    </w:p>
  </w:footnote>
  <w:footnote w:type="continuationSeparator" w:id="0">
    <w:p w14:paraId="21B25C16" w14:textId="77777777" w:rsidR="00911C0D" w:rsidRDefault="00911C0D" w:rsidP="00911C0D">
      <w:pPr>
        <w:spacing w:before="0" w:after="0"/>
      </w:pPr>
      <w:r>
        <w:continuationSeparator/>
      </w:r>
    </w:p>
  </w:footnote>
  <w:footnote w:id="1">
    <w:p w14:paraId="78DD0AC2" w14:textId="77777777" w:rsidR="00911C0D" w:rsidRPr="00FB1918" w:rsidRDefault="00911C0D" w:rsidP="00911C0D">
      <w:pPr>
        <w:pStyle w:val="FootnoteText"/>
      </w:pPr>
      <w:r w:rsidRPr="00FB1918">
        <w:rPr>
          <w:rStyle w:val="FootnoteReference"/>
        </w:rPr>
        <w:footnoteRef/>
      </w:r>
      <w:r w:rsidRPr="00FB1918">
        <w:tab/>
        <w:t>Ú. v. EÚ L 176, 27.6.2013, s. 1.</w:t>
      </w:r>
    </w:p>
  </w:footnote>
  <w:footnote w:id="2">
    <w:p w14:paraId="52F29A01" w14:textId="77777777" w:rsidR="00911C0D" w:rsidRPr="00FB1918" w:rsidRDefault="00911C0D" w:rsidP="00911C0D">
      <w:pPr>
        <w:pStyle w:val="FootnoteText"/>
      </w:pPr>
      <w:r w:rsidRPr="00FB1918">
        <w:rPr>
          <w:rStyle w:val="FootnoteReference"/>
        </w:rPr>
        <w:footnoteRef/>
      </w:r>
      <w:r w:rsidRPr="00FB1918">
        <w:tab/>
        <w:t>Ú. v. EÚ L 173, 12.6.2014, s. 190.</w:t>
      </w:r>
    </w:p>
  </w:footnote>
  <w:footnote w:id="3">
    <w:p w14:paraId="400AF6FF" w14:textId="6991A360" w:rsidR="00911C0D" w:rsidRPr="00FB1918" w:rsidRDefault="00911C0D" w:rsidP="00911C0D">
      <w:pPr>
        <w:pStyle w:val="FootnoteText"/>
      </w:pPr>
      <w:r w:rsidRPr="00FB1918">
        <w:rPr>
          <w:rStyle w:val="FootnoteReference"/>
        </w:rPr>
        <w:footnoteRef/>
      </w:r>
      <w:r w:rsidRPr="00FB1918">
        <w:tab/>
        <w:t>Nariadenie Európskeho parlamentu</w:t>
      </w:r>
      <w:r w:rsidR="00FB1918">
        <w:t xml:space="preserve"> a </w:t>
      </w:r>
      <w:r w:rsidRPr="00FB1918">
        <w:t>Rady (EÚ) 2019/876</w:t>
      </w:r>
      <w:r w:rsidR="00FB1918">
        <w:t xml:space="preserve"> z </w:t>
      </w:r>
      <w:r w:rsidRPr="00FB1918">
        <w:t>20</w:t>
      </w:r>
      <w:r w:rsidR="00FB1918">
        <w:t>. mája</w:t>
      </w:r>
      <w:r w:rsidRPr="00FB1918">
        <w:t xml:space="preserve"> 2019, ktorým sa mení nariadenie (EÚ) č. 575/2013, pokiaľ ide</w:t>
      </w:r>
      <w:r w:rsidR="00FB1918">
        <w:t xml:space="preserve"> o </w:t>
      </w:r>
      <w:r w:rsidRPr="00FB1918">
        <w:t>ukazovateľ finančnej páky, ukazovateľ čistého stabilného financovania, požiadavky na vlastné zdroje</w:t>
      </w:r>
      <w:r w:rsidR="00FB1918">
        <w:t xml:space="preserve"> a </w:t>
      </w:r>
      <w:r w:rsidRPr="00FB1918">
        <w:t>oprávnené záväzky, kreditné riziko protistrany, trhové riziko, expozície voči centrálnym protistranám, expozície voči podnikom kolektívneho investovania, veľkú majetkovú angažovanosť, požiadavky na predkladanie správ</w:t>
      </w:r>
      <w:r w:rsidR="00FB1918">
        <w:t xml:space="preserve"> a </w:t>
      </w:r>
      <w:r w:rsidRPr="00FB1918">
        <w:t>zverejňovanie informácií,</w:t>
      </w:r>
      <w:r w:rsidR="00FB1918">
        <w:t xml:space="preserve"> a </w:t>
      </w:r>
      <w:r w:rsidRPr="00FB1918">
        <w:t>ktorým sa mení nariadenie (EÚ) č. 648/2012 (Ú. v. EÚ L 150, 7.6. 2019, s. 1).</w:t>
      </w:r>
    </w:p>
  </w:footnote>
  <w:footnote w:id="4">
    <w:p w14:paraId="7FB27E48" w14:textId="0A5F0333" w:rsidR="00911C0D" w:rsidRPr="00FB1918" w:rsidRDefault="00911C0D" w:rsidP="00911C0D">
      <w:pPr>
        <w:pStyle w:val="FootnoteText"/>
      </w:pPr>
      <w:r w:rsidRPr="00FB1918">
        <w:rPr>
          <w:rStyle w:val="FootnoteReference"/>
        </w:rPr>
        <w:footnoteRef/>
      </w:r>
      <w:r w:rsidRPr="00FB1918">
        <w:tab/>
        <w:t>Smernica Európskeho parlamentu</w:t>
      </w:r>
      <w:r w:rsidR="00FB1918">
        <w:t xml:space="preserve"> a </w:t>
      </w:r>
      <w:r w:rsidRPr="00FB1918">
        <w:t>Rady (EÚ) 2019/879</w:t>
      </w:r>
      <w:r w:rsidR="00FB1918">
        <w:t xml:space="preserve"> z </w:t>
      </w:r>
      <w:r w:rsidRPr="00FB1918">
        <w:t>20</w:t>
      </w:r>
      <w:r w:rsidR="00FB1918">
        <w:t>. mája</w:t>
      </w:r>
      <w:r w:rsidRPr="00FB1918">
        <w:t xml:space="preserve"> 2019, ktorou sa mení smernica 2014/59/EÚ, pokiaľ ide</w:t>
      </w:r>
      <w:r w:rsidR="00FB1918">
        <w:t xml:space="preserve"> o </w:t>
      </w:r>
      <w:r w:rsidRPr="00FB1918">
        <w:t>kapacitu úverových inštitúcií</w:t>
      </w:r>
      <w:r w:rsidR="00FB1918">
        <w:t xml:space="preserve"> a </w:t>
      </w:r>
      <w:r w:rsidRPr="00FB1918">
        <w:t>investičných spoločností na absorpciu strát</w:t>
      </w:r>
      <w:r w:rsidR="00FB1918">
        <w:t xml:space="preserve"> a </w:t>
      </w:r>
      <w:r w:rsidRPr="00FB1918">
        <w:t>rekapitalizáciu,</w:t>
      </w:r>
      <w:r w:rsidR="00FB1918">
        <w:t xml:space="preserve"> a </w:t>
      </w:r>
      <w:r w:rsidRPr="00FB1918">
        <w:t>smernica 98/26/ES (Ú. v. EÚ L 150, 7.6.2019, s. 296),</w:t>
      </w:r>
    </w:p>
  </w:footnote>
  <w:footnote w:id="5">
    <w:p w14:paraId="7DA394B3" w14:textId="6AF5DA19" w:rsidR="00911C0D" w:rsidRPr="00FB1918" w:rsidRDefault="00911C0D" w:rsidP="00911C0D">
      <w:pPr>
        <w:pStyle w:val="FootnoteText"/>
      </w:pPr>
      <w:r w:rsidRPr="00FB1918">
        <w:rPr>
          <w:rStyle w:val="FootnoteReference"/>
        </w:rPr>
        <w:footnoteRef/>
      </w:r>
      <w:r w:rsidRPr="00FB1918">
        <w:tab/>
        <w:t>Nariadenie Európskeho parlamentu</w:t>
      </w:r>
      <w:r w:rsidR="00FB1918">
        <w:t xml:space="preserve"> a </w:t>
      </w:r>
      <w:r w:rsidRPr="00FB1918">
        <w:t>Rady (EÚ) č. 1093/2010</w:t>
      </w:r>
      <w:r w:rsidR="00FB1918">
        <w:t xml:space="preserve"> z </w:t>
      </w:r>
      <w:r w:rsidRPr="00FB1918">
        <w:t>24</w:t>
      </w:r>
      <w:r w:rsidR="00FB1918">
        <w:t>. novembra</w:t>
      </w:r>
      <w:r w:rsidRPr="00FB1918">
        <w:t xml:space="preserve"> 2010, ktorým sa zriaďuje Európsky orgán dohľadu (Európsky orgán pre bankovníctvo)</w:t>
      </w:r>
      <w:r w:rsidR="00FB1918">
        <w:t xml:space="preserve"> a </w:t>
      </w:r>
      <w:r w:rsidRPr="00FB1918">
        <w:t>ktorým sa mení</w:t>
      </w:r>
      <w:r w:rsidR="00FB1918">
        <w:t xml:space="preserve"> a </w:t>
      </w:r>
      <w:r w:rsidRPr="00FB1918">
        <w:t>dopĺňa rozhodnutie č.</w:t>
      </w:r>
      <w:r w:rsidR="00FB1918">
        <w:t> </w:t>
      </w:r>
      <w:r w:rsidRPr="00FB1918">
        <w:t>716/2009/ES</w:t>
      </w:r>
      <w:r w:rsidR="00FB1918">
        <w:t xml:space="preserve"> a </w:t>
      </w:r>
      <w:r w:rsidRPr="00FB1918">
        <w:t>zrušuje rozhodnutie Komisie 2009/78/ES (Ú. v. EÚ L 331, 15.12.2010, s. 12).</w:t>
      </w:r>
    </w:p>
  </w:footnote>
  <w:footnote w:id="6">
    <w:p w14:paraId="078CA3AC" w14:textId="417A74DC" w:rsidR="00911C0D" w:rsidRPr="00FB1918" w:rsidRDefault="00911C0D" w:rsidP="00911C0D">
      <w:pPr>
        <w:pStyle w:val="FootnoteText"/>
      </w:pPr>
      <w:r w:rsidRPr="00FB1918">
        <w:rPr>
          <w:rStyle w:val="FootnoteReference"/>
        </w:rPr>
        <w:footnoteRef/>
      </w:r>
      <w:r w:rsidRPr="00FB1918">
        <w:tab/>
        <w:t>Smernica Európskeho parlamentu</w:t>
      </w:r>
      <w:r w:rsidR="00FB1918">
        <w:t xml:space="preserve"> a </w:t>
      </w:r>
      <w:r w:rsidRPr="00FB1918">
        <w:t>Rady 2013/36/EÚ</w:t>
      </w:r>
      <w:r w:rsidR="00FB1918">
        <w:t xml:space="preserve"> z </w:t>
      </w:r>
      <w:r w:rsidRPr="00FB1918">
        <w:t>26</w:t>
      </w:r>
      <w:r w:rsidR="00FB1918">
        <w:t>. júna</w:t>
      </w:r>
      <w:r w:rsidRPr="00FB1918">
        <w:t xml:space="preserve"> 2013</w:t>
      </w:r>
      <w:r w:rsidR="00FB1918">
        <w:t xml:space="preserve"> o </w:t>
      </w:r>
      <w:r w:rsidRPr="00FB1918">
        <w:t>prístupe</w:t>
      </w:r>
      <w:r w:rsidR="00FB1918">
        <w:t xml:space="preserve"> k </w:t>
      </w:r>
      <w:r w:rsidRPr="00FB1918">
        <w:t>činnosti úverových inštitúcií</w:t>
      </w:r>
      <w:r w:rsidR="00FB1918">
        <w:t xml:space="preserve"> a </w:t>
      </w:r>
      <w:r w:rsidRPr="00FB1918">
        <w:t>prudenciálnom dohľade nad úverovými inštitúciami</w:t>
      </w:r>
      <w:r w:rsidR="00FB1918">
        <w:t xml:space="preserve"> a </w:t>
      </w:r>
      <w:r w:rsidRPr="00FB1918">
        <w:t>investičnými spoločnosťami,</w:t>
      </w:r>
      <w:r w:rsidR="00FB1918">
        <w:t xml:space="preserve"> o </w:t>
      </w:r>
      <w:r w:rsidRPr="00FB1918">
        <w:t>zmene smernice 2002/87/ES</w:t>
      </w:r>
      <w:r w:rsidR="00FB1918">
        <w:t xml:space="preserve"> a o </w:t>
      </w:r>
      <w:r w:rsidRPr="00FB1918">
        <w:t>zrušení smerníc 2006/48/ES</w:t>
      </w:r>
      <w:r w:rsidR="00FB1918">
        <w:t xml:space="preserve"> a </w:t>
      </w:r>
      <w:r w:rsidRPr="00FB1918">
        <w:t>2006/49/ES (Ú. v. EÚ L 176, 27.6.2013, s.</w:t>
      </w:r>
      <w:r w:rsidR="00FB1918">
        <w:t> </w:t>
      </w:r>
      <w:r w:rsidRPr="00FB1918">
        <w:t>338).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BAAEF0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2120D8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CFA453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1BA0BC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B64431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202532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61E0D2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8A72C0B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5"/>
  </w:num>
  <w:num w:numId="17">
    <w:abstractNumId w:val="4"/>
  </w:num>
  <w:num w:numId="18">
    <w:abstractNumId w:val="3"/>
  </w:num>
  <w:num w:numId="19">
    <w:abstractNumId w:val="6"/>
  </w:num>
  <w:num w:numId="20">
    <w:abstractNumId w:val="2"/>
  </w:num>
  <w:num w:numId="21">
    <w:abstractNumId w:val="1"/>
  </w:num>
  <w:num w:numId="22">
    <w:abstractNumId w:val="0"/>
  </w:num>
  <w:num w:numId="23">
    <w:abstractNumId w:val="21"/>
    <w:lvlOverride w:ilvl="0">
      <w:startOverride w:val="1"/>
    </w:lvlOverride>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attachedTemplate r:id="rId1"/>
  <w:defaultTabStop w:val="720"/>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03-31 10:33:0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1AA6A2D3-EA4A-4F29-AF15-F10B0B134B13"/>
    <w:docVar w:name="LW_COVERPAGE_TYPE" w:val="1"/>
    <w:docVar w:name="LW_CROSSREFERENCE" w:val="&lt;UNUSED&gt;"/>
    <w:docVar w:name="LW_DATE.ADOPT.CP" w:val="z XXX,"/>
    <w:docVar w:name="LW_DATE.ADOPT.CP_DATEFORMAT" w:val="z %DATE%,"/>
    <w:docVar w:name="LW_DATE.ADOPT.CP_ISODATE" w:val="&lt;EMPTY&gt;"/>
    <w:docVar w:name="LW_DocType" w:val="COM"/>
    <w:docVar w:name="LW_EMISSION" w:val="&lt;EMPTY&gt;"/>
    <w:docVar w:name="LW_EMISSION_ISODATE" w:val="&lt;EMPTY&gt;"/>
    <w:docVar w:name="LW_EMISSION_LOCATION" w:val="BRX"/>
    <w:docVar w:name="LW_EMISSION_PREFIX" w:val="V Bruseli"/>
    <w:docVar w:name="LW_EMISSION_SUFFIX" w:val=" "/>
    <w:docVar w:name="LW_ID_DOCMODEL" w:val="SJ-004"/>
    <w:docVar w:name="LW_ID_DOCSIGNATURE" w:val="SJ-004"/>
    <w:docVar w:name="LW_ID_DOCSTRUCTURE" w:val="COM/AA"/>
    <w:docVar w:name="LW_ID_DOCTYPE" w:val="SJ-004"/>
    <w:docVar w:name="LW_INTERETEEE" w:val="(Text s významom pre EHP)"/>
    <w:docVar w:name="LW_INTERETEEE.CP" w:val="(Text s významom pre EHP)"/>
    <w:docVar w:name="LW_LANGUE" w:val="SK"/>
    <w:docVar w:name="LW_LANGUESFAISANTFOI.CP" w:val="&lt;UNUSED&gt;"/>
    <w:docVar w:name="LW_LEVEL_OF_SENSITIVITY" w:val="Standard treatment"/>
    <w:docVar w:name="LW_NOM.INST" w:val="EURÓPSKA KOMISI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lt;FMT:Bold&gt;ktorým sa stanovujú vykonávacie technické predpisy na uplat\u328?ovanie nariadenia Európskeho parlamentu a Rady (EÚ) \u269?. 575/2013 a smernice Európskeho parlamentu a Rady 2014/59/EÚ, pokia\u318? ide o podávanie správ na ú\u269?ely doh\u318?adu a zverej\u328?ovanie informácií o minimálnej po\u382?iadavke na vlastné zdroje a oprávnené záväzky&lt;/FMT&gt;_x000d__x000d__x000d__x000b_"/>
    <w:docVar w:name="LW_TITRE.OBJ.CP" w:val="&lt;FMT:Bold&gt;ktorým sa stanovujú vykonávacie technické predpisy na uplat\u328?ovanie nariadenia Európskeho parlamentu a Rady (EÚ) \u269?. 575/2013 a smernice Európskeho parlamentu a Rady 2014/59/EÚ, pokia\u318? ide o podávanie správ na ú\u269?ely doh\u318?adu a zverej\u328?ovanie informácií o minimálnej po\u382?iadavke na vlastné zdroje a oprávnené záväzky&lt;/FMT&gt;_x000d__x000d__x000d__x000b_"/>
    <w:docVar w:name="LW_TYPE.DOC" w:val="VYKONÁVACIE NARIADENIE KOMISIE (EÚ) \u8230?/..."/>
    <w:docVar w:name="LW_TYPE.DOC.CP" w:val="VYKONÁVACIE NARIADENIE KOMISIE (EÚ) \u8230?/..."/>
  </w:docVars>
  <w:rsids>
    <w:rsidRoot w:val="00911C0D"/>
    <w:rsid w:val="00022330"/>
    <w:rsid w:val="00050379"/>
    <w:rsid w:val="00061B0A"/>
    <w:rsid w:val="00080A21"/>
    <w:rsid w:val="000A7517"/>
    <w:rsid w:val="000E198E"/>
    <w:rsid w:val="000F730F"/>
    <w:rsid w:val="00114389"/>
    <w:rsid w:val="00144CAD"/>
    <w:rsid w:val="00146633"/>
    <w:rsid w:val="0017105F"/>
    <w:rsid w:val="001B26AE"/>
    <w:rsid w:val="001C2816"/>
    <w:rsid w:val="001D50FA"/>
    <w:rsid w:val="001E0321"/>
    <w:rsid w:val="001F6393"/>
    <w:rsid w:val="00213D10"/>
    <w:rsid w:val="00221C95"/>
    <w:rsid w:val="00223BDA"/>
    <w:rsid w:val="00227472"/>
    <w:rsid w:val="00232E98"/>
    <w:rsid w:val="00252F49"/>
    <w:rsid w:val="00273AFD"/>
    <w:rsid w:val="00290C2C"/>
    <w:rsid w:val="002A6E40"/>
    <w:rsid w:val="002E1BA9"/>
    <w:rsid w:val="002E25C2"/>
    <w:rsid w:val="002E60E0"/>
    <w:rsid w:val="0038586F"/>
    <w:rsid w:val="003D1FF4"/>
    <w:rsid w:val="00403FFA"/>
    <w:rsid w:val="004D75CF"/>
    <w:rsid w:val="00501159"/>
    <w:rsid w:val="005150AE"/>
    <w:rsid w:val="00515FD9"/>
    <w:rsid w:val="00534AD8"/>
    <w:rsid w:val="00576101"/>
    <w:rsid w:val="00595F73"/>
    <w:rsid w:val="005A3A76"/>
    <w:rsid w:val="005A470A"/>
    <w:rsid w:val="005F390A"/>
    <w:rsid w:val="0060509B"/>
    <w:rsid w:val="006142ED"/>
    <w:rsid w:val="006601FC"/>
    <w:rsid w:val="00693D6D"/>
    <w:rsid w:val="0069401E"/>
    <w:rsid w:val="006E792A"/>
    <w:rsid w:val="0070128F"/>
    <w:rsid w:val="00727C02"/>
    <w:rsid w:val="00786D48"/>
    <w:rsid w:val="007B47A6"/>
    <w:rsid w:val="007C06F6"/>
    <w:rsid w:val="007D06B9"/>
    <w:rsid w:val="007D3252"/>
    <w:rsid w:val="00867BAC"/>
    <w:rsid w:val="008E0D6D"/>
    <w:rsid w:val="008E17B7"/>
    <w:rsid w:val="008F166D"/>
    <w:rsid w:val="00911C0D"/>
    <w:rsid w:val="00936C22"/>
    <w:rsid w:val="00947623"/>
    <w:rsid w:val="009606FE"/>
    <w:rsid w:val="00986B33"/>
    <w:rsid w:val="00987AD5"/>
    <w:rsid w:val="009B7138"/>
    <w:rsid w:val="009F1589"/>
    <w:rsid w:val="00A242DE"/>
    <w:rsid w:val="00A25281"/>
    <w:rsid w:val="00A72CC5"/>
    <w:rsid w:val="00A92F78"/>
    <w:rsid w:val="00AA2E8A"/>
    <w:rsid w:val="00AC0214"/>
    <w:rsid w:val="00AD067C"/>
    <w:rsid w:val="00B076B3"/>
    <w:rsid w:val="00B1066F"/>
    <w:rsid w:val="00B129CF"/>
    <w:rsid w:val="00B15ABD"/>
    <w:rsid w:val="00B26F22"/>
    <w:rsid w:val="00B378A2"/>
    <w:rsid w:val="00B51552"/>
    <w:rsid w:val="00BE246D"/>
    <w:rsid w:val="00BF17AA"/>
    <w:rsid w:val="00BF4C5F"/>
    <w:rsid w:val="00C13087"/>
    <w:rsid w:val="00C20744"/>
    <w:rsid w:val="00C24556"/>
    <w:rsid w:val="00C86532"/>
    <w:rsid w:val="00C9260D"/>
    <w:rsid w:val="00C95437"/>
    <w:rsid w:val="00CD7950"/>
    <w:rsid w:val="00D05552"/>
    <w:rsid w:val="00D104BF"/>
    <w:rsid w:val="00D4070C"/>
    <w:rsid w:val="00D56ED7"/>
    <w:rsid w:val="00D653C4"/>
    <w:rsid w:val="00D80CBF"/>
    <w:rsid w:val="00DB7093"/>
    <w:rsid w:val="00DC0EF5"/>
    <w:rsid w:val="00DC7D9F"/>
    <w:rsid w:val="00DD5153"/>
    <w:rsid w:val="00E0465B"/>
    <w:rsid w:val="00E14AEB"/>
    <w:rsid w:val="00E31F5B"/>
    <w:rsid w:val="00E34FF4"/>
    <w:rsid w:val="00E65C7F"/>
    <w:rsid w:val="00EA09E4"/>
    <w:rsid w:val="00EE12E2"/>
    <w:rsid w:val="00EF62B3"/>
    <w:rsid w:val="00F20062"/>
    <w:rsid w:val="00F35BB2"/>
    <w:rsid w:val="00F45263"/>
    <w:rsid w:val="00F82D09"/>
    <w:rsid w:val="00FB1918"/>
    <w:rsid w:val="00FB396C"/>
    <w:rsid w:val="00FB639E"/>
    <w:rsid w:val="00FC5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D75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k-SK"/>
    </w:rPr>
  </w:style>
  <w:style w:type="paragraph" w:styleId="Heading1">
    <w:name w:val="heading 1"/>
    <w:basedOn w:val="Normal"/>
    <w:next w:val="Text1"/>
    <w:link w:val="Heading1Char"/>
    <w:uiPriority w:val="9"/>
    <w:qFormat/>
    <w:rsid w:val="009B7138"/>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1B26AE"/>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B26AE"/>
    <w:pPr>
      <w:spacing w:after="0"/>
    </w:pPr>
  </w:style>
  <w:style w:type="paragraph" w:styleId="ListBullet">
    <w:name w:val="List Bullet"/>
    <w:basedOn w:val="Normal"/>
    <w:uiPriority w:val="99"/>
    <w:semiHidden/>
    <w:unhideWhenUsed/>
    <w:rsid w:val="001B26AE"/>
    <w:pPr>
      <w:numPr>
        <w:numId w:val="15"/>
      </w:numPr>
      <w:contextualSpacing/>
    </w:pPr>
  </w:style>
  <w:style w:type="paragraph" w:styleId="ListBullet2">
    <w:name w:val="List Bullet 2"/>
    <w:basedOn w:val="Normal"/>
    <w:uiPriority w:val="99"/>
    <w:semiHidden/>
    <w:unhideWhenUsed/>
    <w:rsid w:val="001B26AE"/>
    <w:pPr>
      <w:numPr>
        <w:numId w:val="16"/>
      </w:numPr>
      <w:contextualSpacing/>
    </w:pPr>
  </w:style>
  <w:style w:type="paragraph" w:styleId="ListBullet3">
    <w:name w:val="List Bullet 3"/>
    <w:basedOn w:val="Normal"/>
    <w:uiPriority w:val="99"/>
    <w:semiHidden/>
    <w:unhideWhenUsed/>
    <w:rsid w:val="001B26AE"/>
    <w:pPr>
      <w:numPr>
        <w:numId w:val="17"/>
      </w:numPr>
      <w:contextualSpacing/>
    </w:pPr>
  </w:style>
  <w:style w:type="paragraph" w:styleId="ListBullet4">
    <w:name w:val="List Bullet 4"/>
    <w:basedOn w:val="Normal"/>
    <w:uiPriority w:val="99"/>
    <w:semiHidden/>
    <w:unhideWhenUsed/>
    <w:rsid w:val="001B26AE"/>
    <w:pPr>
      <w:numPr>
        <w:numId w:val="18"/>
      </w:numPr>
      <w:contextualSpacing/>
    </w:pPr>
  </w:style>
  <w:style w:type="paragraph" w:styleId="ListNumber">
    <w:name w:val="List Number"/>
    <w:basedOn w:val="Normal"/>
    <w:uiPriority w:val="99"/>
    <w:semiHidden/>
    <w:unhideWhenUsed/>
    <w:rsid w:val="001B26AE"/>
    <w:pPr>
      <w:numPr>
        <w:numId w:val="19"/>
      </w:numPr>
      <w:contextualSpacing/>
    </w:pPr>
  </w:style>
  <w:style w:type="paragraph" w:styleId="ListNumber2">
    <w:name w:val="List Number 2"/>
    <w:basedOn w:val="Normal"/>
    <w:uiPriority w:val="99"/>
    <w:semiHidden/>
    <w:unhideWhenUsed/>
    <w:rsid w:val="001B26AE"/>
    <w:pPr>
      <w:numPr>
        <w:numId w:val="20"/>
      </w:numPr>
      <w:contextualSpacing/>
    </w:pPr>
  </w:style>
  <w:style w:type="paragraph" w:styleId="ListNumber3">
    <w:name w:val="List Number 3"/>
    <w:basedOn w:val="Normal"/>
    <w:uiPriority w:val="99"/>
    <w:semiHidden/>
    <w:unhideWhenUsed/>
    <w:rsid w:val="001B26AE"/>
    <w:pPr>
      <w:numPr>
        <w:numId w:val="21"/>
      </w:numPr>
      <w:contextualSpacing/>
    </w:pPr>
  </w:style>
  <w:style w:type="paragraph" w:styleId="ListNumber4">
    <w:name w:val="List Number 4"/>
    <w:basedOn w:val="Normal"/>
    <w:uiPriority w:val="99"/>
    <w:semiHidden/>
    <w:unhideWhenUsed/>
    <w:rsid w:val="001B26AE"/>
    <w:pPr>
      <w:numPr>
        <w:numId w:val="22"/>
      </w:numPr>
      <w:contextualSpacing/>
    </w:pPr>
  </w:style>
  <w:style w:type="character" w:styleId="CommentReference">
    <w:name w:val="annotation reference"/>
    <w:basedOn w:val="DefaultParagraphFont"/>
    <w:uiPriority w:val="99"/>
    <w:semiHidden/>
    <w:unhideWhenUsed/>
    <w:rsid w:val="00403FFA"/>
    <w:rPr>
      <w:sz w:val="16"/>
      <w:szCs w:val="16"/>
    </w:rPr>
  </w:style>
  <w:style w:type="paragraph" w:styleId="CommentText">
    <w:name w:val="annotation text"/>
    <w:basedOn w:val="Normal"/>
    <w:link w:val="CommentTextChar"/>
    <w:uiPriority w:val="99"/>
    <w:unhideWhenUsed/>
    <w:rsid w:val="00403FFA"/>
    <w:rPr>
      <w:sz w:val="20"/>
      <w:szCs w:val="20"/>
    </w:rPr>
  </w:style>
  <w:style w:type="character" w:customStyle="1" w:styleId="CommentTextChar">
    <w:name w:val="Comment Text Char"/>
    <w:basedOn w:val="DefaultParagraphFont"/>
    <w:link w:val="CommentText"/>
    <w:uiPriority w:val="99"/>
    <w:rsid w:val="00403FFA"/>
    <w:rPr>
      <w:rFonts w:ascii="Times New Roman" w:hAnsi="Times New Roman" w:cs="Times New Roman"/>
      <w:sz w:val="20"/>
      <w:szCs w:val="20"/>
      <w:lang w:val="sk-SK"/>
    </w:rPr>
  </w:style>
  <w:style w:type="paragraph" w:styleId="CommentSubject">
    <w:name w:val="annotation subject"/>
    <w:basedOn w:val="CommentText"/>
    <w:next w:val="CommentText"/>
    <w:link w:val="CommentSubjectChar"/>
    <w:uiPriority w:val="99"/>
    <w:semiHidden/>
    <w:unhideWhenUsed/>
    <w:rsid w:val="00403FFA"/>
    <w:rPr>
      <w:b/>
      <w:bCs/>
    </w:rPr>
  </w:style>
  <w:style w:type="character" w:customStyle="1" w:styleId="CommentSubjectChar">
    <w:name w:val="Comment Subject Char"/>
    <w:basedOn w:val="CommentTextChar"/>
    <w:link w:val="CommentSubject"/>
    <w:uiPriority w:val="99"/>
    <w:semiHidden/>
    <w:rsid w:val="00403FFA"/>
    <w:rPr>
      <w:rFonts w:ascii="Times New Roman" w:hAnsi="Times New Roman" w:cs="Times New Roman"/>
      <w:b/>
      <w:bCs/>
      <w:sz w:val="20"/>
      <w:szCs w:val="20"/>
      <w:lang w:val="sk-SK"/>
    </w:rPr>
  </w:style>
  <w:style w:type="paragraph" w:styleId="BalloonText">
    <w:name w:val="Balloon Text"/>
    <w:basedOn w:val="Normal"/>
    <w:link w:val="BalloonTextChar"/>
    <w:uiPriority w:val="99"/>
    <w:semiHidden/>
    <w:unhideWhenUsed/>
    <w:rsid w:val="00403FF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FA"/>
    <w:rPr>
      <w:rFonts w:ascii="Segoe UI" w:hAnsi="Segoe UI" w:cs="Segoe UI"/>
      <w:sz w:val="18"/>
      <w:szCs w:val="18"/>
      <w:lang w:val="sk-SK"/>
    </w:rPr>
  </w:style>
  <w:style w:type="character" w:styleId="Hyperlink">
    <w:name w:val="Hyperlink"/>
    <w:basedOn w:val="DefaultParagraphFont"/>
    <w:uiPriority w:val="99"/>
    <w:unhideWhenUsed/>
    <w:rsid w:val="00403FFA"/>
    <w:rPr>
      <w:color w:val="0000FF" w:themeColor="hyperlink"/>
      <w:u w:val="single"/>
    </w:rPr>
  </w:style>
  <w:style w:type="paragraph" w:styleId="Revision">
    <w:name w:val="Revision"/>
    <w:hidden/>
    <w:uiPriority w:val="99"/>
    <w:semiHidden/>
    <w:rsid w:val="00DB7093"/>
    <w:pPr>
      <w:spacing w:after="0" w:line="240" w:lineRule="auto"/>
    </w:pPr>
    <w:rPr>
      <w:rFonts w:ascii="Times New Roman" w:hAnsi="Times New Roman" w:cs="Times New Roman"/>
      <w:sz w:val="24"/>
    </w:rPr>
  </w:style>
  <w:style w:type="paragraph" w:styleId="ListParagraph">
    <w:name w:val="List Paragraph"/>
    <w:basedOn w:val="Normal"/>
    <w:uiPriority w:val="34"/>
    <w:qFormat/>
    <w:rsid w:val="00B076B3"/>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4"/>
      </w:numPr>
    </w:pPr>
  </w:style>
  <w:style w:type="paragraph" w:customStyle="1" w:styleId="Tiret1">
    <w:name w:val="Tiret 1"/>
    <w:basedOn w:val="Point1"/>
    <w:rsid w:val="009B7138"/>
    <w:pPr>
      <w:numPr>
        <w:numId w:val="25"/>
      </w:numPr>
    </w:pPr>
  </w:style>
  <w:style w:type="paragraph" w:customStyle="1" w:styleId="Tiret2">
    <w:name w:val="Tiret 2"/>
    <w:basedOn w:val="Point2"/>
    <w:rsid w:val="009B7138"/>
    <w:pPr>
      <w:numPr>
        <w:numId w:val="26"/>
      </w:numPr>
    </w:pPr>
  </w:style>
  <w:style w:type="paragraph" w:customStyle="1" w:styleId="Tiret3">
    <w:name w:val="Tiret 3"/>
    <w:basedOn w:val="Point3"/>
    <w:rsid w:val="009B7138"/>
    <w:pPr>
      <w:numPr>
        <w:numId w:val="27"/>
      </w:numPr>
    </w:pPr>
  </w:style>
  <w:style w:type="paragraph" w:customStyle="1" w:styleId="Tiret4">
    <w:name w:val="Tiret 4"/>
    <w:basedOn w:val="Point4"/>
    <w:rsid w:val="009B7138"/>
    <w:pPr>
      <w:numPr>
        <w:numId w:val="28"/>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9"/>
      </w:numPr>
    </w:pPr>
  </w:style>
  <w:style w:type="paragraph" w:customStyle="1" w:styleId="NumPar2">
    <w:name w:val="NumPar 2"/>
    <w:basedOn w:val="Normal"/>
    <w:next w:val="Text1"/>
    <w:rsid w:val="009B7138"/>
    <w:pPr>
      <w:numPr>
        <w:ilvl w:val="1"/>
        <w:numId w:val="29"/>
      </w:numPr>
    </w:pPr>
  </w:style>
  <w:style w:type="paragraph" w:customStyle="1" w:styleId="NumPar3">
    <w:name w:val="NumPar 3"/>
    <w:basedOn w:val="Normal"/>
    <w:next w:val="Text1"/>
    <w:rsid w:val="009B7138"/>
    <w:pPr>
      <w:numPr>
        <w:ilvl w:val="2"/>
        <w:numId w:val="29"/>
      </w:numPr>
    </w:pPr>
  </w:style>
  <w:style w:type="paragraph" w:customStyle="1" w:styleId="NumPar4">
    <w:name w:val="NumPar 4"/>
    <w:basedOn w:val="Normal"/>
    <w:next w:val="Text1"/>
    <w:rsid w:val="009B7138"/>
    <w:pPr>
      <w:numPr>
        <w:ilvl w:val="3"/>
        <w:numId w:val="29"/>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1"/>
      </w:numPr>
    </w:pPr>
  </w:style>
  <w:style w:type="paragraph" w:customStyle="1" w:styleId="Point1number">
    <w:name w:val="Point 1 (number)"/>
    <w:basedOn w:val="Normal"/>
    <w:rsid w:val="009B7138"/>
    <w:pPr>
      <w:numPr>
        <w:ilvl w:val="2"/>
        <w:numId w:val="31"/>
      </w:numPr>
    </w:pPr>
  </w:style>
  <w:style w:type="paragraph" w:customStyle="1" w:styleId="Point2number">
    <w:name w:val="Point 2 (number)"/>
    <w:basedOn w:val="Normal"/>
    <w:rsid w:val="009B7138"/>
    <w:pPr>
      <w:numPr>
        <w:ilvl w:val="4"/>
        <w:numId w:val="31"/>
      </w:numPr>
    </w:pPr>
  </w:style>
  <w:style w:type="paragraph" w:customStyle="1" w:styleId="Point3number">
    <w:name w:val="Point 3 (number)"/>
    <w:basedOn w:val="Normal"/>
    <w:rsid w:val="009B7138"/>
    <w:pPr>
      <w:numPr>
        <w:ilvl w:val="6"/>
        <w:numId w:val="31"/>
      </w:numPr>
    </w:pPr>
  </w:style>
  <w:style w:type="paragraph" w:customStyle="1" w:styleId="Point0letter">
    <w:name w:val="Point 0 (letter)"/>
    <w:basedOn w:val="Normal"/>
    <w:rsid w:val="009B7138"/>
    <w:pPr>
      <w:numPr>
        <w:ilvl w:val="1"/>
        <w:numId w:val="31"/>
      </w:numPr>
    </w:pPr>
  </w:style>
  <w:style w:type="paragraph" w:customStyle="1" w:styleId="Point1letter">
    <w:name w:val="Point 1 (letter)"/>
    <w:basedOn w:val="Normal"/>
    <w:rsid w:val="009B7138"/>
    <w:pPr>
      <w:numPr>
        <w:ilvl w:val="3"/>
        <w:numId w:val="31"/>
      </w:numPr>
    </w:pPr>
  </w:style>
  <w:style w:type="paragraph" w:customStyle="1" w:styleId="Point2letter">
    <w:name w:val="Point 2 (letter)"/>
    <w:basedOn w:val="Normal"/>
    <w:rsid w:val="009B7138"/>
    <w:pPr>
      <w:numPr>
        <w:ilvl w:val="5"/>
        <w:numId w:val="31"/>
      </w:numPr>
    </w:pPr>
  </w:style>
  <w:style w:type="paragraph" w:customStyle="1" w:styleId="Point3letter">
    <w:name w:val="Point 3 (letter)"/>
    <w:basedOn w:val="Normal"/>
    <w:rsid w:val="009B7138"/>
    <w:pPr>
      <w:numPr>
        <w:ilvl w:val="7"/>
        <w:numId w:val="31"/>
      </w:numPr>
    </w:pPr>
  </w:style>
  <w:style w:type="paragraph" w:customStyle="1" w:styleId="Point4letter">
    <w:name w:val="Point 4 (letter)"/>
    <w:basedOn w:val="Normal"/>
    <w:rsid w:val="009B7138"/>
    <w:pPr>
      <w:numPr>
        <w:ilvl w:val="8"/>
        <w:numId w:val="31"/>
      </w:numPr>
    </w:pPr>
  </w:style>
  <w:style w:type="paragraph" w:customStyle="1" w:styleId="Bullet0">
    <w:name w:val="Bullet 0"/>
    <w:basedOn w:val="Normal"/>
    <w:rsid w:val="009B7138"/>
    <w:pPr>
      <w:numPr>
        <w:numId w:val="32"/>
      </w:numPr>
    </w:pPr>
  </w:style>
  <w:style w:type="paragraph" w:customStyle="1" w:styleId="Bullet1">
    <w:name w:val="Bullet 1"/>
    <w:basedOn w:val="Normal"/>
    <w:rsid w:val="009B7138"/>
    <w:pPr>
      <w:numPr>
        <w:numId w:val="33"/>
      </w:numPr>
    </w:pPr>
  </w:style>
  <w:style w:type="paragraph" w:customStyle="1" w:styleId="Bullet2">
    <w:name w:val="Bullet 2"/>
    <w:basedOn w:val="Normal"/>
    <w:rsid w:val="009B7138"/>
    <w:pPr>
      <w:numPr>
        <w:numId w:val="34"/>
      </w:numPr>
    </w:pPr>
  </w:style>
  <w:style w:type="paragraph" w:customStyle="1" w:styleId="Bullet3">
    <w:name w:val="Bullet 3"/>
    <w:basedOn w:val="Normal"/>
    <w:rsid w:val="009B7138"/>
    <w:pPr>
      <w:numPr>
        <w:numId w:val="35"/>
      </w:numPr>
    </w:pPr>
  </w:style>
  <w:style w:type="paragraph" w:customStyle="1" w:styleId="Bullet4">
    <w:name w:val="Bullet 4"/>
    <w:basedOn w:val="Normal"/>
    <w:rsid w:val="009B7138"/>
    <w:pPr>
      <w:numPr>
        <w:numId w:val="36"/>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7"/>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441092">
      <w:bodyDiv w:val="1"/>
      <w:marLeft w:val="0"/>
      <w:marRight w:val="0"/>
      <w:marTop w:val="0"/>
      <w:marBottom w:val="0"/>
      <w:divBdr>
        <w:top w:val="none" w:sz="0" w:space="0" w:color="auto"/>
        <w:left w:val="none" w:sz="0" w:space="0" w:color="auto"/>
        <w:bottom w:val="none" w:sz="0" w:space="0" w:color="auto"/>
        <w:right w:val="none" w:sz="0" w:space="0" w:color="auto"/>
      </w:divBdr>
      <w:divsChild>
        <w:div w:id="337930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13</Pages>
  <Words>4772</Words>
  <Characters>27493</Characters>
  <Application>Microsoft Office Word</Application>
  <DocSecurity>0</DocSecurity>
  <Lines>499</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2021-05-18T13:58:00Z</dcterms:created>
  <dcterms:modified xsi:type="dcterms:W3CDTF">2021-05-18T13:58:00Z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SJ-004</vt:lpwstr>
  </property>
  <property fmtid="{D5CDD505-2E9C-101B-9397-08002B2CF9AE}" pid="7" name="DQCStatus">
    <vt:lpwstr>Green (DQC version 03)</vt:lpwstr>
  </property>
</Properties>
</file>