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2C34DF1B" w:rsidR="001C2816" w:rsidRPr="00CC057F" w:rsidRDefault="000328C7" w:rsidP="00873911">
      <w:pPr>
        <w:pStyle w:val="Pagedecouverture"/>
      </w:pPr>
      <w:bookmarkStart w:id="0" w:name="_GoBack"/>
      <w:bookmarkEnd w:id="0"/>
      <w:r>
        <w:pict w14:anchorId="21E365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76B53FB7-55C8-4C8D-B0F4-562FAF1878CF" style="width:450.6pt;height:409.8pt">
            <v:imagedata r:id="rId7" o:title=""/>
          </v:shape>
        </w:pict>
      </w:r>
    </w:p>
    <w:p w14:paraId="42BED65A" w14:textId="77777777" w:rsidR="00911C0D" w:rsidRPr="00CC057F" w:rsidRDefault="00911C0D">
      <w:pPr>
        <w:sectPr w:rsidR="00911C0D" w:rsidRPr="00CC057F" w:rsidSect="000F5664">
          <w:footerReference w:type="default" r:id="rId8"/>
          <w:pgSz w:w="11907" w:h="16839"/>
          <w:pgMar w:top="1134" w:right="1417" w:bottom="1134" w:left="1417" w:header="709" w:footer="709" w:gutter="0"/>
          <w:pgNumType w:start="0"/>
          <w:cols w:space="720"/>
          <w:docGrid w:linePitch="360"/>
        </w:sectPr>
      </w:pPr>
    </w:p>
    <w:p w14:paraId="2E321C8E" w14:textId="77777777" w:rsidR="00911C0D" w:rsidRPr="00CC057F" w:rsidRDefault="00DD5153" w:rsidP="00DD5153">
      <w:pPr>
        <w:pStyle w:val="Typedudocument"/>
      </w:pPr>
      <w:r w:rsidRPr="00CC057F">
        <w:lastRenderedPageBreak/>
        <w:t>KOMISJONI RAKENDUSMÄÄRUS (EL) …/…,</w:t>
      </w:r>
    </w:p>
    <w:p w14:paraId="537E2F9A" w14:textId="3467A1A9" w:rsidR="00911C0D" w:rsidRPr="00CC057F" w:rsidRDefault="00002DE2" w:rsidP="00DD5153">
      <w:pPr>
        <w:pStyle w:val="Datedadoption"/>
      </w:pPr>
      <w:r w:rsidRPr="00CC057F">
        <w:rPr>
          <w:rStyle w:val="Marker2"/>
        </w:rPr>
        <w:t>XXX,</w:t>
      </w:r>
    </w:p>
    <w:p w14:paraId="2AF513BE" w14:textId="77777777" w:rsidR="00911C0D" w:rsidRPr="00CC057F" w:rsidRDefault="00DD5153" w:rsidP="00DD5153">
      <w:pPr>
        <w:pStyle w:val="Titreobjet"/>
      </w:pPr>
      <w:r w:rsidRPr="00CC057F">
        <w:t>millega kehtestatakse rakenduslikud tehnilised standardid Euroopa Parlamendi ja nõukogu määruse (EL) nr 575/2013 ning Euroopa Parlamendi ja nõukogu direktiivi 2014/59/EL kohaldamiseks seoses omavahendite ja kõlblike kohustuste miinimumnõude täitmise järelevalvelise aruandluse ja avalikustamisega</w:t>
      </w:r>
    </w:p>
    <w:p w14:paraId="17032FFA" w14:textId="77777777" w:rsidR="00911C0D" w:rsidRPr="00CC057F" w:rsidRDefault="00DD5153" w:rsidP="00DD5153">
      <w:pPr>
        <w:pStyle w:val="IntrtEEE"/>
      </w:pPr>
      <w:r w:rsidRPr="00CC057F">
        <w:t>(EMPs kohaldatav tekst)</w:t>
      </w:r>
    </w:p>
    <w:p w14:paraId="70543606" w14:textId="77777777" w:rsidR="00911C0D" w:rsidRPr="00CC057F" w:rsidRDefault="00911C0D" w:rsidP="00911C0D">
      <w:pPr>
        <w:pStyle w:val="Institutionquiagit"/>
      </w:pPr>
      <w:r w:rsidRPr="00CC057F">
        <w:t>EUROOPA KOMISJON,</w:t>
      </w:r>
    </w:p>
    <w:p w14:paraId="69A98AD3" w14:textId="3F66DE3F" w:rsidR="00911C0D" w:rsidRPr="00CC057F" w:rsidRDefault="00911C0D" w:rsidP="00911C0D">
      <w:r w:rsidRPr="00CC057F">
        <w:t>võttes arvesse Euroopa Parlamendi ja nõukogu 26. ju</w:t>
      </w:r>
      <w:r w:rsidR="00CC057F" w:rsidRPr="00CC057F">
        <w:t>uni 2013. aasta määrust (EL) nr </w:t>
      </w:r>
      <w:r w:rsidRPr="00CC057F">
        <w:t>575/2013 krediidiasutuste ja investeerimisühingute suhtes kohaldatavate usaldatavusnõuete kohta ja määruse (EL) nr 648/2012 muutmise kohta</w:t>
      </w:r>
      <w:r w:rsidRPr="00CC057F">
        <w:rPr>
          <w:rStyle w:val="FootnoteReference"/>
        </w:rPr>
        <w:footnoteReference w:id="1"/>
      </w:r>
      <w:r w:rsidRPr="00CC057F">
        <w:t>, eriti selle artikli 430 lõike 7 viiendat lõiku ja artiklit 434a,</w:t>
      </w:r>
    </w:p>
    <w:p w14:paraId="283FAA3A" w14:textId="77777777" w:rsidR="00911C0D" w:rsidRPr="00CC057F" w:rsidRDefault="00911C0D" w:rsidP="00911C0D">
      <w:r w:rsidRPr="00CC057F">
        <w:t>võttes arvesse Euroopa Parlamendi ja nõukogu 15. mai 2014. aasta direktiivi 2014/59/EL, millega luuakse krediidiasutuste ja investeerimisühingute finantsseisundi taastamise ja kriisilahenduse õigusraamistik ning muudetakse nõukogu direktiivi 82/891/EMÜ ning Euroopa Parlamendi ja nõukogu direktiive 2001/24/EÜ, 2002/47/EÜ, 2004/25/EÜ, 2005/56/EÜ, 2007/36/EÜ, 2011/35/EL, 2012/30/EL ja 2013/36/EL ning määruseid (EL) nr 1093/2010 ja (EL) nr 648/2012</w:t>
      </w:r>
      <w:r w:rsidRPr="00CC057F">
        <w:rPr>
          <w:rStyle w:val="FootnoteReference"/>
        </w:rPr>
        <w:footnoteReference w:id="2"/>
      </w:r>
      <w:r w:rsidRPr="00CC057F">
        <w:t>, eriti selle artikli 45i lõikeid 5 ja 6,</w:t>
      </w:r>
    </w:p>
    <w:p w14:paraId="2D724A4A" w14:textId="77777777" w:rsidR="00911C0D" w:rsidRPr="00CC057F" w:rsidRDefault="00911C0D" w:rsidP="00911C0D">
      <w:r w:rsidRPr="00CC057F">
        <w:t>ning arvestades järgmist:</w:t>
      </w:r>
    </w:p>
    <w:p w14:paraId="1498BCD9" w14:textId="55EE7DC6" w:rsidR="00911C0D" w:rsidRPr="00CC057F" w:rsidRDefault="00911C0D" w:rsidP="00B378A2">
      <w:pPr>
        <w:pStyle w:val="Considrant"/>
        <w:numPr>
          <w:ilvl w:val="0"/>
          <w:numId w:val="36"/>
        </w:numPr>
      </w:pPr>
      <w:r w:rsidRPr="00CC057F">
        <w:t>Liidu õiguses kehtestati Euroopa Parlamendi ja nõukogu määrusega (EL) 2019/876</w:t>
      </w:r>
      <w:r w:rsidRPr="00CC057F">
        <w:rPr>
          <w:rStyle w:val="FootnoteReference"/>
        </w:rPr>
        <w:footnoteReference w:id="3"/>
      </w:r>
      <w:r w:rsidRPr="00CC057F">
        <w:t xml:space="preserve"> (millega muudeti määrust (EL) nr 575/2013) globaalsetele süsteemselt olulistele ettevõtjatele kogu kahjumikatmisvõime tingimuste („kogu kahjumikatmisvõime standard“, „TLACi standard“) jaoks ühtlustatud miinimumtase („kogu kahjumikatmisvõime miinimumnõue“, „TLACi nõue“).</w:t>
      </w:r>
      <w:r w:rsidRPr="00CC057F">
        <w:rPr>
          <w:sz w:val="23"/>
          <w:szCs w:val="23"/>
        </w:rPr>
        <w:t xml:space="preserve"> </w:t>
      </w:r>
      <w:r w:rsidRPr="00CC057F">
        <w:t>Euroopa Parlamendi ja nõukogu direktiivi (EL) 2019/879</w:t>
      </w:r>
      <w:r w:rsidRPr="00CC057F">
        <w:rPr>
          <w:rStyle w:val="FootnoteReference"/>
        </w:rPr>
        <w:footnoteReference w:id="4"/>
      </w:r>
      <w:r w:rsidRPr="00CC057F">
        <w:t xml:space="preserve"> kohaste direktiivi 2014/59/EL sihipäraste muudatustega on kehtestatud globaalsete süsteemselt oluliste ettevõtjate jaoks krediidiasutuse- või investeerimisühingupõhine lisand ja muude kui globaalsete süsteemselt oluliste ettevõtjate jaoks krediidiasutuse- või investeerimisühingupõhine nõue, mida nimetatakse omavahendite ja kõlblike kohustuste miinimumnõudeks (MREL). Nii kogu kahjumikatmisvõime standardi kui ka omavahendite ja kõlblike kohustuste miinimumnõudega seotud aruandlus- ja avalikustamisnõuded on nüüd sätestatud vastavalt määruses (EL) nr 575/2013 ja direktiivis 2014/59/EL.</w:t>
      </w:r>
    </w:p>
    <w:p w14:paraId="42917AA4" w14:textId="77777777" w:rsidR="00911C0D" w:rsidRPr="00CC057F" w:rsidRDefault="00911C0D" w:rsidP="00911C0D">
      <w:pPr>
        <w:pStyle w:val="Considrant"/>
      </w:pPr>
      <w:r w:rsidRPr="00CC057F">
        <w:lastRenderedPageBreak/>
        <w:t>Kuna nii kogu kahjumikatmisvõime standardi kui ka omavahendite ja kõlblike kohustuste miinimumnõude eesmärk on sama – tagada krediidiasutuste või investeerimisühingute piisav kahjumi katmise ja rekapitaliseerimise võime –, peaksid need kaks nõuet ühises raamistikus üksteist täiendama. Seepärast on asjakohane näha ette aruandlus- ja avalikustamisvormid ühtse teabe esitamiseks globaalsete süsteemselt oluliste ettevõtjate ja kolmanda riigi globaalsete süsteemselt oluliste ettevõtjate oluliste tütarettevõtjate suhtes kohaldatava omavahendite ja kõlblike kohustuste nõude (kogu kahjumikatmisvõime (TLAC)) kohta ning kõigi krediidiasutuste ja investeerimisühingute suhtes kohaldatava krediidiasutuse- või investeerimisühingupõhise omavahendite ja kõlblike kohustuste miinimumnõude (MREL) kohta.</w:t>
      </w:r>
    </w:p>
    <w:p w14:paraId="621ACD0D" w14:textId="77777777" w:rsidR="00911C0D" w:rsidRPr="00CC057F" w:rsidRDefault="00911C0D" w:rsidP="00911C0D">
      <w:pPr>
        <w:pStyle w:val="Considrant"/>
      </w:pPr>
      <w:r w:rsidRPr="00CC057F">
        <w:t>Vastavalt määruse (EL) nr 575/2013 artiklile 434a on Euroopa Pangandusjärelevalve (EBA) väljatöötatava ühtseid avalikustamisvorminguid käsitleva rakenduslike tehniliste standardite eelnõu eesmärk säilitada avalikustamisvormingute kooskõla rahvusvaheliste avalikustamisstandarditega, et soodustada teabe võrreldavust. Baseli pangajärelevalve komitee avaldas 2018. aasta detsembris ajakohastatud kolmanda samba kohased avalikustamisnõuded, sealhulgas kogu kahjumikatmisvõime avalikustamise nõuded. Seega peaksid käesolevas määruses sätestatud avalikustamisvormingud ja nendega seotud juhised olema kooskõlas Baseli pangajärelevalve komitee ajakohastatud avalikustamisnõuetega.</w:t>
      </w:r>
    </w:p>
    <w:p w14:paraId="39396602" w14:textId="729EA19C" w:rsidR="00911C0D" w:rsidRPr="00CC057F" w:rsidRDefault="00911C0D" w:rsidP="00911C0D">
      <w:pPr>
        <w:pStyle w:val="Considrant"/>
      </w:pPr>
      <w:r w:rsidRPr="00CC057F">
        <w:t>Et hoida ära krediidiasutuste ja investeerimisühingute nõuete täitmisega seotud kulude põhjendamatu suurenemine ning tagada andmete kvaliteedi säilimine, tuleks aruandluse ja avalikustamise kohustused võimalikult suures ulatuses omavahel vastavusse viia, sealhulgas seoses nende sagedusega. Lisaks nõutakse kogu kahjumikatmisvõime ning omavahendite ja kõlblike kohustuste miinimumnõudega seotud aruandlus- ja avalikustamiskohustusi käsitlevate rakenduslike tehniliste standardite ühtlustamist sõnaselgelt direktiivi 2014/59/EL artikli 45i lõike 5 kolmandas lõigus ja artikli 45i lõikes 6. Seega on asjakohane sätestada ühes määruses mõlemad standardid – nii kogu kahjumikatmisvõime kui ka omavahendite ja kõlblike kohustuste miinimumnõudega seotud aruandluse ja avalikustamise suhtes kohaldatavad standardid. Samas tuleks aruandluse ja avalikustamise üksikasjalikkust ja sagedust vajaduse järgi kohandada, võttes arv</w:t>
      </w:r>
      <w:r w:rsidR="00CC057F" w:rsidRPr="00CC057F">
        <w:t>esse vastavalt määruses (EL) nr </w:t>
      </w:r>
      <w:r w:rsidRPr="00CC057F">
        <w:t xml:space="preserve">575/2013 või direktiivis 2014/59/EL sätestatud nõudeid ning vajadust tagada, et krediidiasutused ja investeerimisühingud kõnealuseid nõudeid alati täidaksid. </w:t>
      </w:r>
    </w:p>
    <w:p w14:paraId="6A0B1EFC" w14:textId="77777777" w:rsidR="00911C0D" w:rsidRPr="00CC057F" w:rsidRDefault="00911C0D" w:rsidP="00911C0D">
      <w:pPr>
        <w:pStyle w:val="Considrant"/>
      </w:pPr>
      <w:r w:rsidRPr="00CC057F">
        <w:t>Direktiivis 2014/59/EL nõutakse, et teave omavahendite ja kõlblike kohustuste miinimumnõude kohta esitataks nii pädevatele asutustele kui ka kriisilahendusasutustele. Määruses (EL) nr 575/2013 nõutakse, et teave kogu kahjumikatmisvõime kohta esitataks ainult pädevatele asutustele. Direktiivi 2014/59/EL artikli 45d lõike 1 kohaselt koosneb aga omavahendite ja kõlblike kohustuste miinimumnõue, mida kohaldatakse kriisilahendussubjekti suhtes, kes on globaalne süsteemselt oluline ettevõtja või selle osa, kogu kahjumikatmisvõime nõudest ja mis tahes täiendavast lisandist. Seetõttu on asjakohane tagada, et kriisilahendusasutused saavad globaalselt süsteemselt oluliselt ettevõtjalt teabe kogu kahjumikatmisvõime kohta omavahendite ja kõlblike kohustuste miinimumnõude täitmise aruandluse osana. See ei tohiks piirata pädevate asutuste ja kriisilahendusasutuste sõlmitud kokkuleppeid andmevoogude minimeerimiseks.</w:t>
      </w:r>
    </w:p>
    <w:p w14:paraId="47B09598" w14:textId="77777777" w:rsidR="00911C0D" w:rsidRPr="00CC057F" w:rsidRDefault="00911C0D" w:rsidP="00911C0D">
      <w:pPr>
        <w:pStyle w:val="Considrant"/>
      </w:pPr>
      <w:r w:rsidRPr="00CC057F">
        <w:t xml:space="preserve">Direktiivi 2014/59/EL artikli 45i lõike 5 kohaselt peab EBA võrreldavuse ja õiguskindluse tagamise eesmärgil välja töötama rakenduslike tehniliste standardite eelnõu, et määrata kindlaks standardne viis, kuidas esitada teavet, mis käsitleb </w:t>
      </w:r>
      <w:r w:rsidRPr="00CC057F">
        <w:lastRenderedPageBreak/>
        <w:t>liikmesriikide riigisiseses maksejõuetusmenetluses kohaldatavaid omavahendite ja teisendatavate kohustustega seotud nõuete rahuldamisjärke. Seega peaksid kriisilahendusasutused tegema oma jurisdiktsiooni alla kuuluvatele krediidiasutustele ja investeerimisühingutele kättesaadavaks asjaomase liikmesriigi maksejõuetusmenetluse nõuete hierarhiat käsitleva standardse ja ajakohase teabe. See teave tuleks esitada maksejõuetusmenetluse nõuete hierarhia standarditud esitusviisi kohaldades.</w:t>
      </w:r>
    </w:p>
    <w:p w14:paraId="5C67BF36" w14:textId="77777777" w:rsidR="00911C0D" w:rsidRPr="00CC057F" w:rsidRDefault="00911C0D" w:rsidP="00911C0D">
      <w:pPr>
        <w:pStyle w:val="Considrant"/>
      </w:pPr>
      <w:r w:rsidRPr="00CC057F">
        <w:t>Mis puudutab kolmanda riigi õigusega reguleeritavaid teisendatavaid kohustusi, siis nõutakse direktiivi 2014/59/EL artikli 45i lõikes 5 ka seda, et EBA töötaks välja rakenduslike tehniliste standardite eelnõu, millega määratakse kindlaks sellise teabe standardne esitusviis, mis näitab ära kolmandad riigid, kelle õiguse alusel kõnealuseid kohustusi reguleeritakse, ja iga asjaomase kolmanda riigi puhul asjaolu, kas need kohustused hõlmavad lepingutingimust, millega sätestatakse, et nende suhtes võidakse kõnealuse direktiivi alusel kohaldada allahindamise ja konverteerimise õigust. Kuna nende elementide aruandluse üksikasjalikkuse astme aspekti on vaja täiendavalt hinnata, töötab EBA välja asjakohased juhised ja vormid ning esitab need komisjonile eraldi ja õigel ajal, et kõnealune teave oleks nii pädevatele asutustele kui ka kriisilahendusasutustele regulaarselt kättesaadav. Nende mõningate lisaelementide puudumine ei mõjuta ega lükka edasi käesolevas määruses sätestatud aruandlusnõuete kohaldamist.</w:t>
      </w:r>
    </w:p>
    <w:p w14:paraId="131F500A" w14:textId="77777777" w:rsidR="00911C0D" w:rsidRPr="00CC057F" w:rsidRDefault="00911C0D" w:rsidP="00911C0D">
      <w:pPr>
        <w:pStyle w:val="Considrant"/>
      </w:pPr>
      <w:r w:rsidRPr="00CC057F">
        <w:t xml:space="preserve">Kui avalikustavad üksused hindavad kooskõlas määruse (EL) nr 575/2013 artikliga 432 seda, kas teave on oluline, ärisaladus või konfidentsiaalne, peaksid nad võtma arvesse EBA välja antud asjakohaseid suuniseid. </w:t>
      </w:r>
    </w:p>
    <w:p w14:paraId="334E45CF" w14:textId="2924542D" w:rsidR="00911C0D" w:rsidRPr="00CC057F" w:rsidRDefault="00911C0D" w:rsidP="00911C0D">
      <w:pPr>
        <w:pStyle w:val="Considrant"/>
      </w:pPr>
      <w:r w:rsidRPr="00CC057F">
        <w:t>Määruse (EL) nr 575/2013 artikli 430 lõike 1 punktis b, artiklis 437a ja artikli 447 punktis h sätestatud kogu kahjumikatmisvõimet käsitleva teabe aruandlus- ja avalikustamiskohustust on kohaldatud alates 27. juun</w:t>
      </w:r>
      <w:r w:rsidR="00CC057F" w:rsidRPr="00CC057F">
        <w:t>ist 2019 vastavalt määruse (EL) </w:t>
      </w:r>
      <w:r w:rsidRPr="00CC057F">
        <w:t>2019/876 artikli 3 lõike 3 teisele lõigule. Seega peaksid globaalsed süsteemselt olulised ettevõtjad ja kolmandate riikide globaalsete süsteemselt oluliste ettevõtjate olulised tütarettevõtjad pärast käesoleva määruse jõustumist viivitamata avalikustama kogu kahjumikatmisvõimet käsitleva teabe, järgides käesoleva määrusega kehtestatud vorme ja juhiseid. Käesoleva määruse kohast kogu kahjumikatmisvõime nõuet käsitlevat aruandlust tuleks aga hakata kohaldama alles 28. juunist 2021, et anda krediidiasutustele ja investeerimisühingutele ning pädevatele asutustele asjakohaste nõuete rakendamiseks piisavalt aega.</w:t>
      </w:r>
    </w:p>
    <w:p w14:paraId="5CD8D630" w14:textId="554B47BE" w:rsidR="00911C0D" w:rsidRPr="00CC057F" w:rsidRDefault="00911C0D" w:rsidP="00911C0D">
      <w:pPr>
        <w:pStyle w:val="Considrant"/>
      </w:pPr>
      <w:r w:rsidRPr="00CC057F">
        <w:rPr>
          <w:color w:val="000000"/>
        </w:rPr>
        <w:t>Omavahendite ja kõlblike kohustuste miinimumnõudega seonduvaid direktiivis 2014/59/EL sätestatud aruandluskohustusi kohaldatakse hiljemalt 28. detsembrist 2020. Samadel põhjustel nagu kogu kahjumikatmisvõime teabe puhul peaksid kõik krediidiasutused ja investeerimisühingud esitama käesolevas määruses sätestatud vormide ja juhiste järgi teabe omavahendite ja kõlblike kohustuste miinimumnõude kohta alates 28. juunist 2021. Omavahendite ja kõlblike kohustuste miinimumnõude täitmise avalikustamise kohustuse kohaldamise kuupäev peaks aga langema kokku direktiivi 2014/59/EL artikli 45m lõike 1 kolmanda lõigu kohase üleminekuperioodi lõpuga, mis tähendab, et selle kõige varajasem võimalik kuupäev on 1. jaanuar 2024.</w:t>
      </w:r>
      <w:r w:rsidRPr="00CC057F">
        <w:t xml:space="preserve"> </w:t>
      </w:r>
    </w:p>
    <w:p w14:paraId="440C2F52" w14:textId="6DDE81A7" w:rsidR="00D05552" w:rsidRPr="00CC057F" w:rsidRDefault="00EA09E4" w:rsidP="00EA09E4">
      <w:pPr>
        <w:pStyle w:val="Considrant"/>
      </w:pPr>
      <w:r w:rsidRPr="00CC057F">
        <w:t>Võttes arvesse, et krediidiasutused ja investeerimisühingud, pädevad asutused ja kriisilahendusasutused peavad kohandama oma aruandlus- ja elektroonilised süsteemid käesolevas määruses sätestatud nõuete</w:t>
      </w:r>
      <w:r w:rsidR="00CC057F" w:rsidRPr="00CC057F">
        <w:t>ga, peaks aruandekuupäevaga 30. </w:t>
      </w:r>
      <w:r w:rsidRPr="00CC057F">
        <w:t xml:space="preserve">juuni 2021 seotud andmete kvartaliaruannete esitamise kuupäev olema hiljemalt 30. september 2021. </w:t>
      </w:r>
    </w:p>
    <w:p w14:paraId="059DCDED" w14:textId="77777777" w:rsidR="00911C0D" w:rsidRPr="00CC057F" w:rsidRDefault="00911C0D" w:rsidP="00911C0D">
      <w:pPr>
        <w:pStyle w:val="Considrant"/>
      </w:pPr>
      <w:r w:rsidRPr="00CC057F">
        <w:lastRenderedPageBreak/>
        <w:t>Käesolev määrus põhineb rakenduslike tehniliste standardite eelnõul, mille EBA on komisjonile esitanud.</w:t>
      </w:r>
    </w:p>
    <w:p w14:paraId="11F1B273" w14:textId="77777777" w:rsidR="00911C0D" w:rsidRPr="00CC057F" w:rsidRDefault="00911C0D" w:rsidP="00911C0D">
      <w:pPr>
        <w:pStyle w:val="Considrant"/>
        <w:rPr>
          <w:color w:val="000000"/>
        </w:rPr>
      </w:pPr>
      <w:r w:rsidRPr="00CC057F">
        <w:t>Euroopa Pangandusjärelevalve on korraldanud käesoleva määruse aluseks oleva rakenduslike tehniliste standardite eelnõu kohta avalikud konsultatsioonid, analüüsinud võimalikku kaasnevat kulu ja kasu ning küsinud arvamust Euroopa Parlamendi ja nõukogu määruse (EL) nr 1093/2010</w:t>
      </w:r>
      <w:r w:rsidRPr="00CC057F">
        <w:rPr>
          <w:rStyle w:val="FootnoteReference"/>
        </w:rPr>
        <w:footnoteReference w:id="5"/>
      </w:r>
      <w:r w:rsidRPr="00CC057F">
        <w:t xml:space="preserve"> artikli 37 kohaselt loodud pangandussektori sidusrühmade kogult,</w:t>
      </w:r>
    </w:p>
    <w:p w14:paraId="0057A5D8" w14:textId="77777777" w:rsidR="00911C0D" w:rsidRPr="00CC057F" w:rsidRDefault="00911C0D" w:rsidP="00911C0D">
      <w:pPr>
        <w:pStyle w:val="Formuledadoption"/>
      </w:pPr>
      <w:r w:rsidRPr="00CC057F">
        <w:t>ON VASTU VÕTNUD KÄESOLEVA MÄÄRUSE:</w:t>
      </w:r>
    </w:p>
    <w:p w14:paraId="3D820E8F" w14:textId="77777777" w:rsidR="00911C0D" w:rsidRPr="00CC057F" w:rsidRDefault="00911C0D" w:rsidP="00911C0D">
      <w:pPr>
        <w:pStyle w:val="SectionTitle"/>
        <w:rPr>
          <w:b w:val="0"/>
          <w:i/>
        </w:rPr>
      </w:pPr>
      <w:r w:rsidRPr="00CC057F">
        <w:rPr>
          <w:b w:val="0"/>
          <w:i/>
        </w:rPr>
        <w:t>I JAOTIS</w:t>
      </w:r>
      <w:r w:rsidRPr="00CC057F">
        <w:t xml:space="preserve"> </w:t>
      </w:r>
      <w:r w:rsidRPr="00CC057F">
        <w:br/>
      </w:r>
      <w:r w:rsidRPr="00CC057F">
        <w:rPr>
          <w:b w:val="0"/>
          <w:i/>
        </w:rPr>
        <w:t>JÄRELEVALVELINE ARUANDLUS</w:t>
      </w:r>
    </w:p>
    <w:p w14:paraId="41755B8B" w14:textId="77777777" w:rsidR="00911C0D" w:rsidRPr="00CC057F" w:rsidRDefault="00911C0D" w:rsidP="00911C0D">
      <w:pPr>
        <w:pStyle w:val="Titrearticle"/>
      </w:pPr>
      <w:r w:rsidRPr="00CC057F">
        <w:t xml:space="preserve">Artikkel </w:t>
      </w:r>
      <w:r w:rsidR="004A5441" w:rsidRPr="00CC057F">
        <w:fldChar w:fldCharType="begin"/>
      </w:r>
      <w:r w:rsidR="004A5441" w:rsidRPr="00CC057F">
        <w:instrText xml:space="preserve"> SEQ Figure \* ARABIC </w:instrText>
      </w:r>
      <w:r w:rsidR="004A5441" w:rsidRPr="00CC057F">
        <w:fldChar w:fldCharType="separate"/>
      </w:r>
      <w:r w:rsidRPr="00CC057F">
        <w:t>1</w:t>
      </w:r>
      <w:r w:rsidR="004A5441" w:rsidRPr="00CC057F">
        <w:fldChar w:fldCharType="end"/>
      </w:r>
      <w:r w:rsidRPr="00CC057F">
        <w:t xml:space="preserve"> </w:t>
      </w:r>
      <w:r w:rsidRPr="00CC057F">
        <w:br/>
        <w:t>Aruandekuupäevad</w:t>
      </w:r>
    </w:p>
    <w:p w14:paraId="4E45B252" w14:textId="77777777" w:rsidR="00911C0D" w:rsidRPr="00CC057F" w:rsidRDefault="00911C0D" w:rsidP="00911C0D">
      <w:pPr>
        <w:keepNext/>
        <w:keepLines/>
        <w:spacing w:before="360"/>
      </w:pPr>
      <w:r w:rsidRPr="00CC057F">
        <w:t xml:space="preserve">Üksused, kelle suhtes kohaldatakse individuaalsel või konsolideeritud alusel kogu kahjumikatmisvõime (TLAC) ning </w:t>
      </w:r>
      <w:r w:rsidRPr="00CC057F">
        <w:rPr>
          <w:sz w:val="23"/>
          <w:szCs w:val="23"/>
        </w:rPr>
        <w:t xml:space="preserve">omavahendite ja kõlblike kohustuste miinimumnõudega </w:t>
      </w:r>
      <w:r w:rsidRPr="00CC057F">
        <w:t>(MREL) seotud aruandlusnõudeid (aruandvad üksused), esitavad pädevatele asutustele ja kriisilahendusasutustele teabe järgmiste aruandekuupäevade seisuga:</w:t>
      </w:r>
    </w:p>
    <w:p w14:paraId="62D6D0EC" w14:textId="77777777" w:rsidR="00911C0D" w:rsidRPr="00CC057F" w:rsidRDefault="00911C0D" w:rsidP="00911C0D">
      <w:pPr>
        <w:pStyle w:val="Point0"/>
      </w:pPr>
      <w:r w:rsidRPr="00CC057F">
        <w:t>a)</w:t>
      </w:r>
      <w:r w:rsidRPr="00CC057F">
        <w:tab/>
        <w:t>kvartaliaruandlus: 31. märts, 30. juuni, 30. september ja 31. detsember;</w:t>
      </w:r>
    </w:p>
    <w:p w14:paraId="6619E578" w14:textId="77777777" w:rsidR="00911C0D" w:rsidRPr="00CC057F" w:rsidRDefault="00911C0D" w:rsidP="00911C0D">
      <w:pPr>
        <w:pStyle w:val="Point0"/>
      </w:pPr>
      <w:r w:rsidRPr="00CC057F">
        <w:t>b)</w:t>
      </w:r>
      <w:r w:rsidRPr="00CC057F">
        <w:tab/>
        <w:t>poolaastaaruandlus: 30. juuni ja 31. detsember;</w:t>
      </w:r>
    </w:p>
    <w:p w14:paraId="0A85107A" w14:textId="77777777" w:rsidR="00911C0D" w:rsidRPr="00CC057F" w:rsidRDefault="00911C0D" w:rsidP="00911C0D">
      <w:pPr>
        <w:pStyle w:val="Point0"/>
      </w:pPr>
      <w:r w:rsidRPr="00CC057F">
        <w:t>c)</w:t>
      </w:r>
      <w:r w:rsidRPr="00CC057F">
        <w:tab/>
        <w:t>aastaaruandlus: 31. detsember.</w:t>
      </w:r>
    </w:p>
    <w:p w14:paraId="2DD5D0AB" w14:textId="77777777" w:rsidR="00911C0D" w:rsidRPr="00CC057F" w:rsidRDefault="00911C0D" w:rsidP="00911C0D">
      <w:pPr>
        <w:pStyle w:val="Titrearticle"/>
      </w:pPr>
      <w:r w:rsidRPr="00CC057F">
        <w:t xml:space="preserve">Artikkel </w:t>
      </w:r>
      <w:r w:rsidR="004A5441" w:rsidRPr="00CC057F">
        <w:fldChar w:fldCharType="begin"/>
      </w:r>
      <w:r w:rsidR="004A5441" w:rsidRPr="00CC057F">
        <w:instrText xml:space="preserve"> SEQ Figure \* ARABIC </w:instrText>
      </w:r>
      <w:r w:rsidR="004A5441" w:rsidRPr="00CC057F">
        <w:fldChar w:fldCharType="separate"/>
      </w:r>
      <w:r w:rsidRPr="00CC057F">
        <w:t>2</w:t>
      </w:r>
      <w:r w:rsidR="004A5441" w:rsidRPr="00CC057F">
        <w:fldChar w:fldCharType="end"/>
      </w:r>
      <w:r w:rsidRPr="00CC057F">
        <w:t xml:space="preserve"> </w:t>
      </w:r>
      <w:r w:rsidRPr="00CC057F">
        <w:br/>
        <w:t>Aruannete esitamise kuupäevad</w:t>
      </w:r>
    </w:p>
    <w:p w14:paraId="7EB2FA5F" w14:textId="77777777" w:rsidR="00911C0D" w:rsidRPr="00CC057F" w:rsidRDefault="00911C0D" w:rsidP="00080A21">
      <w:pPr>
        <w:pStyle w:val="NumPar1"/>
        <w:numPr>
          <w:ilvl w:val="0"/>
          <w:numId w:val="2"/>
        </w:numPr>
      </w:pPr>
      <w:r w:rsidRPr="00CC057F">
        <w:t>Aruandvad üksused esitavad teabe pädevatele asutustele ja kriisilahendusasutustele järgmiste aruande esitamise kuupäevade tööpäeva lõpuks:</w:t>
      </w:r>
    </w:p>
    <w:p w14:paraId="333C0EF1" w14:textId="0A8DE25F" w:rsidR="00911C0D" w:rsidRPr="00CC057F" w:rsidRDefault="00911C0D" w:rsidP="00144CAD">
      <w:pPr>
        <w:pStyle w:val="Point1letter"/>
        <w:numPr>
          <w:ilvl w:val="3"/>
          <w:numId w:val="37"/>
        </w:numPr>
      </w:pPr>
      <w:r w:rsidRPr="00CC057F">
        <w:t>kvartaliaruandlus: 19. mai, 18. august, 18. november ja 18. veebruar, välja arvatud andmed, mis on seotud aruandekuupäevaga 30. juuni 2021, mille puhul aruande esitamise kuupäev on hiljemalt 30. september 2021;</w:t>
      </w:r>
    </w:p>
    <w:p w14:paraId="2215F3EB" w14:textId="77777777" w:rsidR="00911C0D" w:rsidRPr="00CC057F" w:rsidRDefault="00911C0D" w:rsidP="00146633">
      <w:pPr>
        <w:pStyle w:val="Point1letter"/>
      </w:pPr>
      <w:r w:rsidRPr="00CC057F">
        <w:t>poolaastaaruandlus: 18. august ja 18. veebruar;</w:t>
      </w:r>
    </w:p>
    <w:p w14:paraId="3F3B32F9" w14:textId="77777777" w:rsidR="00911C0D" w:rsidRPr="00CC057F" w:rsidRDefault="00911C0D" w:rsidP="00146633">
      <w:pPr>
        <w:pStyle w:val="Point1letter"/>
      </w:pPr>
      <w:r w:rsidRPr="00CC057F">
        <w:t>aastaaruandlus: 18. veebruar.</w:t>
      </w:r>
    </w:p>
    <w:p w14:paraId="5D1F4190" w14:textId="77777777" w:rsidR="00911C0D" w:rsidRPr="00CC057F" w:rsidRDefault="00911C0D" w:rsidP="00911C0D">
      <w:pPr>
        <w:pStyle w:val="NumPar1"/>
      </w:pPr>
      <w:r w:rsidRPr="00CC057F">
        <w:t>Kui aruande esitamise kuupäev on selle pädeva asutuse või kriisilahendusasutuse liikmesriigis, kellele lõikes 1 osutatud teave tuleb esitada, riigipüha või kui see kuupäev langeb laupäevale või pühapäevale, esitatakse kõnealune teave järgmise tööpäeva lõpuks.</w:t>
      </w:r>
    </w:p>
    <w:p w14:paraId="1323199E" w14:textId="77777777" w:rsidR="00911C0D" w:rsidRPr="00CC057F" w:rsidRDefault="00911C0D" w:rsidP="00911C0D">
      <w:pPr>
        <w:pStyle w:val="NumPar1"/>
      </w:pPr>
      <w:r w:rsidRPr="00CC057F">
        <w:t xml:space="preserve">Aruandvad üksused võivad esitada arvandmeid, mille kohta ei ole saadud välisaudiitori arvamust (auditeerimata arvandmed). Kui auditiarvamust väljendava välisaudiitori auditeeritud arvandmed erinevad esitatud auditeerimata arvandmetest, esitavad aruandvad üksused põhjendamatu viivituseta muudetud, auditeeritud arvandmed. </w:t>
      </w:r>
    </w:p>
    <w:p w14:paraId="449A6FE1" w14:textId="77777777" w:rsidR="00911C0D" w:rsidRPr="00CC057F" w:rsidRDefault="00911C0D" w:rsidP="00911C0D">
      <w:pPr>
        <w:pStyle w:val="NumPar1"/>
      </w:pPr>
      <w:r w:rsidRPr="00CC057F">
        <w:lastRenderedPageBreak/>
        <w:t>Aruandvad üksused esitavad pädevatele asutustele ja kriisilahendusasutustele põhjendamatu viivituseta ka kõik muud parandused.</w:t>
      </w:r>
    </w:p>
    <w:p w14:paraId="73C2EE64" w14:textId="77777777" w:rsidR="00911C0D" w:rsidRPr="00CC057F" w:rsidRDefault="00911C0D" w:rsidP="00911C0D">
      <w:pPr>
        <w:pStyle w:val="Titrearticle"/>
      </w:pPr>
      <w:r w:rsidRPr="00CC057F">
        <w:t xml:space="preserve">Artikkel </w:t>
      </w:r>
      <w:r w:rsidR="004A5441" w:rsidRPr="00CC057F">
        <w:fldChar w:fldCharType="begin"/>
      </w:r>
      <w:r w:rsidR="004A5441" w:rsidRPr="00CC057F">
        <w:instrText xml:space="preserve"> SEQ Figure \* ARABIC </w:instrText>
      </w:r>
      <w:r w:rsidR="004A5441" w:rsidRPr="00CC057F">
        <w:fldChar w:fldCharType="separate"/>
      </w:r>
      <w:r w:rsidRPr="00CC057F">
        <w:t>3</w:t>
      </w:r>
      <w:r w:rsidR="004A5441" w:rsidRPr="00CC057F">
        <w:fldChar w:fldCharType="end"/>
      </w:r>
      <w:r w:rsidRPr="00CC057F">
        <w:t xml:space="preserve"> </w:t>
      </w:r>
      <w:r w:rsidRPr="00CC057F">
        <w:br/>
        <w:t>Kriisilahendussubjektide individuaalsel alusel aruandluse vorming ja sagedus</w:t>
      </w:r>
    </w:p>
    <w:p w14:paraId="18406280" w14:textId="5F59CB3F" w:rsidR="00911C0D" w:rsidRPr="00CC057F" w:rsidRDefault="00911C0D" w:rsidP="00080A21">
      <w:pPr>
        <w:pStyle w:val="NumPar1"/>
        <w:numPr>
          <w:ilvl w:val="0"/>
          <w:numId w:val="1"/>
        </w:numPr>
      </w:pPr>
      <w:r w:rsidRPr="00CC057F">
        <w:t>Tütarettevõtjateta kriisilahendussubjektid, kelle suhtes kohaldatakse direktiivi 2014/59/EL artiklis 45 sätestatud nõudeid kooskõlas</w:t>
      </w:r>
      <w:r w:rsidR="00CC057F">
        <w:t xml:space="preserve"> kõnealuse direktiivi artikliga </w:t>
      </w:r>
      <w:r w:rsidRPr="00CC057F">
        <w:t>45e, esitavad pädevatele asutustele ja kriisilahendusasutustele individuaalsel alusel teabe järgmisel viisil:</w:t>
      </w:r>
    </w:p>
    <w:p w14:paraId="790F78D3" w14:textId="77777777" w:rsidR="00911C0D" w:rsidRPr="00CC057F" w:rsidRDefault="00911C0D" w:rsidP="00080A21">
      <w:pPr>
        <w:pStyle w:val="Point1letter"/>
        <w:numPr>
          <w:ilvl w:val="3"/>
          <w:numId w:val="7"/>
        </w:numPr>
      </w:pPr>
      <w:r w:rsidRPr="00CC057F">
        <w:t>käesoleva määruse I lisa vormi 1 veerus 0010 esitatav põhinäitajaid käsitlev teave esitatakse kord kvartalis vastavalt käesoleva määruse II lisa II osa punktis 1 esitatud juhistele;</w:t>
      </w:r>
    </w:p>
    <w:p w14:paraId="619B3CEC" w14:textId="77777777" w:rsidR="00911C0D" w:rsidRPr="00CC057F" w:rsidRDefault="00911C0D" w:rsidP="00146633">
      <w:pPr>
        <w:pStyle w:val="Point1letter"/>
      </w:pPr>
      <w:r w:rsidRPr="00CC057F">
        <w:t>käesoleva määruse I lisa vormi 2 veerus 0010 esitatav omavahendite ja kõlblike kohustuste koostist käsitlev teave esitatakse kord kvartalis vastavalt käesoleva määruse II lisa II osa punktis 2.1 esitatud juhistele;</w:t>
      </w:r>
    </w:p>
    <w:p w14:paraId="1B7D16C2" w14:textId="77777777" w:rsidR="00911C0D" w:rsidRPr="00CC057F" w:rsidRDefault="00911C0D" w:rsidP="00146633">
      <w:pPr>
        <w:pStyle w:val="Point1letter"/>
      </w:pPr>
      <w:r w:rsidRPr="00CC057F">
        <w:t>käesoleva määruse I lisa vormis 4 esitatav kõlblike kohustuste rahastamisstruktuuri käsitlev teave esitatakse kord kvartalis vastavalt käesoleva määruse II lisa II osa punktis 2.3 esitatud juhistele;</w:t>
      </w:r>
    </w:p>
    <w:p w14:paraId="28DECEF8" w14:textId="77777777" w:rsidR="00911C0D" w:rsidRPr="00CC057F" w:rsidRDefault="00911C0D" w:rsidP="00146633">
      <w:pPr>
        <w:pStyle w:val="Point1letter"/>
      </w:pPr>
      <w:r w:rsidRPr="00CC057F">
        <w:t>käesoleva määruse I lisa vormis 7 esitatav kolmanda riigi õigusega reguleeritavaid instrumente käsitlev teave esitatakse kord kvartalis vastavalt käesoleva määruse II lisa II osa punktis 4 esitatud juhistele.</w:t>
      </w:r>
    </w:p>
    <w:p w14:paraId="06B6C64E" w14:textId="44845E57" w:rsidR="00911C0D" w:rsidRPr="00CC057F" w:rsidRDefault="00911C0D" w:rsidP="00080A21">
      <w:pPr>
        <w:pStyle w:val="NumPar1"/>
        <w:numPr>
          <w:ilvl w:val="0"/>
          <w:numId w:val="1"/>
        </w:numPr>
      </w:pPr>
      <w:r w:rsidRPr="00CC057F">
        <w:t>Kriisilahendussubjektid esitavad pädevatele asutustel</w:t>
      </w:r>
      <w:r w:rsidR="00CC057F" w:rsidRPr="00CC057F">
        <w:t>e ja kriisilahendusasutustele I </w:t>
      </w:r>
      <w:r w:rsidRPr="00CC057F">
        <w:t>lisa vormis 6 esitatava teabe omavahendite ja kohustuste kohta maksejõuetusmenetluse nõuete rahuldamisjärkude kaupa individuaalsel alusel kord kvartalis vastavalt II lisa II osa punktis 3.2 sätestatud juhistele.</w:t>
      </w:r>
    </w:p>
    <w:p w14:paraId="2CE25962" w14:textId="77777777" w:rsidR="00911C0D" w:rsidRPr="00CC057F" w:rsidRDefault="00911C0D" w:rsidP="00080A21">
      <w:pPr>
        <w:pStyle w:val="NumPar1"/>
        <w:numPr>
          <w:ilvl w:val="0"/>
          <w:numId w:val="1"/>
        </w:numPr>
      </w:pPr>
      <w:r w:rsidRPr="00CC057F">
        <w:t>Lisaks lõigetes 1 ja 2 osutatud teabele esitavad kriisilahendussubjektid, kelle suhtes kohaldatakse määruse (EL) nr 575/2013 artiklis 92a sätestatud nõuet individuaalsel alusel vastavalt kõnealuse määruse artikli 6 lõikele 1a, pädevatele asutustele ja kriisilahendusasutustele individuaalsel alusel teabe järgmisel viisil:</w:t>
      </w:r>
    </w:p>
    <w:p w14:paraId="028BBD2D" w14:textId="3154E5F8" w:rsidR="00911C0D" w:rsidRPr="00CC057F" w:rsidRDefault="00911C0D" w:rsidP="00080A21">
      <w:pPr>
        <w:pStyle w:val="Point1letter"/>
        <w:numPr>
          <w:ilvl w:val="3"/>
          <w:numId w:val="8"/>
        </w:numPr>
      </w:pPr>
      <w:r w:rsidRPr="00CC057F">
        <w:t>käesoleva määruse I lisa vormi 1 veerus 0020 esitatav põhinäitajaid käsitlev teave esitatakse kord kvartalis vastavalt käesoleva</w:t>
      </w:r>
      <w:r w:rsidR="00CC057F" w:rsidRPr="00CC057F">
        <w:t xml:space="preserve"> määruse II lisa II osa punktis </w:t>
      </w:r>
      <w:r w:rsidRPr="00CC057F">
        <w:t>1 esitatud juhistele;</w:t>
      </w:r>
    </w:p>
    <w:p w14:paraId="45E52025" w14:textId="77777777" w:rsidR="00911C0D" w:rsidRPr="00CC057F" w:rsidRDefault="00911C0D" w:rsidP="00146633">
      <w:pPr>
        <w:pStyle w:val="Point1letter"/>
      </w:pPr>
      <w:r w:rsidRPr="00CC057F">
        <w:t>käesoleva määruse I lisa vormi 2 veergudes 0020 ja 0030 esitatav omavahendite ja kõlblike kohustuste koostist käsitlev teave esitatakse kord kvartalis vastavalt käesoleva määruse II lisa II osa punktis 2.1 esitatud juhistele.</w:t>
      </w:r>
    </w:p>
    <w:p w14:paraId="020EF926" w14:textId="77777777" w:rsidR="00911C0D" w:rsidRPr="00CC057F" w:rsidRDefault="00911C0D" w:rsidP="00911C0D">
      <w:pPr>
        <w:pStyle w:val="Titrearticle"/>
      </w:pPr>
      <w:r w:rsidRPr="00CC057F">
        <w:t xml:space="preserve">Artikkel </w:t>
      </w:r>
      <w:r w:rsidR="004A5441" w:rsidRPr="00CC057F">
        <w:fldChar w:fldCharType="begin"/>
      </w:r>
      <w:r w:rsidR="004A5441" w:rsidRPr="00CC057F">
        <w:instrText xml:space="preserve"> SEQ Figure \* ARABIC </w:instrText>
      </w:r>
      <w:r w:rsidR="004A5441" w:rsidRPr="00CC057F">
        <w:fldChar w:fldCharType="separate"/>
      </w:r>
      <w:r w:rsidRPr="00CC057F">
        <w:t>4</w:t>
      </w:r>
      <w:r w:rsidR="004A5441" w:rsidRPr="00CC057F">
        <w:fldChar w:fldCharType="end"/>
      </w:r>
      <w:r w:rsidRPr="00CC057F">
        <w:t xml:space="preserve"> </w:t>
      </w:r>
      <w:r w:rsidRPr="00CC057F">
        <w:br/>
        <w:t>Kriisilahendussubjektide konsolideeritud alusel aruandluse vorming ja sagedus</w:t>
      </w:r>
    </w:p>
    <w:p w14:paraId="1378D8C9" w14:textId="77777777" w:rsidR="00911C0D" w:rsidRPr="00CC057F" w:rsidRDefault="00911C0D" w:rsidP="00080A21">
      <w:pPr>
        <w:pStyle w:val="NumPar1"/>
        <w:numPr>
          <w:ilvl w:val="0"/>
          <w:numId w:val="3"/>
        </w:numPr>
      </w:pPr>
      <w:r w:rsidRPr="00CC057F">
        <w:t>Kriisilahendussubjektid, kelle suhtes kohaldatakse direktiivi 2014/59/EL artiklis 45 sätestatud nõudeid konsolideeritud alusel vastavalt kõnealuse direktiivi artiklile 45e, esitavad pädevatele asutustele ja kriisilahendusasutustele konsolideeritud alusel teabe järgmisel viisil:</w:t>
      </w:r>
    </w:p>
    <w:p w14:paraId="1E21506B" w14:textId="10B4D661" w:rsidR="00911C0D" w:rsidRPr="00CC057F" w:rsidRDefault="00911C0D" w:rsidP="00080A21">
      <w:pPr>
        <w:pStyle w:val="Point1letter"/>
        <w:numPr>
          <w:ilvl w:val="3"/>
          <w:numId w:val="9"/>
        </w:numPr>
      </w:pPr>
      <w:r w:rsidRPr="00CC057F">
        <w:lastRenderedPageBreak/>
        <w:t>käesoleva määruse I lisa vormi 1 veerus 0010 esitatav põhinäitajaid käsitlev teave esitatakse kord kvartalis vastavalt käesoleva</w:t>
      </w:r>
      <w:r w:rsidR="00CC057F" w:rsidRPr="00CC057F">
        <w:t xml:space="preserve"> määruse II lisa II osa punktis </w:t>
      </w:r>
      <w:r w:rsidRPr="00CC057F">
        <w:t>1 esitatud juhistele;</w:t>
      </w:r>
    </w:p>
    <w:p w14:paraId="7F16E897" w14:textId="77777777" w:rsidR="00911C0D" w:rsidRPr="00CC057F" w:rsidRDefault="00911C0D" w:rsidP="00080A21">
      <w:pPr>
        <w:pStyle w:val="Point1letter"/>
        <w:numPr>
          <w:ilvl w:val="3"/>
          <w:numId w:val="9"/>
        </w:numPr>
      </w:pPr>
      <w:r w:rsidRPr="00CC057F">
        <w:t>käesoleva määruse I lisa vormi 2 veerus 0010 esitatav omavahendite ja kõlblike kohustuste koostist käsitlev teave esitatakse kord kvartalis vastavalt käesoleva määruse II lisa II osa punktis 2.1 esitatud juhistele;</w:t>
      </w:r>
    </w:p>
    <w:p w14:paraId="2CE5F340" w14:textId="77777777" w:rsidR="00911C0D" w:rsidRPr="00CC057F" w:rsidRDefault="00911C0D" w:rsidP="00080A21">
      <w:pPr>
        <w:pStyle w:val="Point1letter"/>
        <w:numPr>
          <w:ilvl w:val="3"/>
          <w:numId w:val="9"/>
        </w:numPr>
      </w:pPr>
      <w:r w:rsidRPr="00CC057F">
        <w:t>käesoleva määruse I lisa vormis 4 esitatav kõlblike kohustuste rahastamisstruktuuri käsitlev teave esitatakse kord kvartalis vastavalt käesoleva määruse II lisa II osa punktis 2.3 esitatud juhistele;</w:t>
      </w:r>
    </w:p>
    <w:p w14:paraId="0CB1A49C" w14:textId="77777777" w:rsidR="00911C0D" w:rsidRPr="00CC057F" w:rsidRDefault="00911C0D" w:rsidP="00080A21">
      <w:pPr>
        <w:pStyle w:val="Point1letter"/>
        <w:numPr>
          <w:ilvl w:val="3"/>
          <w:numId w:val="9"/>
        </w:numPr>
      </w:pPr>
      <w:r w:rsidRPr="00CC057F">
        <w:t>käesoleva määruse I lisa vormis 7 esitatav kolmanda riigi õigusega reguleeritavaid instrumente käsitlev teave esitatakse kord kvartalis vastavalt käesoleva määruse II lisa II osa punktis 4 esitatud juhistele.</w:t>
      </w:r>
    </w:p>
    <w:p w14:paraId="1604BDA8" w14:textId="77777777" w:rsidR="00911C0D" w:rsidRPr="00CC057F" w:rsidRDefault="00911C0D" w:rsidP="00080A21">
      <w:pPr>
        <w:pStyle w:val="NumPar1"/>
        <w:numPr>
          <w:ilvl w:val="0"/>
          <w:numId w:val="3"/>
        </w:numPr>
      </w:pPr>
      <w:r w:rsidRPr="00CC057F">
        <w:t>Lisaks lõikes 1 osutatud teabele esitavad kriisilahendussubjektid, kelle suhtes kohaldatakse määruse (EL) nr 575/2013 artiklis 92a sätestatud nõuet konsolideeritud alusel vastavalt kõnealuse määruse artikli 11 lõikele 3a, pädevatele asutustele ja kriisilahendusasutustele konsolideeritud alusel teabe järgmisel viisil:</w:t>
      </w:r>
    </w:p>
    <w:p w14:paraId="4EEC865C" w14:textId="77777777" w:rsidR="00911C0D" w:rsidRPr="00CC057F" w:rsidRDefault="00911C0D" w:rsidP="00080A21">
      <w:pPr>
        <w:pStyle w:val="Point1letter"/>
        <w:numPr>
          <w:ilvl w:val="3"/>
          <w:numId w:val="10"/>
        </w:numPr>
      </w:pPr>
      <w:r w:rsidRPr="00CC057F">
        <w:t>käesoleva määruse I lisa vormi 1 veerus 0020 esitatav põhinäitajaid käsitlev teave esitatakse kord kvartalis vastavalt käesoleva määruse II lisa II osa punktis 1 esitatud juhistele;</w:t>
      </w:r>
    </w:p>
    <w:p w14:paraId="62EB5754" w14:textId="77777777" w:rsidR="00911C0D" w:rsidRPr="00CC057F" w:rsidRDefault="00911C0D" w:rsidP="00146633">
      <w:pPr>
        <w:pStyle w:val="Point1letter"/>
      </w:pPr>
      <w:r w:rsidRPr="00CC057F">
        <w:t>käesoleva määruse I lisa vormi 2 veergudes 0020 ja 0030 esitatav omavahendite ja kõlblike kohustuste koostist käsitlev teave esitatakse kord kvartalis vastavalt käesoleva määruse II lisa II osa punktis 2.1 esitatud juhistele.</w:t>
      </w:r>
    </w:p>
    <w:p w14:paraId="79821E88" w14:textId="77777777" w:rsidR="00911C0D" w:rsidRPr="00CC057F" w:rsidRDefault="00911C0D" w:rsidP="00911C0D">
      <w:pPr>
        <w:pStyle w:val="Titrearticle"/>
      </w:pPr>
      <w:r w:rsidRPr="00CC057F">
        <w:t xml:space="preserve">Artikkel </w:t>
      </w:r>
      <w:r w:rsidR="004A5441" w:rsidRPr="00CC057F">
        <w:fldChar w:fldCharType="begin"/>
      </w:r>
      <w:r w:rsidR="004A5441" w:rsidRPr="00CC057F">
        <w:instrText xml:space="preserve"> SEQ Figure \* ARABIC </w:instrText>
      </w:r>
      <w:r w:rsidR="004A5441" w:rsidRPr="00CC057F">
        <w:fldChar w:fldCharType="separate"/>
      </w:r>
      <w:r w:rsidRPr="00CC057F">
        <w:t>5</w:t>
      </w:r>
      <w:r w:rsidR="004A5441" w:rsidRPr="00CC057F">
        <w:fldChar w:fldCharType="end"/>
      </w:r>
      <w:r w:rsidRPr="00CC057F">
        <w:t xml:space="preserve"> </w:t>
      </w:r>
      <w:r w:rsidRPr="00CC057F">
        <w:br/>
        <w:t>Selliste üksuste individuaalsel alusel aruandluse vorming ja sagedus, kes ei ole ise kriisilahendussubjektid või kes on kolmandate riikide globaalsete süsteemselt oluliste ettevõtjate olulised tütarettevõtjad</w:t>
      </w:r>
    </w:p>
    <w:p w14:paraId="0FDA52A0" w14:textId="77777777" w:rsidR="00911C0D" w:rsidRPr="00CC057F" w:rsidRDefault="00911C0D" w:rsidP="00080A21">
      <w:pPr>
        <w:pStyle w:val="NumPar1"/>
        <w:numPr>
          <w:ilvl w:val="0"/>
          <w:numId w:val="4"/>
        </w:numPr>
      </w:pPr>
      <w:r w:rsidRPr="00CC057F">
        <w:t>Üksused, kes ei ole ise kriisilahendussubjektid, kuid kelle suhtes kohaldatakse direktiivi 2014/59/EL artiklis 45 sätestatud nõudeid individuaalsel alusel vastavalt kõnealuse direktiivi artiklile 45f, esitavad pädevatele asutustele ja kriisilahendusasutustele individuaalsel alusel teabe järgmisel viisil:</w:t>
      </w:r>
    </w:p>
    <w:p w14:paraId="45A08A7C" w14:textId="77777777" w:rsidR="00911C0D" w:rsidRPr="00CC057F" w:rsidRDefault="00911C0D" w:rsidP="00080A21">
      <w:pPr>
        <w:pStyle w:val="Point1letter"/>
        <w:numPr>
          <w:ilvl w:val="3"/>
          <w:numId w:val="11"/>
        </w:numPr>
      </w:pPr>
      <w:r w:rsidRPr="00CC057F">
        <w:t>käesoleva määruse I lisa vormi 3 veerus 0010 esitatav omavahendite ja kõlblike kohustuste summat ja koostist käsitlev teave esitatakse kord kvartalis vastavalt käesoleva määruse II lisa II osa punktis 2.2 esitatud juhistele;</w:t>
      </w:r>
    </w:p>
    <w:p w14:paraId="3AED8007" w14:textId="77777777" w:rsidR="00911C0D" w:rsidRPr="00CC057F" w:rsidRDefault="00911C0D" w:rsidP="00080A21">
      <w:pPr>
        <w:pStyle w:val="Point1letter"/>
        <w:numPr>
          <w:ilvl w:val="3"/>
          <w:numId w:val="11"/>
        </w:numPr>
      </w:pPr>
      <w:r w:rsidRPr="00CC057F">
        <w:t>käesoleva määruse I lisa vormis 4 esitatav kõlblike kohustuste rahastamisstruktuuri käsitlev teave esitatakse kord kvartalis vastavalt käesoleva määruse II lisa II osa punktis 2.3 esitatud juhistele;</w:t>
      </w:r>
    </w:p>
    <w:p w14:paraId="4455633C" w14:textId="77777777" w:rsidR="00911C0D" w:rsidRPr="00CC057F" w:rsidRDefault="00911C0D" w:rsidP="00080A21">
      <w:pPr>
        <w:pStyle w:val="Point1letter"/>
        <w:numPr>
          <w:ilvl w:val="3"/>
          <w:numId w:val="11"/>
        </w:numPr>
      </w:pPr>
      <w:r w:rsidRPr="00CC057F">
        <w:t>käesoleva määruse I lisa vormis 7 esitatav kolmanda riigi õigusega reguleeritavaid instrumente käsitlev teave esitatakse kord kvartalis vastavalt käesoleva määruse II lisa II osa punktis 4 esitatud juhistele.</w:t>
      </w:r>
    </w:p>
    <w:p w14:paraId="1ACCD4B5" w14:textId="77777777" w:rsidR="00911C0D" w:rsidRPr="00CC057F" w:rsidRDefault="00911C0D" w:rsidP="00080A21">
      <w:pPr>
        <w:pStyle w:val="NumPar1"/>
        <w:numPr>
          <w:ilvl w:val="0"/>
          <w:numId w:val="4"/>
        </w:numPr>
      </w:pPr>
      <w:r w:rsidRPr="00CC057F">
        <w:t>Üksused, kes ei ole ise kriisilahendussubjektid, esitavad pädevatele asutustele ja kriisilahendusasutustele I lisa vormis 5 esitatava teabe omavahendite ja kohustuste kohta maksejõuetusmenetluse nõuete rahuldamisjärkude kaupa individuaalsel alusel kord kvartalis vastavalt II lisa II osa punktis 3.1 sätestatud juhistele.</w:t>
      </w:r>
    </w:p>
    <w:p w14:paraId="3F08EA69" w14:textId="794A9884" w:rsidR="00911C0D" w:rsidRPr="00CC057F" w:rsidRDefault="00911C0D" w:rsidP="00080A21">
      <w:pPr>
        <w:pStyle w:val="NumPar1"/>
        <w:numPr>
          <w:ilvl w:val="0"/>
          <w:numId w:val="4"/>
        </w:numPr>
      </w:pPr>
      <w:r w:rsidRPr="00CC057F">
        <w:lastRenderedPageBreak/>
        <w:t>Lisaks lõigetes 1 ja 2 osutatud teabele esitavad üksused, kes on kolmanda riigi globaalsete süsteemselt oluliste ettevõtjate olulised tütarettevõtjad ja kelle suhtes kohaldatakse määruse (EL) nr 575/2013 artiklis 92b sätestatud nõuet individuaalsel alusel vastavalt kõnealuse määruse artikli 6 lõikele 1a, pädevatele asutustele ja kriisilahendusasutustele käesoleva määruse I lisa vormi 3 veerus 0020 esitatava omavahendite ja kõlblike kohustuste summat ja koostist käsitleva teabe individuaalsel alusel kord kvartalis vastavalt käesoleva</w:t>
      </w:r>
      <w:r w:rsidR="00CC057F" w:rsidRPr="00CC057F">
        <w:t xml:space="preserve"> määruse II lisa II osa punktis </w:t>
      </w:r>
      <w:r w:rsidRPr="00CC057F">
        <w:t>2.2 esitatud juhistele.</w:t>
      </w:r>
    </w:p>
    <w:p w14:paraId="5415A2FF" w14:textId="77777777" w:rsidR="00911C0D" w:rsidRPr="00CC057F" w:rsidRDefault="00911C0D" w:rsidP="00911C0D">
      <w:pPr>
        <w:pStyle w:val="Titrearticle"/>
      </w:pPr>
      <w:r w:rsidRPr="00CC057F">
        <w:t xml:space="preserve">Artikkel </w:t>
      </w:r>
      <w:r w:rsidR="004A5441" w:rsidRPr="00CC057F">
        <w:fldChar w:fldCharType="begin"/>
      </w:r>
      <w:r w:rsidR="004A5441" w:rsidRPr="00CC057F">
        <w:instrText xml:space="preserve"> SEQ Figure \* ARABIC </w:instrText>
      </w:r>
      <w:r w:rsidR="004A5441" w:rsidRPr="00CC057F">
        <w:fldChar w:fldCharType="separate"/>
      </w:r>
      <w:r w:rsidRPr="00CC057F">
        <w:t>6</w:t>
      </w:r>
      <w:r w:rsidR="004A5441" w:rsidRPr="00CC057F">
        <w:fldChar w:fldCharType="end"/>
      </w:r>
      <w:r w:rsidRPr="00CC057F">
        <w:t xml:space="preserve"> </w:t>
      </w:r>
      <w:r w:rsidRPr="00CC057F">
        <w:br/>
        <w:t xml:space="preserve">Selliste üksuste konsolideeritud alusel aruandluse vorming ja sagedus, kes ei ole ise kriisilahendussubjektid või kes on kolmandate riikide globaalsete süsteemselt oluliste ettevõtjate olulised tütarettevõtjad </w:t>
      </w:r>
    </w:p>
    <w:p w14:paraId="5D1AFD35" w14:textId="77777777" w:rsidR="00911C0D" w:rsidRPr="00CC057F" w:rsidRDefault="00911C0D" w:rsidP="00080A21">
      <w:pPr>
        <w:pStyle w:val="NumPar1"/>
        <w:numPr>
          <w:ilvl w:val="0"/>
          <w:numId w:val="5"/>
        </w:numPr>
      </w:pPr>
      <w:r w:rsidRPr="00CC057F">
        <w:t>Ettevõtjad, kes ei ole ise kriisilahendussubjektid ja kelle suhtes kohaldatakse direktiivi 2014/59/EL artiklis 45 sätestatud nõudeid konsolideeritud alusel vastavalt kõnealuse direktiivi artiklile 45f, esitavad pädevatele asutustele ja kriisilahendusasutustele teabe konsolideeritud alusel järgmisel viisil:</w:t>
      </w:r>
    </w:p>
    <w:p w14:paraId="6F70BBA8" w14:textId="77777777" w:rsidR="00911C0D" w:rsidRPr="00CC057F" w:rsidRDefault="00911C0D" w:rsidP="00080A21">
      <w:pPr>
        <w:pStyle w:val="Point1letter"/>
        <w:numPr>
          <w:ilvl w:val="3"/>
          <w:numId w:val="12"/>
        </w:numPr>
      </w:pPr>
      <w:r w:rsidRPr="00CC057F">
        <w:t>käesoleva määruse I lisa vormi 3 veerus 0010 esitatav omavahendite ja kõlblike kohustuste summat ja koostist käsitlev teave esitatakse kord kvartalis vastavalt käesoleva määruse II lisa II osa punktis 2.2 esitatud juhistele;</w:t>
      </w:r>
    </w:p>
    <w:p w14:paraId="52DC2154" w14:textId="77777777" w:rsidR="00911C0D" w:rsidRPr="00CC057F" w:rsidRDefault="00911C0D" w:rsidP="00146633">
      <w:pPr>
        <w:pStyle w:val="Point1letter"/>
      </w:pPr>
      <w:r w:rsidRPr="00CC057F">
        <w:t>käesoleva määruse I lisa vormis 4 esitatav kõlblike kohustuste rahastamisstruktuuri käsitlev teave esitatakse kord kvartalis vastavalt käesoleva määruse II lisa II osa punktis 2.3 esitatud juhistele;</w:t>
      </w:r>
    </w:p>
    <w:p w14:paraId="61F772BF" w14:textId="77777777" w:rsidR="00911C0D" w:rsidRPr="00CC057F" w:rsidRDefault="00911C0D" w:rsidP="00146633">
      <w:pPr>
        <w:pStyle w:val="Point1letter"/>
      </w:pPr>
      <w:r w:rsidRPr="00CC057F">
        <w:t>käesoleva määruse I lisa vormis 7 esitatav kolmanda riigi õigusega reguleeritavaid instrumente käsitlev teave esitatakse kord kvartalis vastavalt käesoleva määruse II lisa II osa punktis 4 esitatud juhistele.</w:t>
      </w:r>
    </w:p>
    <w:p w14:paraId="6CFA046B" w14:textId="77777777" w:rsidR="00911C0D" w:rsidRPr="00CC057F" w:rsidRDefault="00911C0D" w:rsidP="00080A21">
      <w:pPr>
        <w:pStyle w:val="NumPar1"/>
        <w:numPr>
          <w:ilvl w:val="0"/>
          <w:numId w:val="5"/>
        </w:numPr>
      </w:pPr>
      <w:r w:rsidRPr="00CC057F">
        <w:t>Lisaks lõikes 1 osutatud teabele esitavad üksused, kes on kolmanda riigi globaalsete süsteemselt oluliste ettevõtjate olulised tütarettevõtjad ja kelle suhtes kohaldatakse määruse (EL) nr 575/2013 artiklis 92b sätestatud nõuet konsolideeritud alusel vastavalt kõnealuse määruse artikli 11 lõikele 3a, pädevatele asutustele ja kriisilahendusasutustele käesoleva määruse I lisa vormi 3 veerus 0020 esitatava omavahendite ja kõlblike kohustuste summat ja koostist käsitleva teabe konsolideeritud alusel kord kvartalis vastavalt käesoleva määruse II lisa II osa punktis 2.2 esitatud juhistele.</w:t>
      </w:r>
    </w:p>
    <w:p w14:paraId="4E886073" w14:textId="77777777" w:rsidR="00911C0D" w:rsidRPr="00CC057F" w:rsidRDefault="00911C0D" w:rsidP="00146633">
      <w:pPr>
        <w:pStyle w:val="Titrearticle"/>
        <w:rPr>
          <w:i w:val="0"/>
        </w:rPr>
      </w:pPr>
      <w:r w:rsidRPr="00CC057F">
        <w:t xml:space="preserve">Artikkel </w:t>
      </w:r>
      <w:r w:rsidR="004A5441" w:rsidRPr="00CC057F">
        <w:fldChar w:fldCharType="begin"/>
      </w:r>
      <w:r w:rsidR="004A5441" w:rsidRPr="00CC057F">
        <w:instrText xml:space="preserve"> SEQ Figure \* ARABIC </w:instrText>
      </w:r>
      <w:r w:rsidR="004A5441" w:rsidRPr="00CC057F">
        <w:fldChar w:fldCharType="separate"/>
      </w:r>
      <w:r w:rsidRPr="00CC057F">
        <w:t>7</w:t>
      </w:r>
      <w:r w:rsidR="004A5441" w:rsidRPr="00CC057F">
        <w:fldChar w:fldCharType="end"/>
      </w:r>
      <w:r w:rsidRPr="00CC057F">
        <w:t xml:space="preserve"> </w:t>
      </w:r>
      <w:r w:rsidRPr="00CC057F">
        <w:br/>
        <w:t>Andmevahetusvormingud ja andmete esitamisega seotud teave</w:t>
      </w:r>
    </w:p>
    <w:p w14:paraId="60E9050D" w14:textId="77777777" w:rsidR="00911C0D" w:rsidRPr="00CC057F" w:rsidRDefault="00911C0D" w:rsidP="00080A21">
      <w:pPr>
        <w:pStyle w:val="NumPar1"/>
        <w:numPr>
          <w:ilvl w:val="0"/>
          <w:numId w:val="6"/>
        </w:numPr>
      </w:pPr>
      <w:r w:rsidRPr="00CC057F">
        <w:t>Aruandvad üksused esitavad käesoleva määruse kohase teabe pädevate asutuste või kriisilahendusasutuste määratud andmevahetusvormingutes ja -esitusviisides ning kooskõlas andmepunktide mudelis hõlmatud andmepunktide määratlustega ja käesoleva määruse III lisas sätestatud valideerimiseeskirjadega.</w:t>
      </w:r>
    </w:p>
    <w:p w14:paraId="6673A56D" w14:textId="77777777" w:rsidR="00911C0D" w:rsidRPr="00CC057F" w:rsidRDefault="00911C0D" w:rsidP="00080A21">
      <w:pPr>
        <w:pStyle w:val="NumPar1"/>
        <w:numPr>
          <w:ilvl w:val="0"/>
          <w:numId w:val="5"/>
        </w:numPr>
      </w:pPr>
      <w:r w:rsidRPr="00CC057F">
        <w:t>Käesoleva määruse kohase teabe esitamisel järgivad aruandvad üksused järgmisi eeskirju:</w:t>
      </w:r>
    </w:p>
    <w:p w14:paraId="7D9E4167" w14:textId="77777777" w:rsidR="00911C0D" w:rsidRPr="00CC057F" w:rsidRDefault="00911C0D" w:rsidP="00080A21">
      <w:pPr>
        <w:pStyle w:val="Point1letter"/>
        <w:numPr>
          <w:ilvl w:val="3"/>
          <w:numId w:val="13"/>
        </w:numPr>
      </w:pPr>
      <w:r w:rsidRPr="00CC057F">
        <w:t xml:space="preserve">andmete esitamisel ei esitata teavet, mida ei ole nõutud või mis ei ole asjakohane; </w:t>
      </w:r>
    </w:p>
    <w:p w14:paraId="3B400175" w14:textId="77777777" w:rsidR="00911C0D" w:rsidRPr="00CC057F" w:rsidRDefault="00911C0D" w:rsidP="00146633">
      <w:pPr>
        <w:pStyle w:val="Point1letter"/>
      </w:pPr>
      <w:r w:rsidRPr="00CC057F">
        <w:t>arvväärtused esitatakse järgmiselt:</w:t>
      </w:r>
    </w:p>
    <w:p w14:paraId="2184B4DB" w14:textId="77777777" w:rsidR="00911C0D" w:rsidRPr="00CC057F" w:rsidRDefault="00911C0D" w:rsidP="00146633">
      <w:pPr>
        <w:pStyle w:val="Point2"/>
      </w:pPr>
      <w:r w:rsidRPr="00CC057F">
        <w:lastRenderedPageBreak/>
        <w:t>i)</w:t>
      </w:r>
      <w:r w:rsidRPr="00CC057F">
        <w:tab/>
        <w:t xml:space="preserve">rahalist andmetüüpi andmepunktid esitatakse minimaalselt täpsusega tuhat ühikut; </w:t>
      </w:r>
    </w:p>
    <w:p w14:paraId="7B1AF6BE" w14:textId="77777777" w:rsidR="00911C0D" w:rsidRPr="00CC057F" w:rsidRDefault="00911C0D" w:rsidP="00146633">
      <w:pPr>
        <w:pStyle w:val="Point2"/>
      </w:pPr>
      <w:r w:rsidRPr="00CC057F">
        <w:t>ii)</w:t>
      </w:r>
      <w:r w:rsidRPr="00CC057F">
        <w:tab/>
        <w:t xml:space="preserve">protsendilist andmetüüpi andmepunktid väljendatakse ühiku kohta minimaalselt täpsusega neli kohta pärast koma; </w:t>
      </w:r>
    </w:p>
    <w:p w14:paraId="5478D846" w14:textId="77777777" w:rsidR="00911C0D" w:rsidRPr="00CC057F" w:rsidRDefault="00911C0D" w:rsidP="00146633">
      <w:pPr>
        <w:pStyle w:val="Point2"/>
      </w:pPr>
      <w:r w:rsidRPr="00CC057F">
        <w:t>iii)</w:t>
      </w:r>
      <w:r w:rsidRPr="00CC057F">
        <w:tab/>
        <w:t>täisarvulist andmetüüpi andmepunktid esitatakse ilma kümnendkohtadeta, täisühiku täpsusega;</w:t>
      </w:r>
    </w:p>
    <w:p w14:paraId="3B0DDC02" w14:textId="77777777" w:rsidR="00911C0D" w:rsidRPr="00CC057F" w:rsidRDefault="00911C0D" w:rsidP="00146633">
      <w:pPr>
        <w:pStyle w:val="Point1letter"/>
      </w:pPr>
      <w:r w:rsidRPr="00CC057F">
        <w:t>krediidiasutused ja investeerimisühingud identifitseeritakse üksnes nende juriidilise isiku tunnuse (LEI) alusel. Selliste juriidiliste isikute ja vastaspoolte identifitseerimiseks, kes ei ole krediidiasutused või investeerimisühingud, kasutatakse LEId siis, kui see on olemas.</w:t>
      </w:r>
    </w:p>
    <w:p w14:paraId="1DBE05C1" w14:textId="77777777" w:rsidR="00911C0D" w:rsidRPr="00CC057F" w:rsidRDefault="00911C0D" w:rsidP="00080A21">
      <w:pPr>
        <w:pStyle w:val="NumPar1"/>
        <w:numPr>
          <w:ilvl w:val="0"/>
          <w:numId w:val="5"/>
        </w:numPr>
      </w:pPr>
      <w:r w:rsidRPr="00CC057F">
        <w:t>Aruandvad üksused lisavad käesoleva määruse kohaselt esitatud teabele järgmise teabe:</w:t>
      </w:r>
    </w:p>
    <w:p w14:paraId="1DEF8C77" w14:textId="77777777" w:rsidR="00911C0D" w:rsidRPr="00CC057F" w:rsidRDefault="00911C0D" w:rsidP="00080A21">
      <w:pPr>
        <w:pStyle w:val="Point1letter"/>
        <w:numPr>
          <w:ilvl w:val="3"/>
          <w:numId w:val="14"/>
        </w:numPr>
      </w:pPr>
      <w:r w:rsidRPr="00CC057F">
        <w:t>aruandekuupäev ja aruandeperiood;</w:t>
      </w:r>
    </w:p>
    <w:p w14:paraId="09EC726C" w14:textId="77777777" w:rsidR="00911C0D" w:rsidRPr="00CC057F" w:rsidRDefault="00911C0D" w:rsidP="00146633">
      <w:pPr>
        <w:pStyle w:val="Point1letter"/>
      </w:pPr>
      <w:r w:rsidRPr="00CC057F">
        <w:t>aruandevaluuta;</w:t>
      </w:r>
    </w:p>
    <w:p w14:paraId="4EEE4DC2" w14:textId="77777777" w:rsidR="00911C0D" w:rsidRPr="00CC057F" w:rsidRDefault="00911C0D" w:rsidP="00146633">
      <w:pPr>
        <w:pStyle w:val="Point1letter"/>
      </w:pPr>
      <w:r w:rsidRPr="00CC057F">
        <w:t>raamatupidamisstandard;</w:t>
      </w:r>
    </w:p>
    <w:p w14:paraId="2729F1FB" w14:textId="77777777" w:rsidR="00911C0D" w:rsidRPr="00CC057F" w:rsidRDefault="00911C0D" w:rsidP="00146633">
      <w:pPr>
        <w:pStyle w:val="Point1letter"/>
      </w:pPr>
      <w:r w:rsidRPr="00CC057F">
        <w:t>aruandva krediidiasutuse või investeerimisühingu LEI;</w:t>
      </w:r>
    </w:p>
    <w:p w14:paraId="0F34F03F" w14:textId="77777777" w:rsidR="00911C0D" w:rsidRPr="00CC057F" w:rsidRDefault="00911C0D" w:rsidP="00146633">
      <w:pPr>
        <w:pStyle w:val="Point1letter"/>
      </w:pPr>
      <w:r w:rsidRPr="00CC057F">
        <w:tab/>
        <w:t>konsolideerimise ulatus.</w:t>
      </w:r>
    </w:p>
    <w:p w14:paraId="7CF14DFD" w14:textId="77777777" w:rsidR="00911C0D" w:rsidRPr="00CC057F" w:rsidRDefault="00911C0D" w:rsidP="00911C0D">
      <w:pPr>
        <w:pStyle w:val="Titrearticle"/>
      </w:pPr>
      <w:r w:rsidRPr="00CC057F">
        <w:t xml:space="preserve">Artikkel </w:t>
      </w:r>
      <w:r w:rsidR="004A5441" w:rsidRPr="00CC057F">
        <w:fldChar w:fldCharType="begin"/>
      </w:r>
      <w:r w:rsidR="004A5441" w:rsidRPr="00CC057F">
        <w:instrText xml:space="preserve"> SEQ Figure \* ARABIC </w:instrText>
      </w:r>
      <w:r w:rsidR="004A5441" w:rsidRPr="00CC057F">
        <w:fldChar w:fldCharType="separate"/>
      </w:r>
      <w:r w:rsidRPr="00CC057F">
        <w:t>8</w:t>
      </w:r>
      <w:r w:rsidR="004A5441" w:rsidRPr="00CC057F">
        <w:fldChar w:fldCharType="end"/>
      </w:r>
      <w:r w:rsidRPr="00CC057F">
        <w:t xml:space="preserve"> </w:t>
      </w:r>
      <w:r w:rsidRPr="00CC057F">
        <w:br/>
        <w:t>Maksejõuetusmenetluse nõuete rahuldamisjärkude standarditud esitusviis</w:t>
      </w:r>
    </w:p>
    <w:p w14:paraId="5049F073" w14:textId="77777777" w:rsidR="00911C0D" w:rsidRPr="00CC057F" w:rsidRDefault="00911C0D" w:rsidP="00080A21">
      <w:pPr>
        <w:pStyle w:val="NumPar1"/>
        <w:numPr>
          <w:ilvl w:val="0"/>
          <w:numId w:val="23"/>
        </w:numPr>
      </w:pPr>
      <w:r w:rsidRPr="00CC057F">
        <w:t>Kriisilahendusasutused koguvad teavet oma siseriikliku maksejõuetusmenetluse kirjete rahuldamisjärkude kohta IV lisas sätestatud standardvormingus. Nad ajakohastavad seda teavet muudatuste korral põhjendamatu viivituseta.</w:t>
      </w:r>
    </w:p>
    <w:p w14:paraId="3F9A4A43" w14:textId="77777777" w:rsidR="00911C0D" w:rsidRPr="00CC057F" w:rsidRDefault="00911C0D" w:rsidP="00080A21">
      <w:pPr>
        <w:pStyle w:val="NumPar1"/>
        <w:numPr>
          <w:ilvl w:val="0"/>
          <w:numId w:val="23"/>
        </w:numPr>
      </w:pPr>
      <w:r w:rsidRPr="00CC057F">
        <w:t>Kriisilahendusasutused avaldavad lõikes 1 osutatud teabe, et teha see kättesaadavaks nende järelevalve all olevatele krediidiasutustele ja investeerimisühingutele.</w:t>
      </w:r>
    </w:p>
    <w:p w14:paraId="1D1FC80E" w14:textId="77777777" w:rsidR="00911C0D" w:rsidRPr="00CC057F" w:rsidRDefault="00911C0D" w:rsidP="00911C0D">
      <w:pPr>
        <w:pStyle w:val="SectionTitle"/>
        <w:rPr>
          <w:b w:val="0"/>
          <w:i/>
        </w:rPr>
      </w:pPr>
      <w:r w:rsidRPr="00CC057F">
        <w:rPr>
          <w:b w:val="0"/>
          <w:i/>
        </w:rPr>
        <w:t>II JAOTIS</w:t>
      </w:r>
      <w:r w:rsidRPr="00CC057F">
        <w:t xml:space="preserve"> </w:t>
      </w:r>
      <w:r w:rsidRPr="00CC057F">
        <w:br/>
      </w:r>
      <w:r w:rsidRPr="00CC057F">
        <w:rPr>
          <w:b w:val="0"/>
          <w:i/>
        </w:rPr>
        <w:t>KREDIIDIASUTUSTE JA INVESTEERIMISÜHINGUTE AVALIKUSTATAV TEAVE</w:t>
      </w:r>
    </w:p>
    <w:p w14:paraId="674A8126" w14:textId="77777777" w:rsidR="00911C0D" w:rsidRPr="00CC057F" w:rsidRDefault="00911C0D" w:rsidP="00911C0D">
      <w:pPr>
        <w:pStyle w:val="Titrearticle"/>
      </w:pPr>
      <w:r w:rsidRPr="00CC057F">
        <w:t xml:space="preserve">Artikkel </w:t>
      </w:r>
      <w:r w:rsidR="004A5441" w:rsidRPr="00CC057F">
        <w:fldChar w:fldCharType="begin"/>
      </w:r>
      <w:r w:rsidR="004A5441" w:rsidRPr="00CC057F">
        <w:instrText xml:space="preserve"> SEQ Figure \* ARABIC </w:instrText>
      </w:r>
      <w:r w:rsidR="004A5441" w:rsidRPr="00CC057F">
        <w:fldChar w:fldCharType="separate"/>
      </w:r>
      <w:r w:rsidRPr="00CC057F">
        <w:t>9</w:t>
      </w:r>
      <w:r w:rsidR="004A5441" w:rsidRPr="00CC057F">
        <w:fldChar w:fldCharType="end"/>
      </w:r>
      <w:r w:rsidRPr="00CC057F">
        <w:t xml:space="preserve"> </w:t>
      </w:r>
      <w:r w:rsidRPr="00CC057F">
        <w:br/>
        <w:t>Avalikustamise sagedus ja kuupäevad</w:t>
      </w:r>
    </w:p>
    <w:p w14:paraId="30497442" w14:textId="1688CF64" w:rsidR="00911C0D" w:rsidRPr="00CC057F" w:rsidRDefault="00911C0D" w:rsidP="00080A21">
      <w:pPr>
        <w:pStyle w:val="NumPar1"/>
        <w:numPr>
          <w:ilvl w:val="0"/>
          <w:numId w:val="24"/>
        </w:numPr>
      </w:pPr>
      <w:r w:rsidRPr="00CC057F">
        <w:t>Artikli 10 lõikes 1 osutatud teave avalikustatakse kord kvartalis. Artikli 10 lõikes 2 osutatud teave avalikustatakse kord poolaastas.</w:t>
      </w:r>
    </w:p>
    <w:p w14:paraId="0CFDDF92" w14:textId="77777777" w:rsidR="00911C0D" w:rsidRPr="00CC057F" w:rsidRDefault="00911C0D" w:rsidP="00146633">
      <w:pPr>
        <w:pStyle w:val="NumPar1"/>
      </w:pPr>
      <w:r w:rsidRPr="00CC057F">
        <w:t xml:space="preserve">Artikli </w:t>
      </w:r>
      <w:r w:rsidRPr="00CC057F">
        <w:fldChar w:fldCharType="begin"/>
      </w:r>
      <w:r w:rsidRPr="00CC057F">
        <w:instrText xml:space="preserve"> REF _Ref21450145 \# 0 \h  \* MERGEFORMAT </w:instrText>
      </w:r>
      <w:r w:rsidRPr="00CC057F">
        <w:fldChar w:fldCharType="separate"/>
      </w:r>
      <w:r w:rsidRPr="00CC057F">
        <w:t>11</w:t>
      </w:r>
      <w:r w:rsidRPr="00CC057F">
        <w:fldChar w:fldCharType="end"/>
      </w:r>
      <w:r w:rsidRPr="00CC057F">
        <w:t xml:space="preserve"> lõikes 1 ja artikli </w:t>
      </w:r>
      <w:r w:rsidRPr="00CC057F">
        <w:fldChar w:fldCharType="begin"/>
      </w:r>
      <w:r w:rsidRPr="00CC057F">
        <w:instrText xml:space="preserve"> REF _Ref21087242 \# 0 \h  \* MERGEFORMAT </w:instrText>
      </w:r>
      <w:r w:rsidRPr="00CC057F">
        <w:fldChar w:fldCharType="separate"/>
      </w:r>
      <w:r w:rsidRPr="00CC057F">
        <w:t>14</w:t>
      </w:r>
      <w:r w:rsidRPr="00CC057F">
        <w:fldChar w:fldCharType="end"/>
      </w:r>
      <w:r w:rsidRPr="00CC057F">
        <w:t xml:space="preserve"> lõikes 1 osutatud teave avalikustatakse kord poolaastas. Artikli </w:t>
      </w:r>
      <w:r w:rsidRPr="00CC057F">
        <w:fldChar w:fldCharType="begin"/>
      </w:r>
      <w:r w:rsidRPr="00CC057F">
        <w:instrText xml:space="preserve"> REF _Ref21450145 \# 0 \h  \* MERGEFORMAT </w:instrText>
      </w:r>
      <w:r w:rsidRPr="00CC057F">
        <w:fldChar w:fldCharType="separate"/>
      </w:r>
      <w:r w:rsidRPr="00CC057F">
        <w:t>11</w:t>
      </w:r>
      <w:r w:rsidRPr="00CC057F">
        <w:fldChar w:fldCharType="end"/>
      </w:r>
      <w:r w:rsidRPr="00CC057F">
        <w:t xml:space="preserve"> lõikes 2 ja artikli 14 lõikes 2 osutatud teave avalikustatakse kord aastas.</w:t>
      </w:r>
    </w:p>
    <w:p w14:paraId="0276A47B" w14:textId="59C6BE0E" w:rsidR="00911C0D" w:rsidRPr="00CC057F" w:rsidRDefault="00911C0D" w:rsidP="00146633">
      <w:pPr>
        <w:pStyle w:val="NumPar1"/>
      </w:pPr>
      <w:r w:rsidRPr="00CC057F">
        <w:t>Artikli 12 lõikes 1 osutatud teave avalikustatakse kord kvartalis. Artikli 12 lõikes 2 osutatud teave avalikustatakse kord poolaastas.</w:t>
      </w:r>
    </w:p>
    <w:p w14:paraId="1C90BE41" w14:textId="77777777" w:rsidR="00911C0D" w:rsidRPr="00CC057F" w:rsidRDefault="00911C0D" w:rsidP="00146633">
      <w:pPr>
        <w:pStyle w:val="NumPar1"/>
      </w:pPr>
      <w:r w:rsidRPr="00CC057F">
        <w:t>Artikli 13 lõikes 1 osutatud teave avalikustatakse kord poolaastas. Artikli 13 lõikes 2 osutatud teave avalikustatakse kord aastas.</w:t>
      </w:r>
    </w:p>
    <w:p w14:paraId="77DF8699" w14:textId="77777777" w:rsidR="00911C0D" w:rsidRPr="00CC057F" w:rsidRDefault="00911C0D" w:rsidP="00146633">
      <w:pPr>
        <w:pStyle w:val="NumPar1"/>
      </w:pPr>
      <w:r w:rsidRPr="00CC057F">
        <w:t xml:space="preserve">Artiklis </w:t>
      </w:r>
      <w:r w:rsidRPr="00CC057F">
        <w:fldChar w:fldCharType="begin"/>
      </w:r>
      <w:r w:rsidRPr="00CC057F">
        <w:instrText xml:space="preserve"> REF _Ref21087218 \# 0 \h  \* MERGEFORMAT </w:instrText>
      </w:r>
      <w:r w:rsidRPr="00CC057F">
        <w:fldChar w:fldCharType="separate"/>
      </w:r>
      <w:r w:rsidRPr="00CC057F">
        <w:t>15</w:t>
      </w:r>
      <w:r w:rsidRPr="00CC057F">
        <w:fldChar w:fldCharType="end"/>
      </w:r>
      <w:r w:rsidRPr="00CC057F">
        <w:t xml:space="preserve"> osutatud teave avalikustatakse järgmiselt:</w:t>
      </w:r>
    </w:p>
    <w:p w14:paraId="553B9B42" w14:textId="77777777" w:rsidR="00911C0D" w:rsidRPr="00CC057F" w:rsidRDefault="00911C0D" w:rsidP="00080A21">
      <w:pPr>
        <w:pStyle w:val="Point1letter"/>
        <w:numPr>
          <w:ilvl w:val="3"/>
          <w:numId w:val="15"/>
        </w:numPr>
      </w:pPr>
      <w:r w:rsidRPr="00CC057F">
        <w:lastRenderedPageBreak/>
        <w:t>kord poolaastas, kui avalikustav üksus on suur krediidiasutus või investeerimisühing;</w:t>
      </w:r>
    </w:p>
    <w:p w14:paraId="6AC02098" w14:textId="77777777" w:rsidR="00911C0D" w:rsidRPr="00CC057F" w:rsidRDefault="00146633" w:rsidP="00080A21">
      <w:pPr>
        <w:pStyle w:val="Point1letter"/>
        <w:numPr>
          <w:ilvl w:val="3"/>
          <w:numId w:val="15"/>
        </w:numPr>
      </w:pPr>
      <w:r w:rsidRPr="00CC057F">
        <w:t xml:space="preserve">kord aastas, kui avalikustav üksus ei ole suur krediidiasutus või investeerimisühing ega väike ja mittekeerukas krediidiasutus või investeerimisühing. </w:t>
      </w:r>
    </w:p>
    <w:p w14:paraId="67AF5D74" w14:textId="77777777" w:rsidR="00911C0D" w:rsidRPr="00CC057F" w:rsidRDefault="00911C0D" w:rsidP="00911C0D">
      <w:pPr>
        <w:pStyle w:val="Point0"/>
      </w:pPr>
      <w:r w:rsidRPr="00CC057F">
        <w:t>6.</w:t>
      </w:r>
      <w:r w:rsidRPr="00CC057F">
        <w:tab/>
        <w:t>Avalikustamisel järgivad avalikustavad üksused järgmisi eeskirju:</w:t>
      </w:r>
    </w:p>
    <w:p w14:paraId="4DA11D1B" w14:textId="77777777" w:rsidR="00911C0D" w:rsidRPr="00CC057F" w:rsidRDefault="00911C0D" w:rsidP="00080A21">
      <w:pPr>
        <w:pStyle w:val="Point1letter"/>
        <w:numPr>
          <w:ilvl w:val="3"/>
          <w:numId w:val="16"/>
        </w:numPr>
      </w:pPr>
      <w:r w:rsidRPr="00CC057F">
        <w:t xml:space="preserve">kord aastas avalikustatav teave avaldatakse samal kuupäeval, mil avaldatakse krediidiasutuse või investeerimisühingu finantsaruanne, või võimalikult kiiresti pärast seda; </w:t>
      </w:r>
    </w:p>
    <w:p w14:paraId="38E67937" w14:textId="77777777" w:rsidR="00911C0D" w:rsidRPr="00CC057F" w:rsidRDefault="00911C0D" w:rsidP="00080A21">
      <w:pPr>
        <w:pStyle w:val="Point1letter"/>
        <w:numPr>
          <w:ilvl w:val="3"/>
          <w:numId w:val="16"/>
        </w:numPr>
      </w:pPr>
      <w:r w:rsidRPr="00CC057F">
        <w:t xml:space="preserve">kord poolaastas ja kvartalis avalikustatav teave avaldatakse samal kuupäeval, mil avaldatakse krediidiasutuse või investeerimisühingu vastava perioodi finantsaruanne, kui see on asjakohane, või võimalikult kiiresti pärast seda; </w:t>
      </w:r>
    </w:p>
    <w:p w14:paraId="7CC4F5BD" w14:textId="77777777" w:rsidR="00911C0D" w:rsidRPr="00CC057F" w:rsidRDefault="00911C0D" w:rsidP="00080A21">
      <w:pPr>
        <w:pStyle w:val="Point1letter"/>
        <w:numPr>
          <w:ilvl w:val="3"/>
          <w:numId w:val="16"/>
        </w:numPr>
      </w:pPr>
      <w:r w:rsidRPr="00CC057F">
        <w:t>käesoleva jaotise kohaselt nõutava avalikustamisele kuuluva teabe ja asjakohase finantsaruande avaldamise kuupäev võib mõistliku aja võrra erineda, kuid avaldamisel ei tohi ületada tähtaegu, mille pädevad asutused on direktiivi 2013/36/EL</w:t>
      </w:r>
      <w:r w:rsidRPr="00CC057F">
        <w:rPr>
          <w:rStyle w:val="FootnoteReference"/>
        </w:rPr>
        <w:footnoteReference w:id="6"/>
      </w:r>
      <w:r w:rsidRPr="00CC057F">
        <w:t xml:space="preserve"> artikli 106 kohaselt kehtestanud.</w:t>
      </w:r>
    </w:p>
    <w:p w14:paraId="2B144DCB" w14:textId="77777777" w:rsidR="00911C0D" w:rsidRPr="00CC057F" w:rsidRDefault="00911C0D" w:rsidP="00911C0D">
      <w:pPr>
        <w:pStyle w:val="Titrearticle"/>
      </w:pPr>
      <w:bookmarkStart w:id="1" w:name="_Ref21085297"/>
      <w:r w:rsidRPr="00CC057F">
        <w:t xml:space="preserve">Artikkel </w:t>
      </w:r>
      <w:r w:rsidR="004A5441" w:rsidRPr="00CC057F">
        <w:fldChar w:fldCharType="begin"/>
      </w:r>
      <w:r w:rsidR="004A5441" w:rsidRPr="00CC057F">
        <w:instrText xml:space="preserve"> SEQ Figure \* ARABIC </w:instrText>
      </w:r>
      <w:r w:rsidR="004A5441" w:rsidRPr="00CC057F">
        <w:fldChar w:fldCharType="separate"/>
      </w:r>
      <w:r w:rsidRPr="00CC057F">
        <w:t>10</w:t>
      </w:r>
      <w:r w:rsidR="004A5441" w:rsidRPr="00CC057F">
        <w:fldChar w:fldCharType="end"/>
      </w:r>
      <w:bookmarkEnd w:id="1"/>
      <w:r w:rsidRPr="00CC057F">
        <w:t xml:space="preserve"> </w:t>
      </w:r>
      <w:r w:rsidRPr="00CC057F">
        <w:br/>
        <w:t>Kriisilahendussubjektide omavahendite ja kõlblike kohustuste põhinäitajate ning omavahendite ja kõlblike kohustuste nõuete täitmise avalikustamine</w:t>
      </w:r>
    </w:p>
    <w:p w14:paraId="44F94195" w14:textId="6A8B6C14" w:rsidR="00911C0D" w:rsidRPr="00CC057F" w:rsidRDefault="00911C0D" w:rsidP="00080A21">
      <w:pPr>
        <w:pStyle w:val="NumPar1"/>
        <w:numPr>
          <w:ilvl w:val="0"/>
          <w:numId w:val="22"/>
        </w:numPr>
      </w:pPr>
      <w:r w:rsidRPr="00CC057F">
        <w:t>Kriisilahendussubjektina määratletud üksus, kes on globaalne süsteemselt oluline ettevõtja või globaalse süsteemselt olulise ettevõtja o</w:t>
      </w:r>
      <w:r w:rsidR="00CC057F" w:rsidRPr="00CC057F">
        <w:t>sa, avalikustab määruse (EL) nr </w:t>
      </w:r>
      <w:r w:rsidRPr="00CC057F">
        <w:t xml:space="preserve">575/2013 artikli 447 punktis h ja direktiivi 2014/59/EL artikli 45i lõike 3 punktides a ja c nõutud teabe vastavalt käesoleva määruse V lisa vormile EU KM2 ja käesoleva määruse VI lisas esitatud asjakohastele juhistele. </w:t>
      </w:r>
    </w:p>
    <w:p w14:paraId="2955CCFE" w14:textId="77777777" w:rsidR="00911C0D" w:rsidRPr="00CC057F" w:rsidRDefault="00911C0D" w:rsidP="00080A21">
      <w:pPr>
        <w:pStyle w:val="NumPar1"/>
        <w:numPr>
          <w:ilvl w:val="0"/>
          <w:numId w:val="22"/>
        </w:numPr>
      </w:pPr>
      <w:r w:rsidRPr="00CC057F">
        <w:t>Kriisilahendussubjektina määratletud üksus, kes ei ole globaalne süsteemselt oluline ettevõtja ega globaalse süsteemselt olulise ettevõtja osa, avalikustab direktiivi 2014/59/EL artikli 45i lõike 3 punktides a ja c nõutud teabe vastavalt käesoleva määruse V lisa vormile EU KM2 ja käesoleva määruse VI lisas esitatud asjakohastele juhistele.</w:t>
      </w:r>
    </w:p>
    <w:p w14:paraId="5BA5FA46" w14:textId="77777777" w:rsidR="00911C0D" w:rsidRPr="00CC057F" w:rsidRDefault="00911C0D" w:rsidP="00911C0D">
      <w:pPr>
        <w:pStyle w:val="Titrearticle"/>
      </w:pPr>
      <w:bookmarkStart w:id="2" w:name="_Ref21450145"/>
      <w:r w:rsidRPr="00CC057F">
        <w:t xml:space="preserve">Artikkel </w:t>
      </w:r>
      <w:r w:rsidR="004A5441" w:rsidRPr="00CC057F">
        <w:fldChar w:fldCharType="begin"/>
      </w:r>
      <w:r w:rsidR="004A5441" w:rsidRPr="00CC057F">
        <w:instrText xml:space="preserve"> SEQ Figure \* ARABIC </w:instrText>
      </w:r>
      <w:r w:rsidR="004A5441" w:rsidRPr="00CC057F">
        <w:fldChar w:fldCharType="separate"/>
      </w:r>
      <w:r w:rsidRPr="00CC057F">
        <w:t>11</w:t>
      </w:r>
      <w:r w:rsidR="004A5441" w:rsidRPr="00CC057F">
        <w:fldChar w:fldCharType="end"/>
      </w:r>
      <w:bookmarkEnd w:id="2"/>
      <w:r w:rsidRPr="00CC057F">
        <w:t xml:space="preserve"> </w:t>
      </w:r>
      <w:r w:rsidRPr="00CC057F">
        <w:br/>
        <w:t>Kriisilahendussubjektide omavahendite ja kõlblike kohustuste koostise avalikustamine</w:t>
      </w:r>
    </w:p>
    <w:p w14:paraId="097F2CA5" w14:textId="77777777" w:rsidR="00911C0D" w:rsidRPr="00CC057F" w:rsidRDefault="00911C0D" w:rsidP="00080A21">
      <w:pPr>
        <w:pStyle w:val="NumPar1"/>
        <w:numPr>
          <w:ilvl w:val="0"/>
          <w:numId w:val="21"/>
        </w:numPr>
      </w:pPr>
      <w:r w:rsidRPr="00CC057F">
        <w:t>Kriisilahendussubjektina määratletud üksus, kes on globaalne süsteemselt oluline ettevõtja või globaalse süsteemselt olulise ettevõtja osa, avalikustab kooskõlas määruse (EL) nr 575/2013 artikli 437a punktidega a, c ja d nõutava teabe ning direktiivi 2014/59/EL artikli 45i lõike 3 punktis b nõutava omavahendite ja kõlblike kohustuste koostise teabe vastavalt käesoleva määruse V lisa vormile EU TLAC1 ning käesoleva määruse VI lisas esitatud asjakohastele juhistele.</w:t>
      </w:r>
    </w:p>
    <w:p w14:paraId="6EE067EB" w14:textId="77777777" w:rsidR="00911C0D" w:rsidRPr="00CC057F" w:rsidRDefault="00911C0D" w:rsidP="00080A21">
      <w:pPr>
        <w:pStyle w:val="NumPar1"/>
        <w:numPr>
          <w:ilvl w:val="0"/>
          <w:numId w:val="21"/>
        </w:numPr>
      </w:pPr>
      <w:r w:rsidRPr="00CC057F">
        <w:t xml:space="preserve">Kriisilahendussubjektina määratletud üksus, kes ei ole globaalne süsteemselt oluline ettevõtja ega globaalse süsteemselt olulise ettevõtja osa, avalikustab direktiivi 2014/59/EL artikli 45i lõike 3 punkti b kohaselt nõutava omavahendite ja kõlblike </w:t>
      </w:r>
      <w:r w:rsidRPr="00CC057F">
        <w:lastRenderedPageBreak/>
        <w:t>kohustuste koostise teabe vastavalt käesoleva määruse V lisa vormile EU TLAC1 ja käesoleva määruse VI lisas esitatud asjakohastele juhistele.</w:t>
      </w:r>
    </w:p>
    <w:p w14:paraId="31FF8221" w14:textId="77777777" w:rsidR="00911C0D" w:rsidRPr="00CC057F" w:rsidRDefault="00911C0D" w:rsidP="00911C0D">
      <w:pPr>
        <w:pStyle w:val="Titrearticle"/>
      </w:pPr>
      <w:bookmarkStart w:id="3" w:name="_Ref21087987"/>
      <w:r w:rsidRPr="00CC057F">
        <w:t xml:space="preserve">Artikkel </w:t>
      </w:r>
      <w:r w:rsidR="004A5441" w:rsidRPr="00CC057F">
        <w:fldChar w:fldCharType="begin"/>
      </w:r>
      <w:r w:rsidR="004A5441" w:rsidRPr="00CC057F">
        <w:instrText xml:space="preserve"> SEQ Figure \* ARABIC </w:instrText>
      </w:r>
      <w:r w:rsidR="004A5441" w:rsidRPr="00CC057F">
        <w:fldChar w:fldCharType="separate"/>
      </w:r>
      <w:r w:rsidRPr="00CC057F">
        <w:t>12</w:t>
      </w:r>
      <w:r w:rsidR="004A5441" w:rsidRPr="00CC057F">
        <w:fldChar w:fldCharType="end"/>
      </w:r>
      <w:bookmarkEnd w:id="3"/>
      <w:r w:rsidRPr="00CC057F">
        <w:t xml:space="preserve"> </w:t>
      </w:r>
      <w:r w:rsidRPr="00CC057F">
        <w:br/>
        <w:t>Põhinäitajate ja sisemise kahjumikatmisvõime avalikustamine üksuste puhul, kes ei ole ise kriisilahendussubjektid</w:t>
      </w:r>
    </w:p>
    <w:p w14:paraId="32300B39" w14:textId="77777777" w:rsidR="00911C0D" w:rsidRPr="00CC057F" w:rsidRDefault="00911C0D" w:rsidP="00080A21">
      <w:pPr>
        <w:pStyle w:val="NumPar1"/>
        <w:numPr>
          <w:ilvl w:val="0"/>
          <w:numId w:val="20"/>
        </w:numPr>
      </w:pPr>
      <w:r w:rsidRPr="00CC057F">
        <w:t>Üksus, kes on kolmanda riigi globaalse süsteemselt olulise ettevõtja oluline tütarettevõtja, kuid kes ei ole ise kriisilahendussubjekt, avalikustab vastavalt käesoleva määruse V lisa vormile EU ILAC ja käesoleva määruse VI lisas esitatud asjakohastele juhistele järgmise teabe:</w:t>
      </w:r>
    </w:p>
    <w:p w14:paraId="782B5E5F" w14:textId="77777777" w:rsidR="00911C0D" w:rsidRPr="00CC057F" w:rsidRDefault="00911C0D" w:rsidP="00080A21">
      <w:pPr>
        <w:pStyle w:val="Point1letter"/>
        <w:numPr>
          <w:ilvl w:val="3"/>
          <w:numId w:val="17"/>
        </w:numPr>
      </w:pPr>
      <w:r w:rsidRPr="00CC057F">
        <w:t>teave, mille avalikustamist nõutakse määruse (EL) nr 575/2013 artikli 437a punktides a, c ja d;</w:t>
      </w:r>
    </w:p>
    <w:p w14:paraId="32D06C75" w14:textId="77777777" w:rsidR="00911C0D" w:rsidRPr="00CC057F" w:rsidRDefault="00911C0D" w:rsidP="00080A21">
      <w:pPr>
        <w:pStyle w:val="Point1letter"/>
        <w:numPr>
          <w:ilvl w:val="3"/>
          <w:numId w:val="17"/>
        </w:numPr>
      </w:pPr>
      <w:r w:rsidRPr="00CC057F">
        <w:t>teave, mille avalikustamist nõutakse määruse (EL) nr 575/2013 artikli 447 punktis h;</w:t>
      </w:r>
    </w:p>
    <w:p w14:paraId="00DD876B" w14:textId="77777777" w:rsidR="00911C0D" w:rsidRPr="00CC057F" w:rsidRDefault="00911C0D" w:rsidP="00080A21">
      <w:pPr>
        <w:pStyle w:val="Point1letter"/>
        <w:numPr>
          <w:ilvl w:val="3"/>
          <w:numId w:val="17"/>
        </w:numPr>
      </w:pPr>
      <w:r w:rsidRPr="00CC057F">
        <w:t>teave, mille avalikustamist nõutakse direktiivi 2014/59/EL artikli 45i lõike 3 punktides a ja c;</w:t>
      </w:r>
    </w:p>
    <w:p w14:paraId="4DA0CF37" w14:textId="22E9761B" w:rsidR="00911C0D" w:rsidRPr="00CC057F" w:rsidRDefault="00911C0D" w:rsidP="00080A21">
      <w:pPr>
        <w:pStyle w:val="Point1letter"/>
        <w:numPr>
          <w:ilvl w:val="3"/>
          <w:numId w:val="17"/>
        </w:numPr>
      </w:pPr>
      <w:r w:rsidRPr="00CC057F">
        <w:t>omavahendite ja kõlblike kohustuste koostisega seotud teave, mille avalikustamist nõutakse direktiivi 2014/59/EL artikli 45i lõike 3 punktis b.</w:t>
      </w:r>
    </w:p>
    <w:p w14:paraId="2D3A456D" w14:textId="77777777" w:rsidR="00911C0D" w:rsidRPr="00CC057F" w:rsidRDefault="00911C0D" w:rsidP="00911C0D">
      <w:pPr>
        <w:pStyle w:val="Point0"/>
      </w:pPr>
      <w:r w:rsidRPr="00CC057F">
        <w:t>2.</w:t>
      </w:r>
      <w:r w:rsidRPr="00CC057F">
        <w:tab/>
        <w:t>Muu üksus kui kolmanda riigi globaalse süsteemselt olulise ettevõtja oluline tütarettevõtja, kes ei ole ise kriisilahendussubjekt, avalikustab vastavalt käesoleva määruse V lisa vormile EU ILAC ja käesoleva määruse VI lisas esitatud asjakohastele juhistele järgmise teabe:</w:t>
      </w:r>
    </w:p>
    <w:p w14:paraId="2F8640BD" w14:textId="77777777" w:rsidR="00911C0D" w:rsidRPr="00CC057F" w:rsidRDefault="00911C0D" w:rsidP="00080A21">
      <w:pPr>
        <w:pStyle w:val="Point1letter"/>
        <w:numPr>
          <w:ilvl w:val="3"/>
          <w:numId w:val="18"/>
        </w:numPr>
      </w:pPr>
      <w:r w:rsidRPr="00CC057F">
        <w:t>teave, mille avalikustamist nõutakse direktiivi 2014/59/EL artikli 45i lõike 3 punktides a ja c;</w:t>
      </w:r>
    </w:p>
    <w:p w14:paraId="4C6E59D7" w14:textId="77777777" w:rsidR="00911C0D" w:rsidRPr="00CC057F" w:rsidRDefault="00911C0D" w:rsidP="00080A21">
      <w:pPr>
        <w:pStyle w:val="Point1letter"/>
        <w:numPr>
          <w:ilvl w:val="3"/>
          <w:numId w:val="18"/>
        </w:numPr>
      </w:pPr>
      <w:r w:rsidRPr="00CC057F">
        <w:t>omavahendite ja kõlblike kohustuste koostisega seotud teave, mille avalikustamist nõutakse direktiivi 2014/59/EL artikli 45i lõike 3 punktis b.</w:t>
      </w:r>
    </w:p>
    <w:p w14:paraId="40797C60" w14:textId="77777777" w:rsidR="00911C0D" w:rsidRPr="00CC057F" w:rsidRDefault="00911C0D" w:rsidP="00911C0D">
      <w:pPr>
        <w:pStyle w:val="Titrearticle"/>
      </w:pPr>
      <w:bookmarkStart w:id="4" w:name="_Ref21088028"/>
      <w:r w:rsidRPr="00CC057F">
        <w:t xml:space="preserve">Artikkel </w:t>
      </w:r>
      <w:bookmarkEnd w:id="4"/>
      <w:r w:rsidRPr="00CC057F">
        <w:fldChar w:fldCharType="begin"/>
      </w:r>
      <w:r w:rsidRPr="00CC057F">
        <w:instrText xml:space="preserve"> SEQ Figure \* ARABIC </w:instrText>
      </w:r>
      <w:r w:rsidRPr="00CC057F">
        <w:fldChar w:fldCharType="separate"/>
      </w:r>
      <w:r w:rsidRPr="00CC057F">
        <w:t>13</w:t>
      </w:r>
      <w:r w:rsidRPr="00CC057F">
        <w:fldChar w:fldCharType="end"/>
      </w:r>
      <w:r w:rsidRPr="00CC057F">
        <w:t xml:space="preserve"> </w:t>
      </w:r>
      <w:r w:rsidRPr="00CC057F">
        <w:br/>
        <w:t>Võlausaldaja nõuete rahuldamisjärkude avalikustamine muude kui kriisilahendussubjektide puhul</w:t>
      </w:r>
    </w:p>
    <w:p w14:paraId="0FA53E9A" w14:textId="5F3E469E" w:rsidR="00911C0D" w:rsidRPr="00CC057F" w:rsidRDefault="00911C0D" w:rsidP="00080A21">
      <w:pPr>
        <w:pStyle w:val="NumPar1"/>
        <w:numPr>
          <w:ilvl w:val="0"/>
          <w:numId w:val="19"/>
        </w:numPr>
      </w:pPr>
      <w:r w:rsidRPr="00CC057F">
        <w:t>Üksus, kes on kolmanda riigi globaalse süsteemselt olulise ettevõtja oluline tütarettevõtja, kuid kes ei ole ise kriisilahendussubje</w:t>
      </w:r>
      <w:r w:rsidR="00CC057F" w:rsidRPr="00CC057F">
        <w:t>kt, avalikustab määruse (EL) nr </w:t>
      </w:r>
      <w:r w:rsidRPr="00CC057F">
        <w:t xml:space="preserve">575/2013 artikli 437a punktides a ja b ning direktiivi 2014/59/EL artikli 45i lõike 3 punktis b sätestatud tähtajaprofiili ja tavalise maksejõuetusmenetluse nõuete rahuldamise järku käsitleva teabe vastavalt käesoleva määruse V lisas esitatud vormile EU TLAC2a ja käesoleva määruse VI lisas esitatud asjakohastele juhistele. </w:t>
      </w:r>
    </w:p>
    <w:p w14:paraId="515F579C" w14:textId="77777777" w:rsidR="00911C0D" w:rsidRPr="00CC057F" w:rsidRDefault="00911C0D" w:rsidP="00080A21">
      <w:pPr>
        <w:pStyle w:val="NumPar1"/>
        <w:numPr>
          <w:ilvl w:val="0"/>
          <w:numId w:val="19"/>
        </w:numPr>
      </w:pPr>
      <w:r w:rsidRPr="00CC057F">
        <w:t xml:space="preserve">Muu üksus kui kolmanda riigi globaalselt süsteemselt olulise ettevõtja oluline tütarettevõtja, kes ei ole ise kriisilahendussubjekt, avalikustab direktiivi 2014/59/EL artikli 45i lõike 3 punktis b sätestatud tähtajaprofiili ja tavalise maksejõuetusmenetluse nõuete rahuldamisjärku käsitleva teabe vastavalt käesoleva määruse V lisas esitatud vormile EU TLAC2b ja käesoleva määruse VI lisas esitatud asjakohastele juhistele. </w:t>
      </w:r>
    </w:p>
    <w:p w14:paraId="51B0E851" w14:textId="32AD2F70" w:rsidR="00911C0D" w:rsidRPr="00CC057F" w:rsidRDefault="00911C0D" w:rsidP="00B129CF">
      <w:pPr>
        <w:pStyle w:val="Text1"/>
      </w:pPr>
      <w:r w:rsidRPr="00CC057F">
        <w:t xml:space="preserve">Selle lõike esimeses lõigus osutatud üksused võivad direktiivi 2014/59/EL artikli 45i lõike 3 punkti b kohaselt nõutava tähtajaprofiili ja tavalise maksejõuetusmenetluse </w:t>
      </w:r>
      <w:r w:rsidRPr="00CC057F">
        <w:lastRenderedPageBreak/>
        <w:t>nõuete rahuldamise järku käsitleva teabe avalikustamiseks kasutada vormi EU TLAC2b asemel vormi EU TLAC2a.</w:t>
      </w:r>
    </w:p>
    <w:p w14:paraId="0ACD53CE" w14:textId="77777777" w:rsidR="00911C0D" w:rsidRPr="00CC057F" w:rsidRDefault="00911C0D" w:rsidP="00911C0D">
      <w:pPr>
        <w:pStyle w:val="Titrearticle"/>
      </w:pPr>
      <w:bookmarkStart w:id="5" w:name="_Ref21087242"/>
      <w:r w:rsidRPr="00CC057F">
        <w:t>Artikkel</w:t>
      </w:r>
      <w:bookmarkEnd w:id="5"/>
      <w:r w:rsidRPr="00CC057F">
        <w:t xml:space="preserve"> </w:t>
      </w:r>
      <w:r w:rsidR="004A5441" w:rsidRPr="00CC057F">
        <w:fldChar w:fldCharType="begin"/>
      </w:r>
      <w:r w:rsidR="004A5441" w:rsidRPr="00CC057F">
        <w:instrText xml:space="preserve"> SEQ Figure \* ARABIC </w:instrText>
      </w:r>
      <w:r w:rsidR="004A5441" w:rsidRPr="00CC057F">
        <w:fldChar w:fldCharType="separate"/>
      </w:r>
      <w:r w:rsidRPr="00CC057F">
        <w:t>14</w:t>
      </w:r>
      <w:r w:rsidR="004A5441" w:rsidRPr="00CC057F">
        <w:fldChar w:fldCharType="end"/>
      </w:r>
      <w:r w:rsidRPr="00CC057F">
        <w:t xml:space="preserve"> </w:t>
      </w:r>
      <w:r w:rsidRPr="00CC057F">
        <w:br/>
        <w:t>Võlausaldaja nõuete rahuldamisjärkude avalikustamine kriisilahendussubjektide puhul</w:t>
      </w:r>
    </w:p>
    <w:p w14:paraId="0214BA4A" w14:textId="1698E0A3" w:rsidR="00911C0D" w:rsidRPr="00CC057F" w:rsidRDefault="00911C0D" w:rsidP="00080A21">
      <w:pPr>
        <w:pStyle w:val="NumPar1"/>
        <w:numPr>
          <w:ilvl w:val="0"/>
          <w:numId w:val="25"/>
        </w:numPr>
      </w:pPr>
      <w:r w:rsidRPr="00CC057F">
        <w:t>Kriisilahendussubjektina määratletud üksus, kes on globaalne süsteemselt oluline ettevõtja või globaalse süsteemselt olulise ettevõtja o</w:t>
      </w:r>
      <w:r w:rsidR="00CC057F" w:rsidRPr="00CC057F">
        <w:t>sa, avalikustab määruse (EL) nr </w:t>
      </w:r>
      <w:r w:rsidRPr="00CC057F">
        <w:t>575/2013 artikli 437a punktides a ja b ning direktii</w:t>
      </w:r>
      <w:r w:rsidR="00CC057F" w:rsidRPr="00CC057F">
        <w:t>vi 2014/59/EL artikli 45i lõike </w:t>
      </w:r>
      <w:r w:rsidRPr="00CC057F">
        <w:t xml:space="preserve">3 punktis b sätestatud tähtajaprofiili ja tavalise maksejõuetusmenetluse nõuete rahuldamise järku käsitleva teabe vastavalt käesoleva määruse V lisas esitatud vormile EU TLAC3a ja käesoleva määruse VI lisas esitatud asjakohastele juhistele. </w:t>
      </w:r>
    </w:p>
    <w:p w14:paraId="703B620D" w14:textId="18C45AB4" w:rsidR="00911C0D" w:rsidRPr="00CC057F" w:rsidRDefault="00911C0D" w:rsidP="00080A21">
      <w:pPr>
        <w:pStyle w:val="NumPar1"/>
        <w:numPr>
          <w:ilvl w:val="0"/>
          <w:numId w:val="25"/>
        </w:numPr>
      </w:pPr>
      <w:r w:rsidRPr="00CC057F">
        <w:t xml:space="preserve">Kriisilahendussubjektina määratletud üksus, kes ei ole globaalne süsteemselt oluline ettevõtja ega globaalse süsteemselt olulise ettevõtja osa, avalikustab direktiivi 2014/59/EL artikli 45i lõike 3 punktis b sätestatud tähtajaprofiili ja tavalise maksejõuetusmenetluse nõuete rahuldamisjärku käsitleva teabe vastavalt käesoleva määruse V lisas esitatud vormile EU TLAC3b ja käesoleva määruse VI lisas esitatud asjakohastele juhistele. </w:t>
      </w:r>
    </w:p>
    <w:p w14:paraId="312D7D45" w14:textId="7D7503B0" w:rsidR="00911C0D" w:rsidRPr="00CC057F" w:rsidRDefault="00911C0D" w:rsidP="008E17B7">
      <w:pPr>
        <w:pStyle w:val="Text1"/>
      </w:pPr>
      <w:r w:rsidRPr="00CC057F">
        <w:t>Selle lõike esimeses lõigus osutatud üksused võivad direktiivi 2014/59/EL artikli 45i lõike 3 punkti b kohaselt nõutava tähtajaprofiili ja tavalise maksejõuetusmenetluse nõuete rahuldamisjärku käsitleva teabe ava</w:t>
      </w:r>
      <w:r w:rsidR="00CC057F" w:rsidRPr="00CC057F">
        <w:t>likustamiseks kasutada vormi EU </w:t>
      </w:r>
      <w:r w:rsidRPr="00CC057F">
        <w:t>TLAC3b asemel vormi EU TLAC3a.</w:t>
      </w:r>
    </w:p>
    <w:p w14:paraId="392B83E1" w14:textId="0ED4F921" w:rsidR="00911C0D" w:rsidRPr="00CC057F" w:rsidRDefault="00911C0D" w:rsidP="00911C0D">
      <w:pPr>
        <w:pStyle w:val="Titrearticle"/>
      </w:pPr>
      <w:bookmarkStart w:id="6" w:name="_Ref21087218"/>
      <w:r w:rsidRPr="00CC057F">
        <w:t xml:space="preserve">Artikkel </w:t>
      </w:r>
      <w:r w:rsidR="004A5441" w:rsidRPr="00CC057F">
        <w:fldChar w:fldCharType="begin"/>
      </w:r>
      <w:r w:rsidR="004A5441" w:rsidRPr="00CC057F">
        <w:instrText xml:space="preserve"> SEQ Figure \* ARABIC </w:instrText>
      </w:r>
      <w:r w:rsidR="004A5441" w:rsidRPr="00CC057F">
        <w:fldChar w:fldCharType="separate"/>
      </w:r>
      <w:r w:rsidRPr="00CC057F">
        <w:t>15</w:t>
      </w:r>
      <w:r w:rsidR="004A5441" w:rsidRPr="00CC057F">
        <w:fldChar w:fldCharType="end"/>
      </w:r>
      <w:bookmarkEnd w:id="6"/>
      <w:r w:rsidRPr="00CC057F">
        <w:t xml:space="preserve"> </w:t>
      </w:r>
      <w:r w:rsidRPr="00CC057F">
        <w:br/>
        <w:t>Omavahendite ja kõlblike kohustuste põhitunnuste avalikustamine</w:t>
      </w:r>
    </w:p>
    <w:p w14:paraId="556F10F9" w14:textId="77777777" w:rsidR="00911C0D" w:rsidRPr="00CC057F" w:rsidRDefault="00911C0D" w:rsidP="00911C0D">
      <w:pPr>
        <w:keepNext/>
        <w:keepLines/>
        <w:spacing w:before="360"/>
      </w:pPr>
      <w:r w:rsidRPr="00CC057F">
        <w:t xml:space="preserve">Kriisilahendussubjektina määratletud üksus, kes on globaalne süsteemselt oluline ettevõtja või globaalse süsteemselt olulise ettevõtja osa, ja üksus, kes on kolmanda riigi globaalse süsteemselt olulise ettevõtja oluline tütarettevõtja, kuid kes ei ole ise kriisilahendussubjekt, avalikustab määruse (EL) nr 575/2013 artikli 437a punkti a kohaselt nõutava teabe kooskõlas kõnealuse määruse artiklis 434a osutatud rakendusaktiga. </w:t>
      </w:r>
    </w:p>
    <w:p w14:paraId="20EB102D" w14:textId="77777777" w:rsidR="00911C0D" w:rsidRPr="00CC057F" w:rsidRDefault="00911C0D" w:rsidP="00146633">
      <w:pPr>
        <w:pStyle w:val="Titrearticle"/>
      </w:pPr>
      <w:r w:rsidRPr="00CC057F">
        <w:t xml:space="preserve">Artikkel </w:t>
      </w:r>
      <w:r w:rsidR="004A5441" w:rsidRPr="00CC057F">
        <w:fldChar w:fldCharType="begin"/>
      </w:r>
      <w:r w:rsidR="004A5441" w:rsidRPr="00CC057F">
        <w:instrText xml:space="preserve"> SEQ Figure \* ARABIC </w:instrText>
      </w:r>
      <w:r w:rsidR="004A5441" w:rsidRPr="00CC057F">
        <w:fldChar w:fldCharType="separate"/>
      </w:r>
      <w:r w:rsidRPr="00CC057F">
        <w:t>16</w:t>
      </w:r>
      <w:r w:rsidR="004A5441" w:rsidRPr="00CC057F">
        <w:fldChar w:fldCharType="end"/>
      </w:r>
      <w:r w:rsidRPr="00CC057F">
        <w:t xml:space="preserve"> </w:t>
      </w:r>
      <w:r w:rsidRPr="00CC057F">
        <w:br/>
        <w:t>Avalikustamise üldeeskirjad</w:t>
      </w:r>
    </w:p>
    <w:p w14:paraId="74D86184" w14:textId="77777777" w:rsidR="00911C0D" w:rsidRPr="00CC057F" w:rsidRDefault="00911C0D" w:rsidP="00080A21">
      <w:pPr>
        <w:pStyle w:val="NumPar1"/>
        <w:numPr>
          <w:ilvl w:val="0"/>
          <w:numId w:val="26"/>
        </w:numPr>
      </w:pPr>
      <w:r w:rsidRPr="00CC057F">
        <w:t xml:space="preserve">Kui avalikustavad üksused jätavad mõned avalikustamisele kuuluvad andmed kooskõlas määruse (EL) nr 575/2013 artikliga 432 avalikustamata, jätavad nad käesolevas määruses sätestatud vormide või tabelite asjaomased read või veerud tühjaks ning järgnevate ridade või veergude numeratsiooni ei muudeta. </w:t>
      </w:r>
    </w:p>
    <w:p w14:paraId="2C21F69F" w14:textId="77777777" w:rsidR="00911C0D" w:rsidRPr="00CC057F" w:rsidRDefault="00911C0D" w:rsidP="00080A21">
      <w:pPr>
        <w:pStyle w:val="NumPar1"/>
        <w:numPr>
          <w:ilvl w:val="0"/>
          <w:numId w:val="26"/>
        </w:numPr>
      </w:pPr>
      <w:r w:rsidRPr="00CC057F">
        <w:t xml:space="preserve">Avalikustavad üksused märgivad selgelt ära asjakohases vormis või tabelis tühjaks jäetud read ja veerud ning asjaomase teabe avalikustamata jätmise põhjuse. </w:t>
      </w:r>
    </w:p>
    <w:p w14:paraId="2DFEFA5E" w14:textId="77777777" w:rsidR="00911C0D" w:rsidRPr="00CC057F" w:rsidRDefault="00911C0D" w:rsidP="00080A21">
      <w:pPr>
        <w:pStyle w:val="NumPar1"/>
        <w:numPr>
          <w:ilvl w:val="0"/>
          <w:numId w:val="26"/>
        </w:numPr>
      </w:pPr>
      <w:r w:rsidRPr="00CC057F">
        <w:t>Kvalitatiivne kirjeldus ja muu vajalik täiendav teave, mis lisatakse avalikustatavale kvantitatiivsele teabele kooskõlas määruse (EL) nr 575/2013 artikliga 431, peab olema piisavalt selge ja põhjalik, et võimaldada teabe kasutajatel avalikustatavat kvantitatiivset teavet mõista, ning see esitatakse nende vormide kõrval, mille teavet need kirjeldavad.</w:t>
      </w:r>
    </w:p>
    <w:p w14:paraId="29D7C25D" w14:textId="77777777" w:rsidR="00911C0D" w:rsidRPr="00CC057F" w:rsidRDefault="00911C0D" w:rsidP="00080A21">
      <w:pPr>
        <w:pStyle w:val="NumPar1"/>
        <w:numPr>
          <w:ilvl w:val="0"/>
          <w:numId w:val="26"/>
        </w:numPr>
      </w:pPr>
      <w:r w:rsidRPr="00CC057F">
        <w:t>Avalikustavad üksused järgivad arvväärtuste avalikustamisel järgmisi eeskirju:</w:t>
      </w:r>
    </w:p>
    <w:p w14:paraId="554837EF" w14:textId="77777777" w:rsidR="00911C0D" w:rsidRPr="00CC057F" w:rsidRDefault="00911C0D" w:rsidP="00B378A2">
      <w:pPr>
        <w:pStyle w:val="Point1letter"/>
        <w:numPr>
          <w:ilvl w:val="3"/>
          <w:numId w:val="38"/>
        </w:numPr>
      </w:pPr>
      <w:r w:rsidRPr="00CC057F">
        <w:lastRenderedPageBreak/>
        <w:t>kvantitatiivsed rahalised andmed esitatakse minimaalselt täpsusega miljon ühikut.</w:t>
      </w:r>
    </w:p>
    <w:p w14:paraId="4E96B6F9" w14:textId="77777777" w:rsidR="00911C0D" w:rsidRPr="00CC057F" w:rsidRDefault="00911C0D" w:rsidP="00B378A2">
      <w:pPr>
        <w:pStyle w:val="Point1letter"/>
        <w:numPr>
          <w:ilvl w:val="3"/>
          <w:numId w:val="38"/>
        </w:numPr>
      </w:pPr>
      <w:r w:rsidRPr="00CC057F">
        <w:t>protsendina väljendatavad kvantitatiivsed andmed esitatakse ühiku kohta minimaalselt täpsusega neli kohta pärast koma.</w:t>
      </w:r>
    </w:p>
    <w:p w14:paraId="06F63E8F" w14:textId="77777777" w:rsidR="00911C0D" w:rsidRPr="00CC057F" w:rsidRDefault="00911C0D" w:rsidP="00146633">
      <w:pPr>
        <w:pStyle w:val="NumPar1"/>
      </w:pPr>
      <w:r w:rsidRPr="00CC057F">
        <w:t>Avalikustavad üksused lisavad avalikustatavale teabele järgmised andmed:</w:t>
      </w:r>
    </w:p>
    <w:p w14:paraId="2FCAAE18" w14:textId="77777777" w:rsidR="00911C0D" w:rsidRPr="00CC057F" w:rsidRDefault="00911C0D" w:rsidP="00B378A2">
      <w:pPr>
        <w:pStyle w:val="Point1letter"/>
        <w:numPr>
          <w:ilvl w:val="3"/>
          <w:numId w:val="27"/>
        </w:numPr>
      </w:pPr>
      <w:r w:rsidRPr="00CC057F">
        <w:t xml:space="preserve">avalikustamise kuupäev ja periood; </w:t>
      </w:r>
    </w:p>
    <w:p w14:paraId="0D85A6C3" w14:textId="77777777" w:rsidR="00911C0D" w:rsidRPr="00CC057F" w:rsidRDefault="00911C0D" w:rsidP="00146633">
      <w:pPr>
        <w:pStyle w:val="Point1letter"/>
      </w:pPr>
      <w:r w:rsidRPr="00CC057F">
        <w:t xml:space="preserve">avalikustamisel kasutatav vääring; </w:t>
      </w:r>
    </w:p>
    <w:p w14:paraId="5B5B4AB9" w14:textId="2A3BF35F" w:rsidR="00911C0D" w:rsidRPr="00CC057F" w:rsidRDefault="00911C0D" w:rsidP="00146633">
      <w:pPr>
        <w:pStyle w:val="Point1letter"/>
      </w:pPr>
      <w:r w:rsidRPr="00CC057F">
        <w:t>avalikustava üksuse nimi ja kui asjakohane, siis juriidilise isiku tunnus (LEI);</w:t>
      </w:r>
    </w:p>
    <w:p w14:paraId="584E8AC6" w14:textId="77777777" w:rsidR="00911C0D" w:rsidRPr="00CC057F" w:rsidRDefault="00911C0D" w:rsidP="00146633">
      <w:pPr>
        <w:pStyle w:val="Point1letter"/>
      </w:pPr>
      <w:r w:rsidRPr="00CC057F">
        <w:t xml:space="preserve">kui asjakohane, siis raamatupidamisstandard; ning </w:t>
      </w:r>
    </w:p>
    <w:p w14:paraId="582EB987" w14:textId="77777777" w:rsidR="00911C0D" w:rsidRPr="00CC057F" w:rsidRDefault="00911C0D" w:rsidP="00146633">
      <w:pPr>
        <w:pStyle w:val="Point1letter"/>
      </w:pPr>
      <w:r w:rsidRPr="00CC057F">
        <w:t>kui asjakohane, siis konsolideerimise ulatus.</w:t>
      </w:r>
    </w:p>
    <w:p w14:paraId="13904397" w14:textId="6E48D9B3" w:rsidR="00911C0D" w:rsidRPr="00CC057F" w:rsidRDefault="00911C0D" w:rsidP="00911C0D">
      <w:pPr>
        <w:pStyle w:val="SectionTitle"/>
        <w:rPr>
          <w:b w:val="0"/>
          <w:i/>
        </w:rPr>
      </w:pPr>
      <w:r w:rsidRPr="00CC057F">
        <w:rPr>
          <w:b w:val="0"/>
          <w:i/>
        </w:rPr>
        <w:t>III JAOTIS</w:t>
      </w:r>
      <w:r w:rsidRPr="00CC057F">
        <w:t xml:space="preserve"> </w:t>
      </w:r>
      <w:r w:rsidRPr="00CC057F">
        <w:br/>
      </w:r>
      <w:r w:rsidRPr="00CC057F">
        <w:rPr>
          <w:b w:val="0"/>
          <w:i/>
        </w:rPr>
        <w:t>LÕPPSÄTTED</w:t>
      </w:r>
    </w:p>
    <w:p w14:paraId="207DBFA4" w14:textId="6A156BA8" w:rsidR="00911C0D" w:rsidRPr="00CC057F" w:rsidRDefault="00911C0D" w:rsidP="00146633">
      <w:pPr>
        <w:pStyle w:val="Titrearticle"/>
      </w:pPr>
      <w:r w:rsidRPr="00CC057F">
        <w:t xml:space="preserve">Artikkel </w:t>
      </w:r>
      <w:r w:rsidR="004A5441" w:rsidRPr="00CC057F">
        <w:fldChar w:fldCharType="begin"/>
      </w:r>
      <w:r w:rsidR="004A5441" w:rsidRPr="00CC057F">
        <w:instrText xml:space="preserve"> SEQ Figure \* ARABIC </w:instrText>
      </w:r>
      <w:r w:rsidR="004A5441" w:rsidRPr="00CC057F">
        <w:fldChar w:fldCharType="separate"/>
      </w:r>
      <w:r w:rsidRPr="00CC057F">
        <w:t>17</w:t>
      </w:r>
      <w:r w:rsidR="004A5441" w:rsidRPr="00CC057F">
        <w:fldChar w:fldCharType="end"/>
      </w:r>
      <w:r w:rsidRPr="00CC057F">
        <w:t xml:space="preserve"> </w:t>
      </w:r>
      <w:r w:rsidRPr="00CC057F">
        <w:br/>
        <w:t>Jõustumine ja kohaldamine</w:t>
      </w:r>
    </w:p>
    <w:p w14:paraId="132DAA82" w14:textId="4F13BF1D" w:rsidR="00911C0D" w:rsidRPr="00CC057F" w:rsidRDefault="00911C0D" w:rsidP="00911C0D">
      <w:r w:rsidRPr="00CC057F">
        <w:t xml:space="preserve">Käesolev määrus jõustub kahekümnendal päeval pärast selle avaldamist </w:t>
      </w:r>
      <w:r w:rsidRPr="00CC057F">
        <w:rPr>
          <w:i/>
        </w:rPr>
        <w:t>Euroopa Liidu Teatajas</w:t>
      </w:r>
      <w:r w:rsidRPr="00CC057F">
        <w:t>.</w:t>
      </w:r>
    </w:p>
    <w:p w14:paraId="59F2EBFB" w14:textId="5F28E1E6" w:rsidR="00911C0D" w:rsidRPr="00CC057F" w:rsidRDefault="00911C0D" w:rsidP="00911C0D">
      <w:pPr>
        <w:widowControl w:val="0"/>
        <w:autoSpaceDE w:val="0"/>
        <w:autoSpaceDN w:val="0"/>
        <w:rPr>
          <w:rFonts w:eastAsia="Times New Roman"/>
        </w:rPr>
      </w:pPr>
      <w:r w:rsidRPr="00CC057F">
        <w:t>I jaotist kohaldatakse alates 28. juunist 2021.</w:t>
      </w:r>
    </w:p>
    <w:p w14:paraId="2F7214D1" w14:textId="64BF67D1" w:rsidR="00F82D09" w:rsidRPr="00CC057F" w:rsidRDefault="00911C0D" w:rsidP="00911C0D">
      <w:pPr>
        <w:widowControl w:val="0"/>
        <w:autoSpaceDE w:val="0"/>
        <w:autoSpaceDN w:val="0"/>
        <w:rPr>
          <w:rFonts w:eastAsia="Times New Roman"/>
        </w:rPr>
      </w:pPr>
      <w:r w:rsidRPr="00CC057F">
        <w:t xml:space="preserve">II jaotist kohaldatakse määruse (EL) nr 575/2013 artikli 437a ja artikli 447 punkti h kohase teabe avalikustamise suhtes alates </w:t>
      </w:r>
      <w:r w:rsidRPr="00CC057F">
        <w:rPr>
          <w:i/>
        </w:rPr>
        <w:t>[lisada käesoleva määruse jõustumise kuupäev]</w:t>
      </w:r>
      <w:r w:rsidRPr="00CC057F">
        <w:t xml:space="preserve"> ning direktiivi 2014/59/EL artikli 45i lõike 3 kohase teabe avalikustamise suhtes alates direktiivi (EL) 2019/879 artikli 3 lõike 1 kolmandas lõigus sätestatud avalikustamisnõuete kohaldamise kuupäevast.</w:t>
      </w:r>
    </w:p>
    <w:p w14:paraId="48405F17" w14:textId="52DE1662" w:rsidR="00911C0D" w:rsidRPr="00CC057F" w:rsidRDefault="00911C0D" w:rsidP="00911C0D">
      <w:pPr>
        <w:pStyle w:val="Applicationdirecte"/>
        <w:keepNext/>
        <w:keepLines/>
      </w:pPr>
      <w:r w:rsidRPr="00CC057F">
        <w:t>Käesolev määrus on tervikuna siduv ja vahetult kohaldatav kõikides liikmesriikides.</w:t>
      </w:r>
    </w:p>
    <w:p w14:paraId="688CD257" w14:textId="77777777" w:rsidR="00911C0D" w:rsidRPr="00CC057F" w:rsidRDefault="00DD5153" w:rsidP="00DD5153">
      <w:pPr>
        <w:pStyle w:val="Fait"/>
      </w:pPr>
      <w:r w:rsidRPr="00CC057F">
        <w:t>Brüssel,</w:t>
      </w:r>
    </w:p>
    <w:p w14:paraId="7D6E3D67" w14:textId="77777777" w:rsidR="00911C0D" w:rsidRPr="00CC057F" w:rsidRDefault="00911C0D" w:rsidP="00911C0D">
      <w:pPr>
        <w:pStyle w:val="Institutionquisigne"/>
      </w:pPr>
      <w:r w:rsidRPr="00CC057F">
        <w:tab/>
        <w:t>komisjoni nimel</w:t>
      </w:r>
    </w:p>
    <w:p w14:paraId="0936848B" w14:textId="77777777" w:rsidR="00911C0D" w:rsidRPr="00CC057F" w:rsidRDefault="00911C0D" w:rsidP="00911C0D">
      <w:pPr>
        <w:pStyle w:val="Personnequisigne"/>
      </w:pPr>
      <w:r w:rsidRPr="00CC057F">
        <w:tab/>
        <w:t xml:space="preserve">president </w:t>
      </w:r>
      <w:r w:rsidRPr="00CC057F">
        <w:br/>
      </w:r>
      <w:r w:rsidRPr="00CC057F">
        <w:tab/>
        <w:t>Ursula VON DER LEYEN</w:t>
      </w:r>
    </w:p>
    <w:sectPr w:rsidR="00911C0D" w:rsidRPr="00CC057F" w:rsidSect="000F5664">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55EAB" w14:textId="3BA14DCC" w:rsidR="00911C0D" w:rsidRPr="000F5664" w:rsidRDefault="000F5664" w:rsidP="000F5664">
    <w:pPr>
      <w:pStyle w:val="Footer"/>
      <w:rPr>
        <w:rFonts w:ascii="Arial" w:hAnsi="Arial" w:cs="Arial"/>
        <w:b/>
        <w:sz w:val="48"/>
      </w:rPr>
    </w:pPr>
    <w:r w:rsidRPr="000F5664">
      <w:rPr>
        <w:rFonts w:ascii="Arial" w:hAnsi="Arial" w:cs="Arial"/>
        <w:b/>
        <w:sz w:val="48"/>
      </w:rPr>
      <w:t>ET</w:t>
    </w:r>
    <w:r w:rsidRPr="000F5664">
      <w:rPr>
        <w:rFonts w:ascii="Arial" w:hAnsi="Arial" w:cs="Arial"/>
        <w:b/>
        <w:sz w:val="48"/>
      </w:rPr>
      <w:tab/>
    </w:r>
    <w:r w:rsidRPr="000F5664">
      <w:rPr>
        <w:rFonts w:ascii="Arial" w:hAnsi="Arial" w:cs="Arial"/>
        <w:b/>
        <w:sz w:val="48"/>
      </w:rPr>
      <w:tab/>
    </w:r>
    <w:r w:rsidRPr="000F5664">
      <w:tab/>
    </w:r>
    <w:r w:rsidRPr="000F5664">
      <w:rPr>
        <w:rFonts w:ascii="Arial" w:hAnsi="Arial" w:cs="Arial"/>
        <w:b/>
        <w:sz w:val="48"/>
      </w:rPr>
      <w: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B00D9" w14:textId="03ABF083" w:rsidR="000F5664" w:rsidRPr="000F5664" w:rsidRDefault="000F5664" w:rsidP="000F5664">
    <w:pPr>
      <w:pStyle w:val="Footer"/>
      <w:rPr>
        <w:rFonts w:ascii="Arial" w:hAnsi="Arial" w:cs="Arial"/>
        <w:b/>
        <w:sz w:val="48"/>
      </w:rPr>
    </w:pPr>
    <w:r w:rsidRPr="000F5664">
      <w:rPr>
        <w:rFonts w:ascii="Arial" w:hAnsi="Arial" w:cs="Arial"/>
        <w:b/>
        <w:sz w:val="48"/>
      </w:rPr>
      <w:t>ET</w:t>
    </w:r>
    <w:r w:rsidRPr="000F5664">
      <w:rPr>
        <w:rFonts w:ascii="Arial" w:hAnsi="Arial" w:cs="Arial"/>
        <w:b/>
        <w:sz w:val="48"/>
      </w:rPr>
      <w:tab/>
    </w:r>
    <w:r>
      <w:fldChar w:fldCharType="begin"/>
    </w:r>
    <w:r>
      <w:instrText xml:space="preserve"> PAGE  \* MERGEFORMAT </w:instrText>
    </w:r>
    <w:r>
      <w:fldChar w:fldCharType="separate"/>
    </w:r>
    <w:r w:rsidR="000328C7">
      <w:rPr>
        <w:noProof/>
      </w:rPr>
      <w:t>12</w:t>
    </w:r>
    <w:r>
      <w:fldChar w:fldCharType="end"/>
    </w:r>
    <w:r>
      <w:tab/>
    </w:r>
    <w:r w:rsidRPr="000F5664">
      <w:tab/>
    </w:r>
    <w:r w:rsidRPr="000F5664">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72D5B" w14:textId="77777777" w:rsidR="000F5664" w:rsidRPr="000F5664" w:rsidRDefault="000F5664" w:rsidP="000F56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7777777" w:rsidR="00911C0D" w:rsidRPr="00CC057F" w:rsidRDefault="00911C0D" w:rsidP="00911C0D">
      <w:pPr>
        <w:pStyle w:val="FootnoteText"/>
      </w:pPr>
      <w:r w:rsidRPr="00CC057F">
        <w:rPr>
          <w:rStyle w:val="FootnoteReference"/>
        </w:rPr>
        <w:footnoteRef/>
      </w:r>
      <w:r w:rsidRPr="00CC057F">
        <w:tab/>
        <w:t>ELT L 176, 27.6.2013, lk 1.</w:t>
      </w:r>
    </w:p>
  </w:footnote>
  <w:footnote w:id="2">
    <w:p w14:paraId="52F29A01" w14:textId="77777777" w:rsidR="00911C0D" w:rsidRPr="00CC057F" w:rsidRDefault="00911C0D" w:rsidP="00911C0D">
      <w:pPr>
        <w:pStyle w:val="FootnoteText"/>
      </w:pPr>
      <w:r w:rsidRPr="00CC057F">
        <w:rPr>
          <w:rStyle w:val="FootnoteReference"/>
        </w:rPr>
        <w:footnoteRef/>
      </w:r>
      <w:r w:rsidRPr="00CC057F">
        <w:tab/>
        <w:t>ELT L 173, 12.6.2014, lk 190.</w:t>
      </w:r>
    </w:p>
  </w:footnote>
  <w:footnote w:id="3">
    <w:p w14:paraId="400AF6FF" w14:textId="568455D5" w:rsidR="00911C0D" w:rsidRPr="00CC057F" w:rsidRDefault="00911C0D" w:rsidP="00911C0D">
      <w:pPr>
        <w:pStyle w:val="FootnoteText"/>
      </w:pPr>
      <w:r w:rsidRPr="00CC057F">
        <w:rPr>
          <w:rStyle w:val="FootnoteReference"/>
        </w:rPr>
        <w:footnoteRef/>
      </w:r>
      <w:r w:rsidRPr="00CC057F">
        <w:tab/>
        <w:t>Euroopa Parlamendi ja nõukogu 20. mai 2019. aasta määrus (EL) 2019/876, millega muudetakse määrust (EL) nr 575/2013 seoses finantsvõimenduse määra, stabiilse netorahastamise kordaja, omavahendite ja kõlblike kohustuste nõuete, vastaspoole krediidiriski, tururiski, kesksetes vastaspooltes olevate positsioonide, ühiseks investeerimiseks loodud ettevõtjates olevate riskipositsioonide, riskide kontsentreerumise, aruandlus- ja avalikustamisnõuetega ning mil</w:t>
      </w:r>
      <w:r w:rsidR="00CC057F" w:rsidRPr="00CC057F">
        <w:t>lega muudetakse määrust (EL) nr </w:t>
      </w:r>
      <w:r w:rsidRPr="00CC057F">
        <w:t>648/2012 (ELT L 150, 7.6. 2019, lk 1).</w:t>
      </w:r>
    </w:p>
  </w:footnote>
  <w:footnote w:id="4">
    <w:p w14:paraId="7FB27E48" w14:textId="77777777" w:rsidR="00911C0D" w:rsidRPr="00CC057F" w:rsidRDefault="00911C0D" w:rsidP="00911C0D">
      <w:pPr>
        <w:pStyle w:val="FootnoteText"/>
      </w:pPr>
      <w:r w:rsidRPr="00CC057F">
        <w:rPr>
          <w:rStyle w:val="FootnoteReference"/>
        </w:rPr>
        <w:footnoteRef/>
      </w:r>
      <w:r w:rsidRPr="00CC057F">
        <w:tab/>
        <w:t>Euroopa Parlamendi ja nõukogu 20. mai 2019. aasta direktiiv (EL) 2019/879, millega muudetakse direktiivi 2014/59/EL seoses krediidiasutuste ja investeerimisühingute kahjumikatmis- ja rekapitaliseerimisvõimega ning direktiivi 98/26/EÜ (ELT L 150, 7.6.2019, lk 296).</w:t>
      </w:r>
    </w:p>
  </w:footnote>
  <w:footnote w:id="5">
    <w:p w14:paraId="7DA394B3" w14:textId="02D3CC85" w:rsidR="00911C0D" w:rsidRPr="00CC057F" w:rsidRDefault="00911C0D" w:rsidP="00911C0D">
      <w:pPr>
        <w:pStyle w:val="FootnoteText"/>
      </w:pPr>
      <w:r w:rsidRPr="00CC057F">
        <w:rPr>
          <w:rStyle w:val="FootnoteReference"/>
        </w:rPr>
        <w:footnoteRef/>
      </w:r>
      <w:r w:rsidRPr="00CC057F">
        <w:tab/>
        <w:t>Euroopa Parlamendi ja nõukogu 24. novembri 2010. aasta määrus (EL) nr 1093/2010, millega asutatakse Euroopa Järelevalveasutus (Euroopa Pangandusjärelevalve), muudetakse otsust nr 716/2009/EÜ ning tunnistatakse kehtetuks komisjoni otsus 2009/78/EÜ (ELT L 331, 15.12.2010, lk 12).</w:t>
      </w:r>
    </w:p>
  </w:footnote>
  <w:footnote w:id="6">
    <w:p w14:paraId="078CA3AC" w14:textId="77777777" w:rsidR="00911C0D" w:rsidRPr="00CC057F" w:rsidRDefault="00911C0D" w:rsidP="00911C0D">
      <w:pPr>
        <w:pStyle w:val="FootnoteText"/>
      </w:pPr>
      <w:r w:rsidRPr="00CC057F">
        <w:rPr>
          <w:rStyle w:val="FootnoteReference"/>
        </w:rPr>
        <w:footnoteRef/>
      </w:r>
      <w:r w:rsidRPr="00CC057F">
        <w:tab/>
        <w:t>Euroopa Parlamendi ja nõukogu 26. juuni 2013. aasta direktiiv 2013/36/EL, mis käsitleb krediidiasutuste tegevuse alustamise tingimusi ning krediidiasutuste ja investeerimisühingute usaldatavusnõuete täitmise järelevalvet, millega muudetakse direktiivi 2002/87/EÜ ning millega tunnistatakse kehtetuks direktiivid 2006/48/EÜ ja 2006/49/EÜ (ELT L 176, 27.6.2013, lk 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5"/>
  </w:num>
  <w:num w:numId="30">
    <w:abstractNumId w:val="4"/>
  </w:num>
  <w:num w:numId="31">
    <w:abstractNumId w:val="3"/>
  </w:num>
  <w:num w:numId="32">
    <w:abstractNumId w:val="6"/>
  </w:num>
  <w:num w:numId="33">
    <w:abstractNumId w:val="2"/>
  </w:num>
  <w:num w:numId="34">
    <w:abstractNumId w:val="1"/>
  </w:num>
  <w:num w:numId="35">
    <w:abstractNumId w:val="0"/>
  </w:num>
  <w:num w:numId="36">
    <w:abstractNumId w:val="21"/>
    <w:lvlOverride w:ilvl="0">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2"/>
  </w:num>
  <w:num w:numId="41">
    <w:abstractNumId w:val="20"/>
  </w:num>
  <w:num w:numId="42">
    <w:abstractNumId w:val="11"/>
  </w:num>
  <w:num w:numId="43">
    <w:abstractNumId w:val="13"/>
  </w:num>
  <w:num w:numId="44">
    <w:abstractNumId w:val="9"/>
  </w:num>
  <w:num w:numId="45">
    <w:abstractNumId w:val="19"/>
  </w:num>
  <w:num w:numId="46">
    <w:abstractNumId w:val="8"/>
  </w:num>
  <w:num w:numId="47">
    <w:abstractNumId w:val="14"/>
  </w:num>
  <w:num w:numId="48">
    <w:abstractNumId w:val="16"/>
  </w:num>
  <w:num w:numId="49">
    <w:abstractNumId w:val="17"/>
  </w:num>
  <w:num w:numId="50">
    <w:abstractNumId w:val="10"/>
  </w:num>
  <w:num w:numId="51">
    <w:abstractNumId w:val="15"/>
  </w:num>
  <w:num w:numId="5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1 10:56:32"/>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76B53FB7-55C8-4C8D-B0F4-562FAF1878CF"/>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üssel,"/>
    <w:docVar w:name="LW_EMISSION_SUFFIX" w:val=" "/>
    <w:docVar w:name="LW_ID_DOCMODEL" w:val="SJ-004"/>
    <w:docVar w:name="LW_ID_DOCSIGNATURE" w:val="SJ-004"/>
    <w:docVar w:name="LW_ID_DOCSTRUCTURE" w:val="COM/AA"/>
    <w:docVar w:name="LW_ID_DOCTYPE" w:val="SJ-004"/>
    <w:docVar w:name="LW_INTERETEEE" w:val="(EMPs kohaldatav tekst)"/>
    <w:docVar w:name="LW_INTERETEEE.CP" w:val="(EMPs kohaldatav tekst)"/>
    <w:docVar w:name="LW_LANGUE" w:val="ET"/>
    <w:docVar w:name="LW_LANGUESFAISANTFOI.CP" w:val="&lt;UNUSED&gt;"/>
    <w:docVar w:name="LW_LEVEL_OF_SENSITIVITY" w:val="Standard treatment"/>
    <w:docVar w:name="LW_NOM.INST" w:val="EUROOPA KOMISJO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millega kehtestatakse rakenduslikud tehnilised standardid Euroopa Parlamendi ja nõukogu määruse (EL) nr 575/2013 ning Euroopa Parlamendi ja nõukogu direktiivi 2014/59/EL kohaldamiseks seoses omavahendite ja kõlblike kohustuste miinimumnõude täitmise järelevalvelise aruandluse ja avalikustamisega"/>
    <w:docVar w:name="LW_TITRE.OBJ.CP" w:val="millega kehtestatakse rakenduslikud tehnilised standardid Euroopa Parlamendi ja nõukogu määruse (EL) nr 575/2013 ning Euroopa Parlamendi ja nõukogu direktiivi 2014/59/EL kohaldamiseks seoses omavahendite ja kõlblike kohustuste miinimumnõude täitmise järelevalvelise aruandluse ja avalikustamisega"/>
    <w:docVar w:name="LW_TYPE.DOC" w:val="KOMISJONI RAKENDUSMÄÄRUS (EL) \u8230?/\u8230?,"/>
    <w:docVar w:name="LW_TYPE.DOC.CP" w:val="KOMISJONI RAKENDUSMÄÄRUS (EL) \u8230?/\u8230?,"/>
  </w:docVars>
  <w:rsids>
    <w:rsidRoot w:val="00911C0D"/>
    <w:rsid w:val="00002DE2"/>
    <w:rsid w:val="00022330"/>
    <w:rsid w:val="000328C7"/>
    <w:rsid w:val="00050379"/>
    <w:rsid w:val="00080A21"/>
    <w:rsid w:val="000A7517"/>
    <w:rsid w:val="000E198E"/>
    <w:rsid w:val="000F5664"/>
    <w:rsid w:val="000F730F"/>
    <w:rsid w:val="00114389"/>
    <w:rsid w:val="00144CAD"/>
    <w:rsid w:val="00146633"/>
    <w:rsid w:val="0017105F"/>
    <w:rsid w:val="001B26AE"/>
    <w:rsid w:val="001C2816"/>
    <w:rsid w:val="001D50FA"/>
    <w:rsid w:val="001E0321"/>
    <w:rsid w:val="001F6393"/>
    <w:rsid w:val="00213D10"/>
    <w:rsid w:val="00221C95"/>
    <w:rsid w:val="00223BDA"/>
    <w:rsid w:val="00232E98"/>
    <w:rsid w:val="00252F49"/>
    <w:rsid w:val="002569B8"/>
    <w:rsid w:val="00273AFD"/>
    <w:rsid w:val="002A6E40"/>
    <w:rsid w:val="0038586F"/>
    <w:rsid w:val="003D1FF4"/>
    <w:rsid w:val="003D53DE"/>
    <w:rsid w:val="00403FFA"/>
    <w:rsid w:val="004A5441"/>
    <w:rsid w:val="004D75CF"/>
    <w:rsid w:val="00501159"/>
    <w:rsid w:val="00515FD9"/>
    <w:rsid w:val="00534AD8"/>
    <w:rsid w:val="00576101"/>
    <w:rsid w:val="00595F73"/>
    <w:rsid w:val="005A470A"/>
    <w:rsid w:val="005C127F"/>
    <w:rsid w:val="005F390A"/>
    <w:rsid w:val="0060509B"/>
    <w:rsid w:val="006142ED"/>
    <w:rsid w:val="006601FC"/>
    <w:rsid w:val="0066444E"/>
    <w:rsid w:val="00693D6D"/>
    <w:rsid w:val="0069401E"/>
    <w:rsid w:val="006E792A"/>
    <w:rsid w:val="0070128F"/>
    <w:rsid w:val="00786D48"/>
    <w:rsid w:val="007B47A6"/>
    <w:rsid w:val="007C06F6"/>
    <w:rsid w:val="007D06B9"/>
    <w:rsid w:val="007D3252"/>
    <w:rsid w:val="00867BAC"/>
    <w:rsid w:val="00873911"/>
    <w:rsid w:val="00896C94"/>
    <w:rsid w:val="008B3AF9"/>
    <w:rsid w:val="008E0D6D"/>
    <w:rsid w:val="008E17B7"/>
    <w:rsid w:val="008F166D"/>
    <w:rsid w:val="00911C0D"/>
    <w:rsid w:val="00924B50"/>
    <w:rsid w:val="00936C22"/>
    <w:rsid w:val="00941AB5"/>
    <w:rsid w:val="0094313C"/>
    <w:rsid w:val="00947623"/>
    <w:rsid w:val="009606FE"/>
    <w:rsid w:val="00986B33"/>
    <w:rsid w:val="00987AD5"/>
    <w:rsid w:val="009B7138"/>
    <w:rsid w:val="009F1589"/>
    <w:rsid w:val="00A242DE"/>
    <w:rsid w:val="00A25281"/>
    <w:rsid w:val="00A72CC5"/>
    <w:rsid w:val="00A92F78"/>
    <w:rsid w:val="00AA2E8A"/>
    <w:rsid w:val="00AC0214"/>
    <w:rsid w:val="00AD067C"/>
    <w:rsid w:val="00B076B3"/>
    <w:rsid w:val="00B1066F"/>
    <w:rsid w:val="00B129CF"/>
    <w:rsid w:val="00B15ABD"/>
    <w:rsid w:val="00B26F22"/>
    <w:rsid w:val="00B378A2"/>
    <w:rsid w:val="00B51552"/>
    <w:rsid w:val="00BE246D"/>
    <w:rsid w:val="00BF17AA"/>
    <w:rsid w:val="00C13087"/>
    <w:rsid w:val="00C20744"/>
    <w:rsid w:val="00C24556"/>
    <w:rsid w:val="00C3703D"/>
    <w:rsid w:val="00C86532"/>
    <w:rsid w:val="00C9260D"/>
    <w:rsid w:val="00C95437"/>
    <w:rsid w:val="00CC057F"/>
    <w:rsid w:val="00CC6A7B"/>
    <w:rsid w:val="00CD7950"/>
    <w:rsid w:val="00D05552"/>
    <w:rsid w:val="00D104BF"/>
    <w:rsid w:val="00D4070C"/>
    <w:rsid w:val="00D56ED7"/>
    <w:rsid w:val="00D653C4"/>
    <w:rsid w:val="00D80CBF"/>
    <w:rsid w:val="00DB7093"/>
    <w:rsid w:val="00DC0EF5"/>
    <w:rsid w:val="00DC7D9F"/>
    <w:rsid w:val="00DD5153"/>
    <w:rsid w:val="00E0465B"/>
    <w:rsid w:val="00E31F5B"/>
    <w:rsid w:val="00E34FF4"/>
    <w:rsid w:val="00E65C7F"/>
    <w:rsid w:val="00EA09E4"/>
    <w:rsid w:val="00EC6E1E"/>
    <w:rsid w:val="00EE12E2"/>
    <w:rsid w:val="00EF62B3"/>
    <w:rsid w:val="00F20062"/>
    <w:rsid w:val="00F45263"/>
    <w:rsid w:val="00F82D09"/>
    <w:rsid w:val="00FB396C"/>
    <w:rsid w:val="00FB639E"/>
    <w:rsid w:val="00FC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rsid w:val="009B7138"/>
    <w:pPr>
      <w:keepNext/>
      <w:numPr>
        <w:numId w:val="4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4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4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4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28"/>
      </w:numPr>
      <w:contextualSpacing/>
    </w:pPr>
  </w:style>
  <w:style w:type="paragraph" w:styleId="ListBullet2">
    <w:name w:val="List Bullet 2"/>
    <w:basedOn w:val="Normal"/>
    <w:uiPriority w:val="99"/>
    <w:semiHidden/>
    <w:unhideWhenUsed/>
    <w:rsid w:val="001B26AE"/>
    <w:pPr>
      <w:numPr>
        <w:numId w:val="29"/>
      </w:numPr>
      <w:contextualSpacing/>
    </w:pPr>
  </w:style>
  <w:style w:type="paragraph" w:styleId="ListBullet3">
    <w:name w:val="List Bullet 3"/>
    <w:basedOn w:val="Normal"/>
    <w:uiPriority w:val="99"/>
    <w:semiHidden/>
    <w:unhideWhenUsed/>
    <w:rsid w:val="001B26AE"/>
    <w:pPr>
      <w:numPr>
        <w:numId w:val="30"/>
      </w:numPr>
      <w:contextualSpacing/>
    </w:pPr>
  </w:style>
  <w:style w:type="paragraph" w:styleId="ListBullet4">
    <w:name w:val="List Bullet 4"/>
    <w:basedOn w:val="Normal"/>
    <w:uiPriority w:val="99"/>
    <w:semiHidden/>
    <w:unhideWhenUsed/>
    <w:rsid w:val="001B26AE"/>
    <w:pPr>
      <w:numPr>
        <w:numId w:val="31"/>
      </w:numPr>
      <w:contextualSpacing/>
    </w:pPr>
  </w:style>
  <w:style w:type="paragraph" w:styleId="ListNumber">
    <w:name w:val="List Number"/>
    <w:basedOn w:val="Normal"/>
    <w:uiPriority w:val="99"/>
    <w:semiHidden/>
    <w:unhideWhenUsed/>
    <w:rsid w:val="001B26AE"/>
    <w:pPr>
      <w:numPr>
        <w:numId w:val="32"/>
      </w:numPr>
      <w:contextualSpacing/>
    </w:pPr>
  </w:style>
  <w:style w:type="paragraph" w:styleId="ListNumber2">
    <w:name w:val="List Number 2"/>
    <w:basedOn w:val="Normal"/>
    <w:uiPriority w:val="99"/>
    <w:semiHidden/>
    <w:unhideWhenUsed/>
    <w:rsid w:val="001B26AE"/>
    <w:pPr>
      <w:numPr>
        <w:numId w:val="33"/>
      </w:numPr>
      <w:contextualSpacing/>
    </w:pPr>
  </w:style>
  <w:style w:type="paragraph" w:styleId="ListNumber3">
    <w:name w:val="List Number 3"/>
    <w:basedOn w:val="Normal"/>
    <w:uiPriority w:val="99"/>
    <w:semiHidden/>
    <w:unhideWhenUsed/>
    <w:rsid w:val="001B26AE"/>
    <w:pPr>
      <w:numPr>
        <w:numId w:val="34"/>
      </w:numPr>
      <w:contextualSpacing/>
    </w:pPr>
  </w:style>
  <w:style w:type="paragraph" w:styleId="ListNumber4">
    <w:name w:val="List Number 4"/>
    <w:basedOn w:val="Normal"/>
    <w:uiPriority w:val="99"/>
    <w:semiHidden/>
    <w:unhideWhenUsed/>
    <w:rsid w:val="001B26AE"/>
    <w:pPr>
      <w:numPr>
        <w:numId w:val="35"/>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et-EE"/>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et-EE"/>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9"/>
      </w:numPr>
    </w:pPr>
  </w:style>
  <w:style w:type="paragraph" w:customStyle="1" w:styleId="Tiret1">
    <w:name w:val="Tiret 1"/>
    <w:basedOn w:val="Point1"/>
    <w:rsid w:val="009B7138"/>
    <w:pPr>
      <w:numPr>
        <w:numId w:val="40"/>
      </w:numPr>
    </w:pPr>
  </w:style>
  <w:style w:type="paragraph" w:customStyle="1" w:styleId="Tiret2">
    <w:name w:val="Tiret 2"/>
    <w:basedOn w:val="Point2"/>
    <w:rsid w:val="009B7138"/>
    <w:pPr>
      <w:numPr>
        <w:numId w:val="41"/>
      </w:numPr>
    </w:pPr>
  </w:style>
  <w:style w:type="paragraph" w:customStyle="1" w:styleId="Tiret3">
    <w:name w:val="Tiret 3"/>
    <w:basedOn w:val="Point3"/>
    <w:rsid w:val="009B7138"/>
    <w:pPr>
      <w:numPr>
        <w:numId w:val="42"/>
      </w:numPr>
    </w:pPr>
  </w:style>
  <w:style w:type="paragraph" w:customStyle="1" w:styleId="Tiret4">
    <w:name w:val="Tiret 4"/>
    <w:basedOn w:val="Point4"/>
    <w:rsid w:val="009B7138"/>
    <w:pPr>
      <w:numPr>
        <w:numId w:val="4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44"/>
      </w:numPr>
    </w:pPr>
  </w:style>
  <w:style w:type="paragraph" w:customStyle="1" w:styleId="NumPar2">
    <w:name w:val="NumPar 2"/>
    <w:basedOn w:val="Normal"/>
    <w:next w:val="Text1"/>
    <w:rsid w:val="009B7138"/>
    <w:pPr>
      <w:numPr>
        <w:ilvl w:val="1"/>
        <w:numId w:val="44"/>
      </w:numPr>
    </w:pPr>
  </w:style>
  <w:style w:type="paragraph" w:customStyle="1" w:styleId="NumPar3">
    <w:name w:val="NumPar 3"/>
    <w:basedOn w:val="Normal"/>
    <w:next w:val="Text1"/>
    <w:rsid w:val="009B7138"/>
    <w:pPr>
      <w:numPr>
        <w:ilvl w:val="2"/>
        <w:numId w:val="44"/>
      </w:numPr>
    </w:pPr>
  </w:style>
  <w:style w:type="paragraph" w:customStyle="1" w:styleId="NumPar4">
    <w:name w:val="NumPar 4"/>
    <w:basedOn w:val="Normal"/>
    <w:next w:val="Text1"/>
    <w:rsid w:val="009B7138"/>
    <w:pPr>
      <w:numPr>
        <w:ilvl w:val="3"/>
        <w:numId w:val="4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46"/>
      </w:numPr>
    </w:pPr>
  </w:style>
  <w:style w:type="paragraph" w:customStyle="1" w:styleId="Point1number">
    <w:name w:val="Point 1 (number)"/>
    <w:basedOn w:val="Normal"/>
    <w:rsid w:val="009B7138"/>
    <w:pPr>
      <w:numPr>
        <w:ilvl w:val="2"/>
        <w:numId w:val="46"/>
      </w:numPr>
    </w:pPr>
  </w:style>
  <w:style w:type="paragraph" w:customStyle="1" w:styleId="Point2number">
    <w:name w:val="Point 2 (number)"/>
    <w:basedOn w:val="Normal"/>
    <w:rsid w:val="009B7138"/>
    <w:pPr>
      <w:numPr>
        <w:ilvl w:val="4"/>
        <w:numId w:val="46"/>
      </w:numPr>
    </w:pPr>
  </w:style>
  <w:style w:type="paragraph" w:customStyle="1" w:styleId="Point3number">
    <w:name w:val="Point 3 (number)"/>
    <w:basedOn w:val="Normal"/>
    <w:rsid w:val="009B7138"/>
    <w:pPr>
      <w:numPr>
        <w:ilvl w:val="6"/>
        <w:numId w:val="46"/>
      </w:numPr>
    </w:pPr>
  </w:style>
  <w:style w:type="paragraph" w:customStyle="1" w:styleId="Point0letter">
    <w:name w:val="Point 0 (letter)"/>
    <w:basedOn w:val="Normal"/>
    <w:rsid w:val="009B7138"/>
    <w:pPr>
      <w:numPr>
        <w:ilvl w:val="1"/>
        <w:numId w:val="46"/>
      </w:numPr>
    </w:pPr>
  </w:style>
  <w:style w:type="paragraph" w:customStyle="1" w:styleId="Point1letter">
    <w:name w:val="Point 1 (letter)"/>
    <w:basedOn w:val="Normal"/>
    <w:rsid w:val="009B7138"/>
    <w:pPr>
      <w:numPr>
        <w:ilvl w:val="3"/>
        <w:numId w:val="46"/>
      </w:numPr>
    </w:pPr>
  </w:style>
  <w:style w:type="paragraph" w:customStyle="1" w:styleId="Point2letter">
    <w:name w:val="Point 2 (letter)"/>
    <w:basedOn w:val="Normal"/>
    <w:rsid w:val="009B7138"/>
    <w:pPr>
      <w:numPr>
        <w:ilvl w:val="5"/>
        <w:numId w:val="46"/>
      </w:numPr>
    </w:pPr>
  </w:style>
  <w:style w:type="paragraph" w:customStyle="1" w:styleId="Point3letter">
    <w:name w:val="Point 3 (letter)"/>
    <w:basedOn w:val="Normal"/>
    <w:rsid w:val="009B7138"/>
    <w:pPr>
      <w:numPr>
        <w:ilvl w:val="7"/>
        <w:numId w:val="46"/>
      </w:numPr>
    </w:pPr>
  </w:style>
  <w:style w:type="paragraph" w:customStyle="1" w:styleId="Point4letter">
    <w:name w:val="Point 4 (letter)"/>
    <w:basedOn w:val="Normal"/>
    <w:rsid w:val="009B7138"/>
    <w:pPr>
      <w:numPr>
        <w:ilvl w:val="8"/>
        <w:numId w:val="46"/>
      </w:numPr>
    </w:pPr>
  </w:style>
  <w:style w:type="paragraph" w:customStyle="1" w:styleId="Bullet0">
    <w:name w:val="Bullet 0"/>
    <w:basedOn w:val="Normal"/>
    <w:rsid w:val="009B7138"/>
    <w:pPr>
      <w:numPr>
        <w:numId w:val="47"/>
      </w:numPr>
    </w:pPr>
  </w:style>
  <w:style w:type="paragraph" w:customStyle="1" w:styleId="Bullet1">
    <w:name w:val="Bullet 1"/>
    <w:basedOn w:val="Normal"/>
    <w:rsid w:val="009B7138"/>
    <w:pPr>
      <w:numPr>
        <w:numId w:val="48"/>
      </w:numPr>
    </w:pPr>
  </w:style>
  <w:style w:type="paragraph" w:customStyle="1" w:styleId="Bullet2">
    <w:name w:val="Bullet 2"/>
    <w:basedOn w:val="Normal"/>
    <w:rsid w:val="009B7138"/>
    <w:pPr>
      <w:numPr>
        <w:numId w:val="49"/>
      </w:numPr>
    </w:pPr>
  </w:style>
  <w:style w:type="paragraph" w:customStyle="1" w:styleId="Bullet3">
    <w:name w:val="Bullet 3"/>
    <w:basedOn w:val="Normal"/>
    <w:rsid w:val="009B7138"/>
    <w:pPr>
      <w:numPr>
        <w:numId w:val="50"/>
      </w:numPr>
    </w:pPr>
  </w:style>
  <w:style w:type="paragraph" w:customStyle="1" w:styleId="Bullet4">
    <w:name w:val="Bullet 4"/>
    <w:basedOn w:val="Normal"/>
    <w:rsid w:val="009B7138"/>
    <w:pPr>
      <w:numPr>
        <w:numId w:val="5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5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13</Pages>
  <Words>3904</Words>
  <Characters>28462</Characters>
  <Application>Microsoft Office Word</Application>
  <DocSecurity>0</DocSecurity>
  <Lines>490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2021-05-18T10:45:00Z</dcterms:created>
  <dcterms:modified xsi:type="dcterms:W3CDTF">2021-05-18T10:45:00Z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