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LT</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II PRIEDAS</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INFORMACIJOS APIE MINIMALŲ NUOSAVŲ LĖŠŲ IR TINKAMŲ ĮSIPAREIGOJIMŲ REIKALAVIMĄ TEIKIMAS. NURODYMAI</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I DALIS.</w:t>
      </w:r>
      <w:bookmarkEnd w:id="3"/>
      <w:r>
        <w:rPr>
          <w:rFonts w:ascii="Times New Roman" w:hAnsi="Times New Roman"/>
        </w:rPr>
        <w:t xml:space="preserve"> BENDRIEJI NURODYMAI</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Struktūra ir tvarka</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Struktūra</w:t>
      </w:r>
      <w:bookmarkEnd w:id="10"/>
      <w:bookmarkEnd w:id="11"/>
      <w:bookmarkEnd w:id="12"/>
      <w:bookmarkEnd w:id="13"/>
    </w:p>
    <w:p w14:paraId="2AC3B1BF" w14:textId="310ACCAB" w:rsidR="002648B0" w:rsidRPr="001562B3" w:rsidRDefault="00102048" w:rsidP="00E05895">
      <w:pPr>
        <w:pStyle w:val="InstructionsText2"/>
      </w:pPr>
      <w:r>
        <w:t>Šią informacijos apie MREL ir TLAC teikimo sistemą sudaro keturios formų grupės:</w:t>
      </w:r>
    </w:p>
    <w:p w14:paraId="3086B9DD" w14:textId="5E78D7ED" w:rsidR="002648B0" w:rsidRPr="001562B3" w:rsidRDefault="00142215" w:rsidP="008E501F">
      <w:pPr>
        <w:pStyle w:val="InstructionsText2"/>
        <w:numPr>
          <w:ilvl w:val="1"/>
          <w:numId w:val="15"/>
        </w:numPr>
      </w:pPr>
      <w:r>
        <w:t>sumos: MREL ir TLAC pagrindiniai parametrai;</w:t>
      </w:r>
    </w:p>
    <w:p w14:paraId="3B952615" w14:textId="5D008287" w:rsidR="00436204" w:rsidRPr="001562B3" w:rsidRDefault="00142215">
      <w:pPr>
        <w:pStyle w:val="InstructionsText2"/>
        <w:numPr>
          <w:ilvl w:val="1"/>
          <w:numId w:val="15"/>
        </w:numPr>
      </w:pPr>
      <w:r>
        <w:t>sudėtis ir terminas;</w:t>
      </w:r>
    </w:p>
    <w:p w14:paraId="63E2C274" w14:textId="67BC4149" w:rsidR="002648B0" w:rsidRPr="001562B3" w:rsidRDefault="00102048">
      <w:pPr>
        <w:pStyle w:val="InstructionsText2"/>
        <w:numPr>
          <w:ilvl w:val="1"/>
          <w:numId w:val="15"/>
        </w:numPr>
      </w:pPr>
      <w:r>
        <w:t>kreditorių eiliškumas;</w:t>
      </w:r>
    </w:p>
    <w:p w14:paraId="0D4AB948" w14:textId="42C1A351" w:rsidR="002648B0" w:rsidRPr="001562B3" w:rsidRDefault="00142215">
      <w:pPr>
        <w:pStyle w:val="InstructionsText2"/>
        <w:numPr>
          <w:ilvl w:val="1"/>
          <w:numId w:val="15"/>
        </w:numPr>
      </w:pPr>
      <w:r>
        <w:t>konkrečios sutarties informacija.</w:t>
      </w:r>
    </w:p>
    <w:p w14:paraId="0F36F124" w14:textId="59ECD771" w:rsidR="002648B0" w:rsidRPr="001562B3" w:rsidRDefault="002648B0">
      <w:pPr>
        <w:pStyle w:val="InstructionsText2"/>
      </w:pPr>
      <w:r>
        <w:t>Kiekvienai formai pateikiamos nuorodos į teisės aktus. Išsamesnė informacija apie bendresnius informacijos teikimo pagal kiekvieną formų rinkinį aspektus ir nurodymai dėl konkrečių pozicijų yra pateikti šioje reglamento dalyje.</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Numeravimo tvarka</w:t>
      </w:r>
      <w:bookmarkEnd w:id="16"/>
      <w:bookmarkEnd w:id="17"/>
      <w:bookmarkEnd w:id="18"/>
      <w:bookmarkEnd w:id="19"/>
    </w:p>
    <w:p w14:paraId="66584242" w14:textId="63AA7C63" w:rsidR="002648B0" w:rsidRPr="001562B3" w:rsidRDefault="002648B0" w:rsidP="00E05895">
      <w:pPr>
        <w:pStyle w:val="InstructionsText2"/>
      </w:pPr>
      <w:r>
        <w:t>Dokumente nurodant formų skiltis, eilutes ir laukelius taikoma a–d punktuose nurodyta žymėjimo tvarka. Tie skaitiniai kodai plačiai naudojami patvirtinimo taisyklėse, apibrėžtose pagal III priedą.</w:t>
      </w:r>
    </w:p>
    <w:p w14:paraId="62F2C4B4" w14:textId="37DCE2FC" w:rsidR="005643EA" w:rsidRPr="001562B3" w:rsidRDefault="00142215" w:rsidP="008E501F">
      <w:pPr>
        <w:pStyle w:val="InstructionsText2"/>
        <w:numPr>
          <w:ilvl w:val="1"/>
          <w:numId w:val="15"/>
        </w:numPr>
      </w:pPr>
      <w:r>
        <w:t>laikomasi šios bendros žymėjimo tvarkos: {Forma;Eilutė;Skiltis};</w:t>
      </w:r>
    </w:p>
    <w:p w14:paraId="7FB9131E" w14:textId="0B707586" w:rsidR="007D41F2" w:rsidRPr="001562B3" w:rsidRDefault="00142215">
      <w:pPr>
        <w:pStyle w:val="InstructionsText2"/>
        <w:numPr>
          <w:ilvl w:val="1"/>
          <w:numId w:val="15"/>
        </w:numPr>
      </w:pPr>
      <w:r>
        <w:t>formoje esančios nuorodos neapima nuorodos į formą: {Eilutė;Skiltis};</w:t>
      </w:r>
    </w:p>
    <w:p w14:paraId="07D8D5F5" w14:textId="74593C91" w:rsidR="007D41F2" w:rsidRPr="001562B3" w:rsidRDefault="00142215">
      <w:pPr>
        <w:pStyle w:val="InstructionsText2"/>
        <w:numPr>
          <w:ilvl w:val="1"/>
          <w:numId w:val="15"/>
        </w:numPr>
      </w:pPr>
      <w:r>
        <w:t>kai formą sudaro tik viena skiltis, nurodomos tik eilutės: {Forma;Eilutė};</w:t>
      </w:r>
    </w:p>
    <w:p w14:paraId="690EFD8E" w14:textId="1E756AEF" w:rsidR="002648B0" w:rsidRPr="001562B3" w:rsidRDefault="00BD4614">
      <w:pPr>
        <w:pStyle w:val="InstructionsText2"/>
        <w:numPr>
          <w:ilvl w:val="1"/>
          <w:numId w:val="15"/>
        </w:numPr>
      </w:pPr>
      <w:r>
        <w:t>žvaigždutės ženklas naudojamas, kai norima pažymėti, kad nuoroda apima pirmiau nurodytas eilutes arba skiltis.</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Ženklų tvarka</w:t>
      </w:r>
      <w:bookmarkEnd w:id="14"/>
      <w:bookmarkEnd w:id="15"/>
      <w:bookmarkEnd w:id="20"/>
      <w:bookmarkEnd w:id="21"/>
      <w:bookmarkEnd w:id="22"/>
      <w:bookmarkEnd w:id="23"/>
    </w:p>
    <w:p w14:paraId="5CD09166" w14:textId="3D59906B" w:rsidR="002648B0" w:rsidRPr="001562B3" w:rsidRDefault="002648B0" w:rsidP="00E05895">
      <w:pPr>
        <w:pStyle w:val="InstructionsText2"/>
      </w:pPr>
      <w:r>
        <w:t xml:space="preserve">Visos sumos, dėl kurių nuosavos lėšos ir tinkami įsipareigojimai, pagal riziką įvertintų pozicijų sumos, sverto koeficiento pozicijų matas arba reikalavimai padidėja, nurodomos teigiamu skaičiumi. Priešingai – visos sumos, dėl kurių nuosavos lėšos ir tinkami įsipareigojimai, pagal riziką įvertintų pozicijų sumos, </w:t>
      </w:r>
      <w:r>
        <w:lastRenderedPageBreak/>
        <w:t>sverto koeficiento pozicijų matas arba reikalavimai sumažėja, nurodomos neigiamu skaičiumi. Prieš straipsnio pavadinimą įrašytas minuso ženklas (−) reiškia prielaidą, kad tame straipsnyje teigiamas skaičius nebus rašomas.</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t>Santrumpos</w:t>
      </w:r>
      <w:bookmarkEnd w:id="24"/>
      <w:bookmarkEnd w:id="25"/>
    </w:p>
    <w:p w14:paraId="246BFF93" w14:textId="300638DB" w:rsidR="007D41F2" w:rsidRPr="001562B3" w:rsidRDefault="007D41F2" w:rsidP="00E05895">
      <w:pPr>
        <w:pStyle w:val="InstructionsText2"/>
      </w:pPr>
      <w:r>
        <w:t>Šio reglamento prieduose vartojamos šios santrumpos:</w:t>
      </w:r>
    </w:p>
    <w:p w14:paraId="570D1886" w14:textId="160507E7" w:rsidR="007A0406" w:rsidRPr="001562B3" w:rsidRDefault="006876BA">
      <w:pPr>
        <w:pStyle w:val="InstructionsText2"/>
        <w:numPr>
          <w:ilvl w:val="1"/>
          <w:numId w:val="15"/>
        </w:numPr>
      </w:pPr>
      <w:r>
        <w:t xml:space="preserve"> MREL – minimalus nuosavų lėšų ir tinkamų įsipareigojimų reikalavimas pagal Direktyvos 2014/59/ES</w:t>
      </w:r>
      <w:r>
        <w:rPr>
          <w:rStyle w:val="FootnoteReference"/>
        </w:rPr>
        <w:footnoteReference w:id="2"/>
      </w:r>
      <w:r>
        <w:t xml:space="preserve"> 45 straipsnį;</w:t>
      </w:r>
    </w:p>
    <w:p w14:paraId="57536738" w14:textId="2A7AE090" w:rsidR="007A0406" w:rsidRPr="001562B3" w:rsidRDefault="007A0406">
      <w:pPr>
        <w:pStyle w:val="InstructionsText2"/>
        <w:numPr>
          <w:ilvl w:val="1"/>
          <w:numId w:val="15"/>
        </w:numPr>
      </w:pPr>
      <w:r>
        <w:t>TLAC – pasaulinės sisteminės svarbos įstaigų (G-SII) nuosavų lėšų ir tinkamų įsipareigojimų reikalavimai pagal Reglamento (ES) Nr. 575/2013</w:t>
      </w:r>
      <w:r>
        <w:rPr>
          <w:rStyle w:val="FootnoteReference"/>
        </w:rPr>
        <w:footnoteReference w:id="3"/>
      </w:r>
      <w:r>
        <w:t xml:space="preserve"> 92a straipsnį;</w:t>
      </w:r>
    </w:p>
    <w:p w14:paraId="2F8292A9" w14:textId="510A8DF1" w:rsidR="005C73C9" w:rsidRPr="001562B3" w:rsidRDefault="005C73C9">
      <w:pPr>
        <w:pStyle w:val="InstructionsText2"/>
        <w:numPr>
          <w:ilvl w:val="1"/>
          <w:numId w:val="15"/>
        </w:numPr>
      </w:pPr>
      <w:r>
        <w:t>vidinis TLAC – ne ES G-SII nuosavų lėšų ir tinkamų įsipareigojimų reikalavimas pagal Reglamento (ES) Nr. 575/2013 92b straipsnį;</w:t>
      </w:r>
    </w:p>
    <w:p w14:paraId="20FFA708" w14:textId="3A916788" w:rsidR="008E638A" w:rsidRPr="001562B3" w:rsidRDefault="008E638A">
      <w:pPr>
        <w:pStyle w:val="InstructionsText2"/>
        <w:numPr>
          <w:ilvl w:val="1"/>
          <w:numId w:val="15"/>
        </w:numPr>
      </w:pPr>
      <w:r>
        <w:t>vidinis MREL – MREL, taikomas subjektams, kurie patys nėra pertvarkytini subjektai, pagal Direktyvos 2014/59/ES 45f straipsnį.</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II DALIS. SU FORMA SUSIJĘ NURODYMAI</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Sumos. M 01.00. MREL ir TLAC pagrindiniai parametrai (KM2)</w:t>
      </w:r>
      <w:bookmarkEnd w:id="30"/>
    </w:p>
    <w:p w14:paraId="33F01D1B" w14:textId="77777777" w:rsidR="00443BEC" w:rsidRPr="001562B3" w:rsidRDefault="00443BEC" w:rsidP="00C271AC">
      <w:pPr>
        <w:pStyle w:val="Numberedtilelevel1"/>
        <w:numPr>
          <w:ilvl w:val="1"/>
          <w:numId w:val="30"/>
        </w:numPr>
      </w:pPr>
      <w:bookmarkStart w:id="31" w:name="_Toc45558480"/>
      <w:r>
        <w:t>Bendrosios pastabos</w:t>
      </w:r>
      <w:bookmarkEnd w:id="31"/>
    </w:p>
    <w:p w14:paraId="6B3CD7BF" w14:textId="06246238" w:rsidR="00902E77" w:rsidRPr="001562B3" w:rsidRDefault="002701C8" w:rsidP="00E05895">
      <w:pPr>
        <w:pStyle w:val="InstructionsText2"/>
      </w:pPr>
      <w:r>
        <w:t>Skiltį, susijusią su minimaliu nuosavų lėšų ir tinkamų įsipareigojimų reikalavimu (MREL), pildo subjektai, kuriems pagal Direktyvos 2014/59/ES 45e straipsnį taikomas minimalus nuosavų lėšų ir tinkamų įsipareigojimų reikalavimas. Straipsnius, susijusius su G-SII nuosavų lėšų ir tinkamų įsipareigojimų reikalavimu (TLAC), pateikia tik tie subjektai, kurie privalo laikytis Reglamento (ES) Nr. 575/2013 92a straipsnio reikalavimo.</w:t>
      </w:r>
    </w:p>
    <w:p w14:paraId="507A7131" w14:textId="77167883" w:rsidR="00443BEC" w:rsidRPr="001562B3" w:rsidRDefault="00443BEC" w:rsidP="00443BEC">
      <w:pPr>
        <w:pStyle w:val="Numberedtilelevel1"/>
        <w:numPr>
          <w:ilvl w:val="1"/>
          <w:numId w:val="30"/>
        </w:numPr>
      </w:pPr>
      <w:bookmarkStart w:id="32" w:name="_Toc45558481"/>
      <w:r>
        <w:t>Nurodymai dėl konkrečių pozicijų</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Nuorodos į teisės aktus ir nurodymai</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Minimalus nuosavų lėšų ir tinkamų įsipareigojimų reikalavimas (MREL)</w:t>
            </w:r>
          </w:p>
          <w:p w14:paraId="2AD8D05B" w14:textId="3CD8A827" w:rsidR="00B24942" w:rsidRPr="001562B3" w:rsidRDefault="00B24942">
            <w:pPr>
              <w:pStyle w:val="InstructionsText"/>
            </w:pPr>
            <w:r>
              <w:t xml:space="preserve">Direktyvos 2014/59/ES </w:t>
            </w:r>
            <w:r>
              <w:rPr>
                <w:rStyle w:val="InstructionsTabelleberschrift"/>
                <w:rFonts w:ascii="Times New Roman" w:hAnsi="Times New Roman"/>
                <w:b w:val="0"/>
                <w:sz w:val="24"/>
                <w:u w:val="none"/>
              </w:rPr>
              <w:t>45 ir 45e straipsniai</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G-SII nuosavų lėšų ir tinkamų įsipareigojimų reikalavimas (TLAC)</w:t>
            </w:r>
          </w:p>
          <w:p w14:paraId="3CB88656" w14:textId="5EB7C7A4" w:rsidR="00B24942" w:rsidRPr="001562B3" w:rsidRDefault="00B24942">
            <w:pPr>
              <w:pStyle w:val="InstructionsText"/>
              <w:rPr>
                <w:rStyle w:val="InstructionsTabelleberschrift"/>
                <w:rFonts w:ascii="Times New Roman" w:hAnsi="Times New Roman"/>
                <w:sz w:val="24"/>
              </w:rPr>
            </w:pPr>
            <w:r>
              <w:t xml:space="preserve">Reglamento (ES) Nr. 575/2013 </w:t>
            </w:r>
            <w:r>
              <w:rPr>
                <w:rStyle w:val="FormatvorlageInstructionsTabelleText"/>
                <w:rFonts w:ascii="Times New Roman" w:hAnsi="Times New Roman"/>
                <w:sz w:val="24"/>
              </w:rPr>
              <w:t>92a straipsnis</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Bendra rizikos pozicijos suma ir bendras pozicijų matas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rizikos pozicijos suma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Direktyvos 2014/59/ES 45 straipsnio 2 dalies a punktas, Reglamento (ES) Nr. 575/2013 92 straipsnio 3 dalis.</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Šioje eilutėje pateikiama bendra rizikos pozicijos suma yra bendra rizikos pozicijos suma, kuri yra atitinkamai Direktyvos 2014/59/ES 45 straipsnio arba Reglamento (ES) Nr. 575/2013 92a straipsnio reikalavimų laikymosi pagrindas.</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Bendras pozicijų matas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Direktyvos 2014/59/ES 45 straipsnio 2 dalies b punktas, Reglamento (ES) Nr. 575/2013 429 straipsnio 4 dalis ir 429a straipsnis.</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Šioje eilutėje pateikiamas bendras pozicijų matas yra bendras pozicijų matas, kuris yra atitinkamai Direktyvos 2014/59/ES 45 straipsnio arba Reglamento (ES) Nr. 575/2013 92a straipsnio reikalavimų laikymosi pagrindas.</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Nuosavos lėšos ir tinkami įsipareigojimai</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Nuosavos lėšos ir tinkami įsipareigojimai</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Nuosavų lėšų ir tinkamų įsipareigojimų, įtraukiamų vykdant MREL, suma nurodoma kaip šių elementų suma:</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nuosavų lėšų, apibrėžtų Reglamento (ES) Nr. 575/2013 4 straipsnio 1 dalies 118 punkte ir 72 straipsnyje;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tinkamų įsipareigojimų, apibrėžtų Direktyvos 2014/59/ES 2 straipsnio 1 dalies 71a punkte.</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Nuosavų lėšų ir tinkamų įsipareigojimų, įtraukiamų vykdant G-SII nuosavų lėšų ir tinkamų įsipareigojimų reikalavimą (TLAC), suma yra Reglamento (ES) Nr. 575/2013 72l straipsnyje nurodyta suma, sudaryta iš:</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nuosavų lėšų, apibrėžtų Reglamento (ES) Nr. 575/2013 4 straipsnio 1 dalies 118 punkte ir 72 straipsnyje;</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tinkamų įsipareigojimų pagal Reglamento (ES) Nr. 575/2013 72k straipsnį.</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nuosavos lėšos ir subordinuotieji įsipareigojimai</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Nuosavų lėšų ir subordinuotųjų tinkamų įsipareigojimų, įtraukiamų vykdant MREL, suma nurodoma kaip šių elementų suma:</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nuosavų</w:t>
            </w:r>
            <w:r>
              <w:rPr>
                <w:rStyle w:val="FormatvorlageInstructionsTabelleText"/>
                <w:rFonts w:ascii="Times New Roman" w:hAnsi="Times New Roman"/>
                <w:sz w:val="24"/>
              </w:rPr>
              <w:t xml:space="preserve"> lėšų</w:t>
            </w:r>
            <w:r>
              <w:rPr>
                <w:rStyle w:val="InstructionsTabelleberschrift"/>
                <w:rFonts w:ascii="Times New Roman" w:hAnsi="Times New Roman"/>
                <w:b w:val="0"/>
                <w:sz w:val="24"/>
                <w:u w:val="none"/>
              </w:rPr>
              <w:t>, apibrėžtų</w:t>
            </w:r>
            <w:r>
              <w:rPr>
                <w:rStyle w:val="FormatvorlageInstructionsTabelleText"/>
                <w:rFonts w:ascii="Times New Roman" w:hAnsi="Times New Roman"/>
                <w:sz w:val="24"/>
              </w:rPr>
              <w:t xml:space="preserve"> Reglamento (ES) Nr. 575/2013</w:t>
            </w:r>
            <w:r>
              <w:rPr>
                <w:rStyle w:val="InstructionsTabelleberschrift"/>
                <w:rFonts w:ascii="Times New Roman" w:hAnsi="Times New Roman"/>
                <w:b w:val="0"/>
                <w:sz w:val="24"/>
                <w:u w:val="none"/>
              </w:rPr>
              <w:t xml:space="preserve"> 4 straipsnio 1 dalies 118 punkte ir 72 straipsnyje;</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tinkamų įsipareigojimų,</w:t>
            </w:r>
            <w:r>
              <w:rPr>
                <w:rStyle w:val="FormatvorlageInstructionsTabelleText"/>
                <w:rFonts w:ascii="Times New Roman" w:hAnsi="Times New Roman"/>
                <w:sz w:val="24"/>
              </w:rPr>
              <w:t xml:space="preserve"> įtrauktų į nuosavų lėšų ir tinkamų įsipareigojimų sumą pagal Direktyvos 2014/59/ES 45b straipsnį, kurie yra subordinuotosios tinkamos priemonės, apibrėžtos tos direktyvos 2 straipsnio 1 dalies 71b punkte;</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įsipareigojimų,</w:t>
            </w:r>
            <w:r>
              <w:rPr>
                <w:rStyle w:val="FormatvorlageInstructionsTabelleText"/>
                <w:rFonts w:ascii="Times New Roman" w:hAnsi="Times New Roman"/>
                <w:sz w:val="24"/>
              </w:rPr>
              <w:t xml:space="preserve"> įtrauktų į nuosavų lėšų ir tinkamų įsipareigojimų sumą pagal Direktyvos 2014/59/ES 45b straipsnio 3 dalį.</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reglamentuojami trečiosios valstybės teisės</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Nuosavų lėšų ir tinkamų įsipareigojimų, kuriuos reglamentuoja trečiosios valstybės teisė, kaip nurodyta Direktyvos 2014/59/ES 55 straipsnyje, suma.</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apimantys nurašymo ir konvertavimo sąlygą, kaip nurodyta Direktyvos 2014/59/ES 55 straipsnyje</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Nuosavų lėšų ir tinkamų įsipareigojimų, kuriuos reglamentuoja trečiosios valstybės teisė ir kurie apima nurašymo ir konvertavimo sąlygą, kaip nurodyta </w:t>
            </w:r>
            <w:r>
              <w:rPr>
                <w:rStyle w:val="FormatvorlageInstructionsTabelleText"/>
                <w:rFonts w:ascii="Times New Roman" w:hAnsi="Times New Roman"/>
                <w:sz w:val="24"/>
              </w:rPr>
              <w:t>Direktyvos 2014/59/ES 55 straipsnyje, suma</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 kuriems gali būti taikoma gelbėjimo privačiomis lėšomis priemonė</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Subjektai, kurių turimos nuosavų lėšų ir tinkamų įsipareigojimų sumos tos informacijos pateikimo dieną sudaro bent 150 %</w:t>
            </w:r>
            <w:r>
              <w:t xml:space="preserve"> </w:t>
            </w:r>
            <w:r>
              <w:rPr>
                <w:rStyle w:val="FormatvorlageInstructionsTabelleText"/>
                <w:rFonts w:ascii="Times New Roman" w:hAnsi="Times New Roman"/>
                <w:sz w:val="24"/>
              </w:rPr>
              <w:t>Direktyvos 2014/59/ES</w:t>
            </w:r>
            <w:r>
              <w:rPr>
                <w:rStyle w:val="InstructionsTabelleberschrift"/>
                <w:rFonts w:ascii="Times New Roman" w:hAnsi="Times New Roman"/>
                <w:b w:val="0"/>
                <w:sz w:val="24"/>
                <w:u w:val="none"/>
              </w:rPr>
              <w:t xml:space="preserve"> 45 straipsnio 1 dalyje nustatyto reikalavimo, informacijos 0250–0290 eilutėse pateikti neprivalo. Tokie subjektai gali pasirinkti tą informaciją šioje formoje pateikti savanoriškai.</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 kuriems gali būti taikoma gelbėjimo privačiomis lėšomis priemonė</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Įsipareigojimų, kuriems gali būti taikoma gelbėjimo privačiomis lėšomis priemonė, apibrėžtų </w:t>
            </w:r>
            <w:r>
              <w:rPr>
                <w:rStyle w:val="FormatvorlageInstructionsTabelleText"/>
                <w:rFonts w:ascii="Times New Roman" w:hAnsi="Times New Roman"/>
                <w:sz w:val="24"/>
              </w:rPr>
              <w:t>Direktyvos 2014/59/ES 2 straipsnio 1 dalies 71 punkte</w:t>
            </w:r>
            <w:r>
              <w:rPr>
                <w:rStyle w:val="InstructionsTabelleberschrift"/>
                <w:rFonts w:ascii="Times New Roman" w:hAnsi="Times New Roman"/>
                <w:b w:val="0"/>
                <w:sz w:val="24"/>
                <w:u w:val="none"/>
              </w:rPr>
              <w:t>, kurie nėra įtraukiami į nuosavas lėšas ir tinkamus įsipareigojimus pagal tos direktyvos 45b straipsnį, suma.</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suma atitinka skirtumą tarp Komisijos įgyvendinimo reglamento (ES) 2018/1624</w:t>
            </w:r>
            <w:r>
              <w:rPr>
                <w:rStyle w:val="FootnoteReference"/>
                <w:bCs/>
              </w:rPr>
              <w:footnoteReference w:id="4"/>
            </w:r>
            <w:r>
              <w:rPr>
                <w:rStyle w:val="InstructionsTabelleberschrift"/>
                <w:rFonts w:ascii="Times New Roman" w:hAnsi="Times New Roman"/>
                <w:b w:val="0"/>
                <w:sz w:val="24"/>
                <w:u w:val="none"/>
              </w:rPr>
              <w:t xml:space="preserve"> I priede nustatytos formos Z 02.00 {r0300, c0090} laukelyje nurodytų įsipareigojimų, kuriems taikoma gelbėjimo privačiomis lėšomis priemonė, ir tinkamų įsipareigojimų, nurodytų šios formos {r0200} laukelyje.</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reglamentuojami trečiosios valstybės teisės</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Kitų įsipareigojimų, kuriems gali būti taikoma gelbėjimo privačiomis lėšomis priemonė ir kuriuos reglamentuoja trečiosios valstybės teisė, kaip nurodyta Direktyvos 2014/59/ES 55 straipsnyje, suma.</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apimantys nurašymo ir konvertavimo sąlygą, kaip nurodyta Direktyvos 2014/59/ES 55 straipsnyje</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Kitų įsipareigojimų, kuriems gali būti taikoma gelbėjimo privačiomis lėšomis priemonė, kuriuos reglamentuoja trečiosios valstybės teisė ir kurie apima nurašymo ir konvertavimo sąlygą, kaip nurodyta Direktyvos 2014/59/ES 55 straipsnyje, suma.</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Kitų įsipareigojimų, kuriems gali būti taikoma gelbėjimo privačiomis lėšomis priemonė, suskirstymas pagal likutinį terminą</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Likutinis terminas &lt; 1 metai</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Likutinis terminas &gt;= 1 metai ir &lt; 2 metai</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Likutinis terminas &gt;= 2 metai</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Koeficientai ir subordinavimo išimtys</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Nuosavos lėšos ir tinkami įsipareigojimai kaip TREA procentinė dalis</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Šioje eilutėje nuosavų lėšų ir tinkamų įsipareigojimų suma, nurodyta 0200 eilutėje, išreiškiama bendros rizikos pozicijų sumos, apskaičiuotos pagal Reglamento (ES) Nr. 575/2013 92 straipsnio 3 dalį, procentine dalimi.</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nuosavos lėšos ir subordinuotieji įsipareigojimai</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Šioje eilutėje nuosavų lėšų ir subordinuotųjų tinkamų įsipareigojimų suma, nurodyta 0210 eilutėje, išreiškiama bendros rizikos pozicijų sumos, apskaičiuotos pagal Reglamento (ES) Nr. 575/2013 92 straipsnio 3 dalį</w:t>
            </w:r>
            <w:r>
              <w:rPr>
                <w:rStyle w:val="FormatvorlageInstructionsTabelleText"/>
                <w:rFonts w:ascii="Times New Roman" w:hAnsi="Times New Roman"/>
                <w:sz w:val="24"/>
              </w:rPr>
              <w:t>, procentine dalimi</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Nuosavos lėšos ir tinkami įsipareigojimai kaip TEM procentinė dalis</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Šioje eilutėje nuosavų lėšų ir tinkamų įsipareigojimų suma, nurodyta 0200 eilutėje, išreiškiama bendro pozicijų mato, apskaičiuoto pagal Reglamento (ES) Nr. 575/2013 429 straipsnio 4 dalį ir 429a straipsnį</w:t>
            </w:r>
            <w:r>
              <w:rPr>
                <w:rStyle w:val="FormatvorlageInstructionsTabelleText"/>
                <w:rFonts w:ascii="Times New Roman" w:hAnsi="Times New Roman"/>
                <w:sz w:val="24"/>
              </w:rPr>
              <w:t>, procentine dalimi</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nuosavos lėšos ir subordinuotieji įsipareigojimai</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Šioje eilutėje nuosavų lėšų ir subordinuotųjų tinkamų įsipareigojimų suma, nurodyta 0210 eilutėje, išreiškiama bendro pozicijų mato, apskaičiuoto pagal Reglamento (ES) Nr. 575/2013 429 straipsnio 4 dalį ir 429a straipsnį</w:t>
            </w:r>
            <w:r>
              <w:rPr>
                <w:rStyle w:val="FormatvorlageInstructionsTabelleText"/>
                <w:rFonts w:ascii="Times New Roman" w:hAnsi="Times New Roman"/>
                <w:sz w:val="24"/>
              </w:rPr>
              <w:t>, procentine dalimi</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Ar taikoma Reglamento (ES) Nr. 575/2013 72b straipsnio 4 dalyje nustatyta subordinavimo išimtis? (5 % išimtis)</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eilutėje informaciją pateikia tik subjektai, kuriems taikomas G-SII nuosavų lėšų ir tinkamų įsipareigojimų reikalavimas (TLAC reikalavimas).</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Jeigu pertvarkymo institucija leidžia įsipareigojimus priskirti prie tinkamų įsipareigojimų priemonių pagal Reglamento (ES) Nr. 575/2013 72b straipsnio 4 dalį, informaciją teikiantis subjektas 0020 skiltyje nurodo „taip“.</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Jeigu pertvarkymo institucija neleidžia įsipareigojimų priskirti prie tinkamų įsipareigojimų priemonių pagal Reglamento (ES) Nr. 575/2013 72b straipsnio 4 dalį, informaciją teikiantis subjektas 0020 skiltyje nurodo „ne“.</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Kadangi Reglamento (ES) Nr. 575/2013 72b straipsnio 3 ir 4 dalyse nustatytos išimtys yra tarpusavyje nesuderinamos, ši eilutė nepildoma, jeigu informaciją teikiantis subjektas užpildė eilutę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Leidžiamų nesubordinuotųjų tinkamų įsipareigojimų priemonių bendra suma, jeigu taikoma subordinavimo diskrecija, nustatyta Reglamento (ES) Nr. 575/2013 72b straipsnio 3 dalyje (ne didesnė kaip 3,5 % išimtis)</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Nesubordinuotųjų įsipareigojimų, kuriuos pertvarkymo institucija leido priskirti prie tinkamų įsipareigojimų priemonių G-SII nuosavų lėšų ir tinkamų įsipareigojimų reikalavimo (TLAC) tikslu pagal Reglamento (ES) Nr. 575/2013 72b straipsnio 3 dalį arba kurios atitinka priskyrimo reikalavimus pagal to reglamento 494 straipsnio 3 dalį, bendra suma.</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Iki 2021 m. gruodžio 31 d. šioje eilutėje nurodoma suma yra suma, gauta pritaikius Reglamento (ES) Nr. 575/2013 494 straipsnio 2 dalį (2,5 % viršutinę ribą).</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Kadangi Reglamento (ES) Nr. 575/2013 72b straipsnio 3 ir 4 dalyse nustatytos išimtys yra tarpusavyje nesuderinamos, ši eilutė nepildoma, jeigu informaciją teikiantis subjektas laukelyje {r0340,c0020} nurodo „taip“.</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Visų nesubordinuotųjų įsipareigojimų dalis, kuri įtraukta į nuosavas lėšas ir tinkamus įsipareigojimus</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Šioje eilutėje informaciją pateikia tik subjektai, kuriems taikomas G-SII nuosavų lėšų ir tinkamų įsipareigojimų reikalavimas (TLAC reikalavimas).</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taikoma Reglamento (ES) Nr. 575/2013 72b straipsnio 3 dalyje nustatyta apribota subordinavimo išimtis, subjektai nurodo:</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išleistų įsipareigojimų sumą, kuri yra tokio pat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prioriteto kaip neįtraukti įsipareigojimai, kaip nurodyta Reglamento (ES) Nr. 575/2013 72a straipsnio 2 dalyje, ir yra įtraukta į sumą, nurodytą 0200 eilutėje (pritaikius viršutinę ribą),</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padalytą iš išleistų įsipareigojimų sumos, kuri yra tokio pat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prioriteto kaip neįtraukti įsipareigojimai, kaip nurodyta Reglamento (ES) Nr. 575/2013 72a straipsnio 2 dalyje, ir kuri būtų pripažįstama pildant 0200 eilutę, jeigu nebūtų taikyta viršutinė riba.</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Sudėtis ir terminas</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MREL ir TLAC pajėgumas ir sudėtis (pertvarkytinos grupės ir subjektai)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Bendrosios pastabos</w:t>
      </w:r>
      <w:bookmarkEnd w:id="39"/>
      <w:bookmarkEnd w:id="40"/>
      <w:bookmarkEnd w:id="41"/>
    </w:p>
    <w:p w14:paraId="7532242D" w14:textId="4019739D" w:rsidR="002701C8" w:rsidRPr="001562B3" w:rsidRDefault="002701C8" w:rsidP="001562B3">
      <w:pPr>
        <w:pStyle w:val="InstructionsText2"/>
      </w:pPr>
      <w:r>
        <w:t>Formoje „M 02.00. MREL ir TLAC pajėgumas ir sudėtis (pertvarkytinos grupės ir subjektai) (TLAC1)“ pateikiama daugiau informacijos apie nuosavų lėšų ir tinkamų įsipareigojimų sudėtį.</w:t>
      </w:r>
    </w:p>
    <w:p w14:paraId="2B751F8F" w14:textId="549BCD0B" w:rsidR="00095D0D" w:rsidRPr="001562B3" w:rsidRDefault="00095D0D">
      <w:pPr>
        <w:pStyle w:val="InstructionsText2"/>
      </w:pPr>
      <w:r>
        <w:t>Skiltį, susijusią su minimaliu nuosavų lėšų ir tinkamų įsipareigojimų reikalavimu (MREL), pildo subjektai, kuriems pagal Direktyvos 2014/59/ES 45e straipsnį taikomas minimalus nuosavų lėšų ir tinkamų įsipareigojimų reikalavimas. Straipsnius, susijusius su G-SII nuosavų lėšų ir tinkamų įsipareigojimų reikalavimu (TLAC), pateikia tik tie subjektai, kurie privalo laikytis Reglamento (ES) Nr. 575/2013 92a straipsnyje nustatyto reikalavimo.</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Nurodymai dėl konkrečių pozicijų</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Skiltis</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Minimalus nuosavų lėšų ir tinkamų įsipareigojimų reikalavimas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Direktyvos 2014/59/ES 45 ir 45e straipsniai.</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G-SII nuosavų lėšų ir tinkamų įsipareigojimų reikalavimai (TLAC)</w:t>
            </w:r>
          </w:p>
          <w:p w14:paraId="28749035" w14:textId="00E359CB" w:rsidR="00913681" w:rsidRPr="001562B3" w:rsidRDefault="00913681">
            <w:pPr>
              <w:pStyle w:val="InstructionsText"/>
              <w:rPr>
                <w:rStyle w:val="InstructionsTabelleberschrift"/>
                <w:rFonts w:ascii="Times New Roman" w:hAnsi="Times New Roman"/>
                <w:sz w:val="24"/>
              </w:rPr>
            </w:pPr>
            <w:r>
              <w:t xml:space="preserve">Reglamento (ES) Nr. 575/2013 </w:t>
            </w:r>
            <w:r>
              <w:rPr>
                <w:rStyle w:val="FormatvorlageInstructionsTabelleText"/>
                <w:rFonts w:ascii="Times New Roman" w:hAnsi="Times New Roman"/>
                <w:sz w:val="24"/>
              </w:rPr>
              <w:t>92a straipsnis.</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Papildomas straipsnis. MREL, bet ne TLAC tikslais tinkamos sumos</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Šią skiltį pildo tik subjektai, kuriems taikomas G-SII nuosavų lėšų ir tinkamų įsipareigojimų reikalavimas (TLAC).</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Ši skiltis atspindi skirtumą tarp nuosavų lėšų ir įsipareigojimų, tinkamų </w:t>
            </w:r>
            <w:r>
              <w:rPr>
                <w:rStyle w:val="InstructionsTabelleberschrift"/>
                <w:rFonts w:ascii="Times New Roman" w:hAnsi="Times New Roman"/>
                <w:b w:val="0"/>
                <w:sz w:val="24"/>
                <w:u w:val="none"/>
              </w:rPr>
              <w:t>Direktyvos 2014/59/ES</w:t>
            </w:r>
            <w:r>
              <w:rPr>
                <w:rStyle w:val="FormatvorlageInstructionsTabelleText"/>
                <w:rFonts w:ascii="Times New Roman" w:hAnsi="Times New Roman"/>
                <w:sz w:val="24"/>
              </w:rPr>
              <w:t xml:space="preserve"> 45 straipsnyje nustatytam reikalavimui įvykdyti pagal </w:t>
            </w:r>
            <w:r>
              <w:rPr>
                <w:rStyle w:val="FormatvorlageInstructionsTabelleText"/>
                <w:rFonts w:ascii="Times New Roman" w:hAnsi="Times New Roman"/>
                <w:sz w:val="24"/>
              </w:rPr>
              <w:lastRenderedPageBreak/>
              <w:t xml:space="preserve">tos direktyvos 45e straipsnį, sumų ir nuosavų lėšų ir įsipareigojimų, tinkamų </w:t>
            </w:r>
            <w:r>
              <w:t>Reglamento (ES) Nr. 575/2013 92a straipsnyje nustatytam reikalavimui įvykdyti, sumos</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Eilutė</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NUOSAVOS LĖŠOS IR TINKAMI ĮSIPAREIGOJIMAI</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Nuosavos lėšos ir tinkami įsipareigojimai </w:t>
            </w:r>
            <w:r>
              <w:rPr>
                <w:rStyle w:val="InstructionsTabelleberschrift"/>
                <w:rFonts w:ascii="Times New Roman" w:hAnsi="Times New Roman"/>
                <w:b w:val="0"/>
                <w:sz w:val="24"/>
                <w:u w:val="none"/>
              </w:rPr>
              <w:t>Direktyvos 2014/59/ES 45e straipsnio</w:t>
            </w:r>
            <w:r>
              <w:rPr>
                <w:rStyle w:val="FormatvorlageInstructionsTabelleText"/>
                <w:rFonts w:ascii="Times New Roman" w:hAnsi="Times New Roman"/>
                <w:sz w:val="24"/>
              </w:rPr>
              <w:t xml:space="preserve"> ir Reglamento (ES) Nr. 575/2013 </w:t>
            </w:r>
            <w:r>
              <w:t>92a straipsnio tikslais</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Nuosavų lėšų ir tinkamų įsipareigojimų, įtraukiamų vykdant MREL, suma nurodoma kaip šių elementų suma:</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nuosavų lėšų, apibrėžtų Reglamento (ES) Nr. 575/2013 4 straipsnio 1 dalies 118 punkte ir 72 straipsnyje;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tinkamų įsipareigojimų, apibrėžtų Direktyvos 2014/59/ES 2 straipsnio 1 dalies 71a punkte.</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straipsnyje nustatytus reikalavimus.</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Nuosavų lėšų ir tinkamų įsipareigojimų, įtraukiamų vykdant G-SII nuosavų lėšų ir tinkamų įsipareigojimų reikalavimą (TLAC), suma yra Reglamento (ES) Nr. 575/2013 72l straipsnyje nurodyta suma, sudaryta iš:</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nuosavų lėšų, apibrėžtų Reglamento (ES) Nr. 575/2013 4 straipsnio 1 dalies 118 punkte ir 72 straipsnyje;</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tinkamų įsipareigojimų pagal Reglamento (ES) Nr. 575/2013 72k straipsnį.</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(Tinkamos) nuosavos lėšos</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4 straipsnio 1 dalies 118 punktas ir 72 straipsnis</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MREL atveju priemonės, kurias reglamentuoja trečiosios valstybės teisė, į šią eilutę</w:t>
            </w:r>
            <w:r>
              <w:rPr>
                <w:rStyle w:val="InstructionsTabelleberschrift"/>
                <w:rFonts w:ascii="Times New Roman" w:hAnsi="Times New Roman"/>
                <w:b w:val="0"/>
                <w:sz w:val="24"/>
                <w:u w:val="none"/>
              </w:rPr>
              <w:t xml:space="preserve"> ir į 0040 bei 0050 eilutes įtraukiamos tik jeigu jos atitinka</w:t>
            </w:r>
            <w:r>
              <w:rPr>
                <w:rStyle w:val="FormatvorlageInstructionsTabelleText"/>
                <w:rFonts w:ascii="Times New Roman" w:hAnsi="Times New Roman"/>
                <w:sz w:val="24"/>
              </w:rPr>
              <w:t xml:space="preserve"> Direktyvos 2014/59/ES 55 straipsnyje nustatytus reikalavimus.</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Bendras 1 lygio nuosavas kapitalas</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Reglamento (ES) Nr. 575/2013 50 straipsnis.</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(Tinkamas) papildomas 1 lygio kapitalas</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Reglamento (ES) Nr. 575/2013 61 straipsnis.</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(Tinkamas) 2 lygio kapitalas</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Reglamento (ES) Nr. 575/2013 71 straipsnis.</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Tinkami įsipareigojimai</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apibrėžti Direktyvos 2014/59/ES 2 straipsnio 1 dalies 71a punkte; tuo atveju, kai priemones reglamentuoja trečiosios valstybės teisė, į šią eilutę priemonė įtraukiama tik jeigu ji atitinka tos direktyvos 55 straipsnyje nustatytus reikalavimus.</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Tinkami įsipareigojimai pagal Reglamento (ES) Nr. 575/2013 72k straipsnį.</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Tinkamų įsipareigojimų straipsniai prieš koregavimus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apibrėžti Direktyvos 2014/59/ES 2 straipsnio 1 dalies 71a punkte; tuo atveju, kai priemones reglamentuoja trečiosios valstybės teisė, į šią eilutę priemonė įtraukiama tik jeigu ji atitinka tos direktyvos 55 straipsnyje nustatytus reikalavimus.</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Tinkami įsipareigojimai, kurie atitinka visus Reglamento (ES) Nr. 575/2013 72a–72d straipsniuose nustatytus reikalavimus.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 jų: tinkami įsipareigojimai, laikomi struktūriškai subordinuotais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Įsipareigojimai, atitinkantys </w:t>
            </w:r>
            <w:r>
              <w:rPr>
                <w:rStyle w:val="FormatvorlageInstructionsTabelleText"/>
                <w:rFonts w:ascii="Times New Roman" w:hAnsi="Times New Roman"/>
                <w:sz w:val="24"/>
              </w:rPr>
              <w:t>Direktyvos 2014/59/ES</w:t>
            </w:r>
            <w:r>
              <w:rPr>
                <w:rStyle w:val="InstructionsTabelleberschrift"/>
                <w:rFonts w:ascii="Times New Roman" w:hAnsi="Times New Roman"/>
                <w:b w:val="0"/>
                <w:sz w:val="24"/>
                <w:u w:val="none"/>
              </w:rPr>
              <w:t xml:space="preserve"> 45b straipsnį dėl to, kad juos išleido pertvarkytinas subjektas, kuris yra kontroliuojančioji bendrovė, ir dėl to, kad nėra neįtrauktų įsipareigojimų, nurodytų Reglamento (ES) Nr. 575/2013 72a straipsnio 2 dalyje, kurie yra tokio pat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arba mažesnio prioriteto negu tinkamų įsipareigojimų priemonės.</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straipsnyje nustatytus reikalavimus.</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Į šią eilutę taip pat įtraukiami tinkami įsipareigojimai, priskiriami prie tinkamų įsipareigojimų dėl tęstinumo išlygos pagal Reglamento (ES) Nr. 575/2013 494b straipsnio 3 dalį.</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Įsipareigojimai, kurie:</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atitinka Reglamento (ES) Nr. 575/2013 72a–72d straipsniuose nustatytus reikalavimus, visų pirma to reglamento 72b straipsnio 2 dalies d punkto iii papunktyje nustatytą reikalavimą, bet ne tos dalies d punkto i arba ii papunkčių reikalavimus, arba</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atitinka Reglamento (ES) Nr. 575/2013 72a–72d straipsniuose nustatytus reikalavimus, išskyrus to reglamento 72b straipsnio 2 dalies d punktą, ir kuriuos pertvarkymo institucijos leidžia priskirti prie tinkamų įsipareigojimų priemonių pagal to reglamento 72b straipsnio 4 dalį.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Į šią eilutę taip pat įtraukiami tinkami įsipareigojimai, priskiriami prie tinkamų įsipareigojimų dėl tęstinumo išlygos pagal Reglamento (ES) Nr. 575/2013 494b straipsnio 3 dalį.</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Tinkami įsipareigojimai, subordinuoti neįtrauktų įsipareigojimų atžvilgiu</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Tinkami įsipareigojimai,</w:t>
            </w:r>
            <w:r>
              <w:rPr>
                <w:rStyle w:val="FormatvorlageInstructionsTabelleText"/>
                <w:rFonts w:ascii="Times New Roman" w:hAnsi="Times New Roman"/>
                <w:sz w:val="24"/>
              </w:rPr>
              <w:t xml:space="preserve"> įtraukti į nuosavų lėšų ir tinkamų įsipareigojimų sumą pagal Direktyvos 2014/59/ES 45b straipsnį, kurie yra subordinuotosios tinkamos priemonės, apibrėžtos tos direktyvos 2 straipsnio 1 dalies 71b punkte, ir įsipareigojimai, įtraukti į nuosavų lėšų ir tinkamų įsipareigojimų sumą pagal tos direktyvos 45b straipsnio 3 dalį. Tuo atveju, kai priemones reglamentuoja trečiosios valstybės teisė, į šią eilutę priemonė įtraukiama tik jeigu ji atitinka tos direktyvos 55 straipsnyje nustatytus reikalavimus.</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rPr>
                <w:rStyle w:val="FormatvorlageInstructionsTabelleText"/>
                <w:rFonts w:ascii="Times New Roman" w:hAnsi="Times New Roman"/>
                <w:sz w:val="24"/>
              </w:rPr>
              <w:t>Tinkami įsipareigojimai, kurie atitinka visus Reglamento (ES) Nr. 575/2013 72a–72d straipsniuose nustatytus reikalavimus, išskyrus įsipareigojimus, kuriuos leidžiama priskirti prie tinkamų įsipareigojimų priemonių pagal to reglamento 72b straipsnio 3 arba 4 dalį.</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Pertvarkytino subjekto tiesiogiai išleistos tinkamų įsipareigojimų priemonės (tęstinumo išlyga netaikoma)</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Tinkami įsipareigojimai,</w:t>
            </w:r>
            <w:r>
              <w:rPr>
                <w:rStyle w:val="FormatvorlageInstructionsTabelleText"/>
                <w:rFonts w:ascii="Times New Roman" w:hAnsi="Times New Roman"/>
                <w:sz w:val="24"/>
              </w:rPr>
              <w:t xml:space="preserve"> įtraukti į nuosavų lėšų ir tinkamų įsipareigojimų sumą pagal Direktyvos 2014/59/ES 45b straipsnį, kurie yra subordinuotosios tinkamos priemonės, apibrėžtos tos direktyvos 2 straipsnio 1 dalies 71b punkte, ir kuriuos tiesiogiai išleido pertvarkytinas subjektas. Tuo atveju, kai priemones reglamentuoja trečiosios valstybės teisė, į šią eilutę priemonė įtraukiama tik jeigu ji atitinka tos direktyvos 55 straipsnyje nustatytus reikalavimus.</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Tinkami įsipareigojimai, kurie atitinka visus Reglamento (ES) Nr. 575/2013 72a–72d straipsniuose nustatytus reikalavimus ir kuriuos tiesiogiai išleido pertvarkytinas subjektas, išskyrus įsipareigojimus, kuriuos leidžiama priskirti prie tinkamų įsipareigojimų priemonių pagal to reglamento 72b straipsnio 3 arba 4 dalį.</w:t>
            </w:r>
          </w:p>
          <w:p w14:paraId="609C4389" w14:textId="6640F802" w:rsidR="00A63011" w:rsidRPr="001562B3" w:rsidRDefault="003C1F98">
            <w:pPr>
              <w:pStyle w:val="InstructionsText"/>
            </w:pPr>
            <w:r>
              <w:rPr>
                <w:rStyle w:val="FormatvorlageInstructionsTabelleText"/>
                <w:rFonts w:ascii="Times New Roman" w:hAnsi="Times New Roman"/>
                <w:sz w:val="24"/>
              </w:rPr>
              <w:t>Į šią eilutę neįtraukiama nei 2 lygio priemonių amortizuota dalis, kai likęs terminas yra ilgesnis nei vieni metai (Reglamento (ES) Nr. 575/2013 72a straipsnio 1 dalies b punktas), nei tinkami įsipareigojimai taikant tęstinumo išlygą pagal to reglamento 494b straipsnį.</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Kitų pertvarkytinos grupės subjektų išleistos tinkamų įsipareigojimų priemonės (tęstinumo išlyga netaikoma)</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lastRenderedPageBreak/>
              <w:t>Tinkami įsipareigojimai,</w:t>
            </w:r>
            <w:r>
              <w:rPr>
                <w:rStyle w:val="FormatvorlageInstructionsTabelleText"/>
                <w:rFonts w:ascii="Times New Roman" w:hAnsi="Times New Roman"/>
                <w:sz w:val="24"/>
              </w:rPr>
              <w:t xml:space="preserve"> įtraukti į nuosavų lėšų ir tinkamų įsipareigojimų sumą pagal Direktyvos 2014/59/ES 45b straipsnį, kuriuos išleido patronuojamosios įmonės ir kurie yra įtraukiami į MREL laikantis tos direktyvos 45b straipsnio 3 dalies. Tuo atveju, kai priemones reglamentuoja trečiosios valstybės teisė, į šią eilutę priemonė įtraukiama tik jeigu ji atitinka tos direktyvos 55 straipsnyje nustatytus reikalavimus.</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Tinkami įsipareigojimai, kurie atitinka visus Reglamento (ES) Nr. 575/2013 72a–72d straipsniuose nustatytus reikalavimus, kuriuos išleido patronuojamosios įmonės ir kurie yra priskiriami prie įtrauktinų į subjekto konsoliduotų tinkamų įsipareigojimų priemones pagal to reglamento 88a straipsnį, išskyrus įsipareigojimus, kuriuos leidžiama priskirti prie tinkamų įsipareigojimų priemonių pagal to reglamento 72b straipsnio 3 arba 4 dalį.</w:t>
            </w:r>
          </w:p>
          <w:p w14:paraId="669A214A" w14:textId="5F8C09F6" w:rsidR="003C1F98" w:rsidRPr="001562B3" w:rsidRDefault="003C1F98">
            <w:pPr>
              <w:pStyle w:val="InstructionsText"/>
            </w:pPr>
            <w:r>
              <w:rPr>
                <w:rStyle w:val="FormatvorlageInstructionsTabelleText"/>
                <w:rFonts w:ascii="Times New Roman" w:hAnsi="Times New Roman"/>
                <w:sz w:val="24"/>
              </w:rPr>
              <w:t>Į šią eilutę neįtraukiama nei 2 lygio priemonių amortizuota dalis, kai likęs terminas yra ilgesnis nei vieni metai (Reglamento (ES) Nr. 575/2013 72a straipsnio 1 dalies b punktas), nei tinkami įsipareigojimai taikant tęstinumo išlygą pagal to reglamento 494b straipsnį.</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Tinkamų įsipareigojimų priemonės, išleistos iki 2019 m. birželio 27 d.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Tinkami įsipareigojimai, </w:t>
            </w:r>
            <w:r>
              <w:rPr>
                <w:rStyle w:val="FormatvorlageInstructionsTabelleText"/>
                <w:rFonts w:ascii="Times New Roman" w:hAnsi="Times New Roman"/>
                <w:sz w:val="24"/>
              </w:rPr>
              <w:t>kurie</w:t>
            </w:r>
            <w:r>
              <w:rPr>
                <w:rStyle w:val="InstructionsTabelleberschrift"/>
                <w:rFonts w:ascii="Times New Roman" w:hAnsi="Times New Roman"/>
                <w:b w:val="0"/>
                <w:sz w:val="24"/>
                <w:u w:val="none"/>
              </w:rPr>
              <w:t xml:space="preserve"> atitinka šias sąlygas:</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buvo išleisti iki 2019 m. birželio 27 d.;</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yra</w:t>
            </w:r>
            <w:r>
              <w:rPr>
                <w:rStyle w:val="FormatvorlageInstructionsTabelleText"/>
                <w:rFonts w:ascii="Times New Roman" w:hAnsi="Times New Roman"/>
                <w:sz w:val="24"/>
              </w:rPr>
              <w:t xml:space="preserve"> subordinuotosios tinkamos priemonės, apibrėžtos Direktyvos 2014/59/ES 2 straipsnio 1 dalies 71b punkte;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yra įtraukiami į nuosavas lėšas ir tinkamus įsipareigojimus pagal Reglamento (ES) Nr. 575/2013 494b straipsnio 3 dalį;</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tuo atveju, kai priemones reglamentuoja trečiosios valstybės teisė, atitinka Direktyvos 2014/59/ES 55 straipsnyje nustatytus reikalavimus.</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kurie atitinka šias sąlygas:</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buvo išleisti iki 2019 m. birželio 27 d.;</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atitinka Reglamento (ES) Nr. 575/2013 72b straipsnio 2 dalies d punktą;</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yra priskiriami prie tinkamų įsipareigojimų dėl tęstinumo išlygos pagal Reglamento (ES) Nr. 575/2013 494b straipsnio 3 dalį.</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2 lygio priemonės, kurių likutinis terminas yra bent vieni metai, jei jos nepriskiriamos prie 2 lygio straipsnių</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72a straipsnio 1 dalies b punktas</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šią eilutę įtraukiama 2 lygio priemonių amortizuota dalis, kai likęs terminas yra ilgesnis nei vieni metai. Šioje eilutėje nurodoma tik suma, nepripažįstama nuosavomis lėšomis, tačiau atitinkanti visus tinkamumo kriterijus, nustatytus Reglamento (ES) Nr. 575/2013 72b straipsnyje.</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MREL atveju priemonės, kurias reglamentuoja trečiosios valstybės teisė, į šią eilutę įtraukiamos tik jeigu jos atitinka Direktyvos 2014/59/ES 55 straipsnyje nustatytus reikalavimus.</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Tinkami įsipareigojimai, nesubordinuoti neįtrauktų įsipareigojimų atžvilgiu</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Įsipareigojimai, kurie atitinka Direktyvos 2014/59/ES 45b straipsnyje nustatytas sąlygas ir kurie nėra visiškai subordinuoti reikalavimų, atsirandančių dėl Reglamento (ES) Nr. 575/2013 72a straipsnio 2 dalyje nurodytų neįtrauktų įsipareigojimų, atžvilgiu. </w:t>
            </w: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straipsnyje nustatytus reikalavimus.</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Tinkami įsipareigojimai, kurie atitinka Reglamento (ES) Nr. 575/2013 72a–72d straipsniuose nustatytus reikalavimus, išskyrus to reglamento 72b straipsnio 2 dalies d punktą, ir kurie yra pripažinti tinkamais įsipareigojimais pagal to reglamento 72b straipsnio 3 arba 4 dalį. Kai taikoma Reglamento (ES) Nr. 575/2013 72b straipsnio 3 dalis, nurodoma suma yra </w:t>
            </w:r>
            <w:r>
              <w:rPr>
                <w:rStyle w:val="InstructionsTabelleberschrift"/>
                <w:rFonts w:ascii="Times New Roman" w:hAnsi="Times New Roman"/>
                <w:b w:val="0"/>
                <w:sz w:val="24"/>
                <w:u w:val="none"/>
              </w:rPr>
              <w:t xml:space="preserve">suma, gauta </w:t>
            </w:r>
            <w:r>
              <w:rPr>
                <w:rStyle w:val="FormatvorlageInstructionsTabelleText"/>
                <w:rFonts w:ascii="Times New Roman" w:hAnsi="Times New Roman"/>
                <w:sz w:val="24"/>
              </w:rPr>
              <w:t>pritaikius tame straipsnyje nustatytą viršutinę ribą.</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Tinkami įsipareigojimai, kurie nėra subordinuoti neįtrauktų įsipareigojimų atžvilgiu (netaikoma tęstinumo išlyga, prieš taikant viršutinę ribą)</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Įsipareigojimai, kurie atitinka Direktyvos 2014/59/ES 45b straipsnio 1–3 dalyse nustatytas sąlygas ir kurie nėra visiškai subordinuoti reikalavimų, atsirandančių dėl Reglamento (ES) Nr. 575/2013 72a straipsnio 2 dalyje nurodytų neįtrauktų įsipareigojimų, atžvilgiu.</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kurie atitinka Reglamento (ES) Nr. 575/2013 72a–72d straipsniuose nustatytus reikalavimus, išskyrus to reglamento 72b straipsnio 2 dalies d punktą, ir kuriuos gali būti leidžiama priskirti prie tinkamų įsipareigojimų priemonių pagal to reglamento 72b straipsnio 3 dalį arba kuriuos leidžiama priskirti prie tinkamų įsipareigojimų priemonių pagal to reglamento 72b straipsnio 4 dalį.</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taikoma Reglamento (ES) Nr. 575/2013 72b straipsnio 3 dalis arba 494 straipsnio 2 dalis, šioje eilutėje nurodoma visa suma, netaikant atitinkamai 3,5 % ir 2,5 % viršutinės ribos.</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Į šią eilutę neįtraukiama jokia suma, kurią galima pripažinti pereinamuoju laikotarpiu pagal Reglamento (ES) Nr. 575/2013 494b straipsnio 3 dalį.</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Iki 2019 m. birželio 27 d. išleisti tinkami įsipareigojimai, kurie nėra subordinuoti neįtrauktų įsipareigojimų atžvilgiu (prieš taikant viršutinę ribą)</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lastRenderedPageBreak/>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kurie atitinka šias sąlygas:</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buvo išleisti iki 2019 m. birželio 27 d.;</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atitinka Direktyvos 2014/59/ES 45b straipsnio 1–3 dalyse nustatytas sąlygas ir nėra visiškai subordinuoti reikalavimų, atsirandančių dėl Reglamento (ES) Nr. 575/2013 72a straipsnio 2 dalyje nurodytų neįtrauktų įsipareigojimų, atžvilgiu;</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yra priskiriami prie tinkamų įsipareigojimų dėl tęstinumo išlygos pagal Reglamento (ES) Nr. 575/2013 494b straipsnio 3 dalį.</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Tuo atveju, kai priemones reglamentuoja trečiosios valstybės teisė, į šią eilutę priemonė įtraukiama tik jeigu ji atitinka Direktyvos 2014/59/ES 55 straipsnio reikalavimus.</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kurie atitinka šias sąlygas:</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buvo išleisti iki 2019 m. birželio 27 d.;</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atitinka Reglamento (ES) Nr. 575/2013 72a–72d straipsniuose nustatytus reikalavimus, išskyrus to reglamento 72b straipsnio 2 dalies d punktą, ir juos gali būti leidžiama priskirti prie tinkamų įsipareigojimų priemonių pagal to reglamento 72b straipsnio 3 dalį arba juos leidžiama priskirti prie tinkamų įsipareigojimų priemonių pagal to reglamento 72b straipsnio 4 dalį;</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yra priskiriami prie tinkamų įsipareigojimų dėl tęstinumo išlygos pagal Reglamento (ES) Nr. 575/2013 494b straipsnio 3 dalį.</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Jeigu taikoma Reglamento (ES) Nr. 575/2013 72b straipsnio 3 dalis arba 494 straipsnio 2 dalis, šioje eilutėje nurodoma visa suma, netaikant atitinkamai 3,5 % ir 2,5 % viršutinės ribos.</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Tinkamos sumos pritaikius viršutinę ribą pagal Reglamento (ES) Nr. 575/2013 72b straipsnio 3 dalį (tęstinumo išlyga netaikoma)</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atitinkantys Reglamento (ES) Nr. 575/2013 72a–72d straipsniuose nustatytus reikalavimus, išskyrus to reglamento 72b straipsnio 2 dalies d punktą, pritaikius to reglamento 72b straipsnio 3–5 dalis, išskyrus įsipareigojimus, pripažįstamus pagal tęstinumo išlygą, nustatytą to reglamento 494b straipsnio 3 dalyje.</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Kai taikoma </w:t>
            </w:r>
            <w:r>
              <w:t>Reglamento (ES) Nr. 575/2013</w:t>
            </w:r>
            <w:r>
              <w:rPr>
                <w:rStyle w:val="FormatvorlageInstructionsTabelleText"/>
                <w:rFonts w:ascii="Times New Roman" w:hAnsi="Times New Roman"/>
                <w:sz w:val="24"/>
              </w:rPr>
              <w:t xml:space="preserve"> 72b straipsnio 3 dalis ir iki 2021 m. gruodžio 31 d. šioje eilutėje nurodoma suma yra suma, gauta pritaikius to reglamento 494 straipsnio 2 dalį (2,5 % viršutinę ribą).</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Tinkamos sumos pritaikius viršutinę ribą pagal Reglamento (ES) Nr. 575/2013 72b straipsnio 3 dalį, kurias sudaro iki 2019 m. birželio 27 d. išleisti straipsniai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kurie atitinka šias sąlygas:</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buvo išleisti iki 2019 m. birželio 27 d.;</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atitinka Reglamento (ES) Nr. 575/2013 72a–72d straipsniuose nustatytus reikalavimus, išskyrus to reglamento 72b straipsnio 2 dalies d punktą, pritaikius to reglamento 72b straipsnio 3–5 dalis;</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yra priskiriami prie tinkamų įsipareigojimų dėl tęstinumo išlygos pagal Reglamento (ES) Nr. 575/2013 494b straipsnio 3 dalį.</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Kai taikoma </w:t>
            </w:r>
            <w:r>
              <w:t>Reglamento (ES) Nr. 575/2013</w:t>
            </w:r>
            <w:r>
              <w:rPr>
                <w:rStyle w:val="FormatvorlageInstructionsTabelleText"/>
                <w:rFonts w:ascii="Times New Roman" w:hAnsi="Times New Roman"/>
                <w:sz w:val="24"/>
              </w:rPr>
              <w:t xml:space="preserve"> 72b straipsnio 3 dalis ir iki 2021 m. gruodžio 31 d. šioje eilutėje nurodoma suma yra suma, gauta pritaikius to reglamento 494 straipsnio 2 dalį (2,5 % viršutinę ribą).</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Atskaitymai</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Pertvarkytinų grupių, kurioms taikomas vienalaikis grupės dalies pertvarkymas (VGDP), tarpusavio pozicijos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Šioje eilutėje nurodomi G-SII pertvarkytinų grupių, kurioms taikomas VGDP, tarpusavio pozicijų, kurios atitinka tiesiogiai, netiesiogiai arba dirbtinai turimas vienos arba daugiau patronuojamųjų įmonių, nepriklausančių tai pačiai pertvarkytinai grupei kaip pertvarkytinas subjektas, nuosavų lėšų priemones arba tinkamų įsipareigojimų priemones, atskaitymai pagal Reglamento (ES) Nr. 575/2013 72e straipsnio 4 dalį.</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Investicijos į kitų tinkamų įsipareigojimų priemones</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Subjektai pateikia informaciją apie investicijų į kitų tinkamų įsipareigojimų priemones atskaitymą, kaip nurodyta</w:t>
            </w:r>
            <w:r>
              <w:t xml:space="preserve"> Reglamento (ES) Nr. 575/2013</w:t>
            </w:r>
            <w:r>
              <w:rPr>
                <w:rStyle w:val="FormatvorlageInstructionsTabelleText"/>
                <w:rFonts w:ascii="Times New Roman" w:hAnsi="Times New Roman"/>
                <w:sz w:val="24"/>
              </w:rPr>
              <w:t xml:space="preserve"> 72e straipsnio 1–3 dalyse ir 72f–72j straipsniuose, pagal kuriuos suma, atskaitytina iš tinkamų įsipareigojimų straipsnių, nustatoma pagal to reglamento antros dalies I antraštinės dalies 5a skyriaus 2 skirsnį.</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Atskaitymai iš tinkamų įsipareigojimų, viršijantys tinkamus įsipareigojimus</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Tinkami įsipareigojimai negali būti neigiami, tačiau atskaitymai iš tinkamų įsipareigojimų gali būti didesni nei tinkami įsipareigojimai. Kai taip įvyksta, tinkami įsipareigojimai turi būti lygūs nuliui, o atskaitymų perviršis turi būti atskaitomas iš 2 lygio kapitalo pagal</w:t>
            </w:r>
            <w:r>
              <w:t xml:space="preserve"> Reglamento (ES) Nr. 575/2013</w:t>
            </w:r>
            <w:r>
              <w:rPr>
                <w:rStyle w:val="FormatvorlageInstructionsTabelleText"/>
                <w:rFonts w:ascii="Times New Roman" w:hAnsi="Times New Roman"/>
                <w:sz w:val="24"/>
              </w:rPr>
              <w:t xml:space="preserve"> 66 straipsnio e punktą.</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Šiuo straipsniu užtikrinama, kad 0060 eilutėje nurodyti tinkami įsipareigojimai niekada nebūtų mažesni už nulį.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Papildomi straipsniai</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Įvykdžius subjekto reikalavimus likusi CET1 suma (%)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Lygi nuliui arba teigiama CET1 suma, likusi įvykdžius kiekvieną iš Direktyvos 2013/36/ES</w:t>
            </w:r>
            <w:r>
              <w:rPr>
                <w:rStyle w:val="FootnoteReference"/>
              </w:rPr>
              <w:footnoteReference w:id="5"/>
            </w:r>
            <w:r>
              <w:rPr>
                <w:rStyle w:val="FormatvorlageInstructionsTabelleText"/>
                <w:rFonts w:ascii="Times New Roman" w:hAnsi="Times New Roman"/>
                <w:sz w:val="24"/>
              </w:rPr>
              <w:t xml:space="preserve"> 141a straipsnio 1 dalies a, b ir c punktuose nurodytų reikalavimų, ir didesnioji iš šių sumų:</w:t>
            </w:r>
          </w:p>
          <w:p w14:paraId="1016D212" w14:textId="38F6EBF7"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kai taikoma,</w:t>
            </w:r>
            <w:r>
              <w:t xml:space="preserve"> Reglamento (ES) Nr. 575/2013</w:t>
            </w:r>
            <w:r>
              <w:rPr>
                <w:rStyle w:val="FormatvorlageInstructionsTabelleText"/>
                <w:rFonts w:ascii="Times New Roman" w:hAnsi="Times New Roman"/>
                <w:sz w:val="24"/>
              </w:rPr>
              <w:t xml:space="preserve"> 92a straipsnyje nustatytas G-SII nuosavų lėšų ir tinkamų įsipareigojimų reikalavimas (TLAC), apskaičiuotas pagal to straipsnio 1 dalies a punktą;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minimalus nuosavų lėšų ir tinkamų įsipareigojimų reikalavimas pagal</w:t>
            </w:r>
            <w:r>
              <w:t xml:space="preserve"> Direktyvos 2014/59/ES</w:t>
            </w:r>
            <w:r>
              <w:rPr>
                <w:rStyle w:val="FormatvorlageInstructionsTabelleText"/>
                <w:rFonts w:ascii="Times New Roman" w:hAnsi="Times New Roman"/>
                <w:sz w:val="24"/>
              </w:rPr>
              <w:t xml:space="preserve"> 45 straipsnį, apskaičiuotas pagal tos direktyvos 45 straipsnio 2 dalies a punktą.</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Turimas CET1 išreiškiamas bendros rizikos pozicijos sumos, nurodytos M 01.00 lentelės 0100 eilutėje, procentine dalimi.</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Nurodomas skaičius yra identiškas MREL ir TLAC skiltyse.</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Juo atsižvelgiama į pereinamojo laikotarpio nuostatų poveikį nuosavoms lėšoms ir tinkamiems įsipareigojimams, bendrai rizikos pozicijos sumai ir patiems reikalavimams. Nei į gaires dėl papildomų nuosavų lėšų, nurodytas Direktyvos 2013/36/ES 104b straipsnyje, nei į tos direktyvos 128 straipsnio pirmos pastraipos 6 punkto jungtinio rezervo reikalavimą neatsižvelgiama.</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Jungtinio rezervo reikalavimas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Direktyvos 2013/36/ES </w:t>
            </w:r>
            <w:r>
              <w:rPr>
                <w:rStyle w:val="FormatvorlageInstructionsTabelleText"/>
                <w:rFonts w:ascii="Times New Roman" w:hAnsi="Times New Roman"/>
                <w:sz w:val="24"/>
              </w:rPr>
              <w:t xml:space="preserve">128 straipsnio </w:t>
            </w:r>
            <w:r>
              <w:t xml:space="preserve">pirmos pastraipos 6 punktas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Jungtinio rezervo reikalavimas išreiškiamas bendros rizikos pozicijos sumos</w:t>
            </w:r>
            <w:r>
              <w:rPr>
                <w:rStyle w:val="InstructionsTabelleberschrift"/>
                <w:rFonts w:ascii="Times New Roman" w:hAnsi="Times New Roman"/>
                <w:b w:val="0"/>
                <w:sz w:val="24"/>
                <w:u w:val="none"/>
              </w:rPr>
              <w:t xml:space="preserve"> procentine dalimi</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 jo: kapitalo apsaugos rezervo reikalavimas </w:t>
            </w:r>
          </w:p>
          <w:p w14:paraId="4EFA0A18" w14:textId="5AE605AD" w:rsidR="004B26E4" w:rsidRPr="001562B3" w:rsidRDefault="004B26E4" w:rsidP="008E501F">
            <w:pPr>
              <w:pStyle w:val="InstructionsText"/>
              <w:rPr>
                <w:rStyle w:val="InstructionsTabelleberschrift"/>
                <w:rFonts w:ascii="Times New Roman" w:hAnsi="Times New Roman"/>
                <w:sz w:val="24"/>
              </w:rPr>
            </w:pPr>
            <w:r>
              <w:t xml:space="preserve">Įstaigos specialaus jungtinio rezervo (išreikšto </w:t>
            </w:r>
            <w:r>
              <w:rPr>
                <w:rStyle w:val="FormatvorlageInstructionsTabelleText"/>
                <w:rFonts w:ascii="Times New Roman" w:hAnsi="Times New Roman"/>
                <w:sz w:val="24"/>
              </w:rPr>
              <w:t>bendros rizikos</w:t>
            </w:r>
            <w:r>
              <w:t xml:space="preserve"> </w:t>
            </w:r>
            <w:r>
              <w:rPr>
                <w:rStyle w:val="InstructionsTabelleberschrift"/>
                <w:rFonts w:ascii="Times New Roman" w:hAnsi="Times New Roman"/>
                <w:b w:val="0"/>
                <w:sz w:val="24"/>
                <w:u w:val="none"/>
              </w:rPr>
              <w:t>pozicijos sumos</w:t>
            </w:r>
            <w:r>
              <w:t xml:space="preserve"> procentine dalimi) suma, susijusi su kapitalo apsaugos rezervo reikalavimu.</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 jo: anticiklinio kapitalo rezervo reikalavimas </w:t>
            </w:r>
          </w:p>
          <w:p w14:paraId="66111F18" w14:textId="6AC08DF1" w:rsidR="004B26E4" w:rsidRPr="001562B3" w:rsidRDefault="004B26E4" w:rsidP="008E501F">
            <w:pPr>
              <w:pStyle w:val="InstructionsText"/>
              <w:rPr>
                <w:rStyle w:val="InstructionsTabelleberschrift"/>
                <w:rFonts w:ascii="Times New Roman" w:hAnsi="Times New Roman"/>
                <w:sz w:val="24"/>
              </w:rPr>
            </w:pPr>
            <w:r>
              <w:t xml:space="preserve">Įstaigos specialaus jungtinio rezervo (išreikšto </w:t>
            </w:r>
            <w:r>
              <w:rPr>
                <w:rStyle w:val="FormatvorlageInstructionsTabelleText"/>
                <w:rFonts w:ascii="Times New Roman" w:hAnsi="Times New Roman"/>
                <w:sz w:val="24"/>
              </w:rPr>
              <w:t xml:space="preserve">bendros rizikos </w:t>
            </w:r>
            <w:r>
              <w:rPr>
                <w:rStyle w:val="InstructionsTabelleberschrift"/>
                <w:rFonts w:ascii="Times New Roman" w:hAnsi="Times New Roman"/>
                <w:b w:val="0"/>
                <w:sz w:val="24"/>
                <w:u w:val="none"/>
              </w:rPr>
              <w:t>pozicijos sumos</w:t>
            </w:r>
            <w:r>
              <w:t xml:space="preserve"> procentine dalimi) suma, susijusi su anticiklinio kapitalo rezervo reikalavimu.</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 jo: sisteminės rizikos rezervo reikalavimas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 xml:space="preserve">Įstaigos specialaus jungtinio rezervo (išreikšto </w:t>
            </w:r>
            <w:r>
              <w:rPr>
                <w:rStyle w:val="FormatvorlageInstructionsTabelleText"/>
                <w:rFonts w:ascii="Times New Roman" w:hAnsi="Times New Roman"/>
                <w:sz w:val="24"/>
              </w:rPr>
              <w:t>bendros rizikos</w:t>
            </w:r>
            <w:r>
              <w:t xml:space="preserve"> </w:t>
            </w:r>
            <w:r>
              <w:rPr>
                <w:rStyle w:val="InstructionsTabelleberschrift"/>
                <w:rFonts w:ascii="Times New Roman" w:hAnsi="Times New Roman"/>
                <w:b w:val="0"/>
                <w:sz w:val="24"/>
                <w:u w:val="none"/>
              </w:rPr>
              <w:t>pozicijos sumos</w:t>
            </w:r>
            <w:r>
              <w:t xml:space="preserve"> procentine dalimi) suma, susijusi su sisteminės rizikos rezervo reikalavimu.</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 pasaulinės sisteminės svarbos įstaigos (G-SII) arba kitos sisteminės svarbos įstaigos (O-SII) rezervas</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Įstaigos specialaus jungtinio rezervo (išreikšto bendros rizikos pozicijos sumos procentine dalimi) suma, susijusi su G-SII arba O-SII rezervo reikalavimu.</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Investicijos į kitų įstaigų subordinuotuosius tinkamus įsipareigojimus</w:t>
            </w:r>
          </w:p>
          <w:p w14:paraId="5F3C8CAD" w14:textId="51CDE3CF" w:rsidR="004B26E4" w:rsidRPr="001562B3" w:rsidRDefault="004B26E4">
            <w:pPr>
              <w:pStyle w:val="InstructionsText"/>
            </w:pPr>
            <w:r>
              <w:t>Šioje eilutėje ir 0470–0490 eilutėse nurodomos pozicijos nustatomos atsižvelgiant į KRR 72h straipsnyje nustatytus principus (grynosios ilgosios pozicijos, skaidrumo metodas).</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Investicijos į G-SII subordinuotuosius tinkamus įsipareigojimus</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G-SII išleistų turimų tinkamų įsipareigojimų priemonių, nurodytų Reglamento (ES) Nr. 575/2013 72b straipsnio 2 dalyje, suma, neįtraukiant priemonių pagal to reglamento 72b straipsnio 3–5 dalis.</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Investicijos į O-SII subordinuotuosius tinkamus įsipareigojimus</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O-SII išleistų turimų tinkamų įsipareigojimų priemonių, nurodytų</w:t>
            </w:r>
            <w:r>
              <w:t xml:space="preserve"> Reglamento (ES) Nr. 575/2013</w:t>
            </w:r>
            <w:r>
              <w:rPr>
                <w:rStyle w:val="InstructionsTabelleberschrift"/>
                <w:rFonts w:ascii="Times New Roman" w:hAnsi="Times New Roman"/>
                <w:b w:val="0"/>
                <w:sz w:val="24"/>
                <w:u w:val="none"/>
              </w:rPr>
              <w:t xml:space="preserve"> 72b straipsnio 2 dalyje, suma.</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Investicijos į O-SII, kurios taip pat yra G-SII, subordinuotuosius tinkamus įsipareigojimus šioje eilutėje nenurodomos; jos nurodomos tik 0470 eilutėje.</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Investicijos į kitų įstaigų subordinuotuosius tinkamus įsipareigojimus</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Turimų tinkamų įsipareigojimų priemonių, nurodytų</w:t>
            </w:r>
            <w:r>
              <w:t xml:space="preserve"> Reglamento (ES) Nr. 575/2013</w:t>
            </w:r>
            <w:r>
              <w:rPr>
                <w:rStyle w:val="InstructionsTabelleberschrift"/>
                <w:rFonts w:ascii="Times New Roman" w:hAnsi="Times New Roman"/>
                <w:b w:val="0"/>
                <w:sz w:val="24"/>
                <w:u w:val="none"/>
              </w:rPr>
              <w:t xml:space="preserve"> 72b straipsnio 2 dalyje, kurias išleido įstaigos, nepriskiriamos nei prie G-SII, nei prie O-SII, suma.</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Neįtraukti įsipareigojimai</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Reglamento (ES) Nr. 575/2013 72a straipsnio 2 dalis.</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Vidinis MREL ir vidinis TLAC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Bendrosios pastabos</w:t>
      </w:r>
      <w:bookmarkEnd w:id="47"/>
      <w:bookmarkEnd w:id="48"/>
      <w:bookmarkEnd w:id="49"/>
    </w:p>
    <w:p w14:paraId="1C147C02" w14:textId="6DCE8FA1" w:rsidR="00B94302" w:rsidRPr="001562B3" w:rsidRDefault="000466F4" w:rsidP="00E05895">
      <w:pPr>
        <w:pStyle w:val="InstructionsText2"/>
      </w:pPr>
      <w:r>
        <w:t xml:space="preserve">Formoje M 03.00 pateikiamos nuosavos lėšos ir tinkami įsipareigojimai siekiant įvykdyti: </w:t>
      </w:r>
    </w:p>
    <w:p w14:paraId="12678ACA" w14:textId="1FD31B39" w:rsidR="00B94302" w:rsidRPr="001562B3" w:rsidRDefault="00B11263" w:rsidP="001562B3">
      <w:pPr>
        <w:pStyle w:val="InstructionsText2"/>
        <w:numPr>
          <w:ilvl w:val="0"/>
          <w:numId w:val="0"/>
        </w:numPr>
        <w:ind w:left="1080"/>
      </w:pPr>
      <w:r>
        <w:t xml:space="preserve">a) subjektų, kurie patys nėra pertvarkytini subjektai, nuosavų lėšų ir tinkamų įsipareigojimų reikalavimą pagal Direktyvos 2014/59/ES 45f straipsnį (vidinį MREL) ir </w:t>
      </w:r>
    </w:p>
    <w:p w14:paraId="39FE2B42" w14:textId="1AB38771" w:rsidR="000466F4" w:rsidRPr="001562B3" w:rsidRDefault="00B11263" w:rsidP="001562B3">
      <w:pPr>
        <w:pStyle w:val="InstructionsText2"/>
        <w:numPr>
          <w:ilvl w:val="0"/>
          <w:numId w:val="0"/>
        </w:numPr>
        <w:ind w:left="1080"/>
      </w:pPr>
      <w:r>
        <w:t>b) ne ES G-SII nuosavų lėšų ir tinkamų įsipareigojimų reikalavimą, taikytiną trečiosios valstybės G-SII reikšmingoms patronuojamosioms įmonėms pagal Reglamento (ES) Nr. 575/2013 92b straipsnį (vidinį TLAC).</w:t>
      </w:r>
    </w:p>
    <w:p w14:paraId="30A80998" w14:textId="686EE1CB" w:rsidR="00095D0D" w:rsidRPr="001562B3" w:rsidRDefault="00095D0D" w:rsidP="00E05895">
      <w:pPr>
        <w:pStyle w:val="InstructionsText2"/>
      </w:pPr>
      <w:r>
        <w:t>Skiltį, susijusią su vidiniu MREL, pildo subjektai, kuriems pagal Direktyvos 2014/59/ES 45 ir 45f straipsnius taikomas minimalus nuosavų lėšų ir tinkamų įsipareigojimų reikalavimas. Straipsnius, susijusius su G-SII nuosavų lėšų ir tinkamų įsipareigojimų reikalavimu (TLAC), pateikia tik tie subjektai, kurie privalo laikytis Reglamento (ES) Nr. 575/2013 92b straipsnio reikalavimo.</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Nurodymai dėl konkrečių pozicijų</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Nuorodos į teisės aktus ir nurodymai</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Vidinis MREL</w:t>
            </w:r>
          </w:p>
          <w:p w14:paraId="201A3B71" w14:textId="00D90FED" w:rsidR="001B51A1" w:rsidRPr="001562B3" w:rsidRDefault="001B51A1">
            <w:pPr>
              <w:pStyle w:val="InstructionsText"/>
            </w:pPr>
            <w:r>
              <w:t xml:space="preserve">Direktyvos 2014/59/ES </w:t>
            </w:r>
            <w:r>
              <w:rPr>
                <w:rStyle w:val="InstructionsTabelleberschrift"/>
                <w:rFonts w:ascii="Times New Roman" w:hAnsi="Times New Roman"/>
                <w:b w:val="0"/>
                <w:sz w:val="24"/>
                <w:u w:val="none"/>
              </w:rPr>
              <w:t>45 ir 45f straipsniai.</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Vidinis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Reglamento (ES) Nr. 575/2013 92b straipsnis.</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Nuorodos į teisės aktus ir nurodymai</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Taikymo lygis</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Jeigu subjektui vidinis MREL ir, kai taikytina, vidinis TLAC taikomi individualiai, reikia nurodyti „individualiai“.</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subjektui vidinis MREL ir, kai taikytina, vidinis TLAC taikomi konsoliduotai, reikia nurodyti „konsoliduotai“.</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Bendra rizikos pozicijos suma ir bendras pozicijų matas</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rizikos pozicijos suma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t xml:space="preserve">Direktyvos 2014/59/ES </w:t>
            </w:r>
            <w:r>
              <w:rPr>
                <w:rStyle w:val="FormatvorlageInstructionsTabelleText"/>
                <w:rFonts w:ascii="Times New Roman" w:hAnsi="Times New Roman"/>
                <w:sz w:val="24"/>
              </w:rPr>
              <w:t>45 straipsnio 2 dalies a punktas, Reglamento (ES) Nr. 575/2013 92 straipsnio 3 dalis.</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Šioje eilutėje pateikiama bendra rizikos pozicijos suma yra bendra rizikos pozicijos suma, kuri yra atitinkamai</w:t>
            </w:r>
            <w:r>
              <w:t xml:space="preserve"> Direktyvos 2014/59/ES</w:t>
            </w:r>
            <w:r>
              <w:rPr>
                <w:rStyle w:val="FormatvorlageInstructionsTabelleText"/>
                <w:rFonts w:ascii="Times New Roman" w:hAnsi="Times New Roman"/>
                <w:sz w:val="24"/>
              </w:rPr>
              <w:t xml:space="preserve"> 45 straipsnio arba Reglamento (ES) Nr. 575/2013 92b straipsnio reikalavimų laikymosi pagrindas.</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Bendras pozicijų matas (TEM)</w:t>
            </w:r>
          </w:p>
          <w:p w14:paraId="2E2DFC02" w14:textId="21E9C26A" w:rsidR="00482729" w:rsidRPr="001562B3" w:rsidRDefault="00EB663A">
            <w:pPr>
              <w:pStyle w:val="InstructionsText"/>
              <w:rPr>
                <w:rStyle w:val="FormatvorlageInstructionsTabelleText"/>
                <w:rFonts w:ascii="Times New Roman" w:hAnsi="Times New Roman"/>
                <w:sz w:val="24"/>
              </w:rPr>
            </w:pPr>
            <w:r>
              <w:t xml:space="preserve">Direktyvos 2014/59/ES </w:t>
            </w:r>
            <w:r>
              <w:rPr>
                <w:rStyle w:val="FormatvorlageInstructionsTabelleText"/>
                <w:rFonts w:ascii="Times New Roman" w:hAnsi="Times New Roman"/>
                <w:sz w:val="24"/>
              </w:rPr>
              <w:t>45 straipsnio 2 dalies b punktas, Reglamento (ES) Nr. 575/2013 429 straipsnio 4 dalis ir 429a straipsnis.</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Šioje eilutėje pateikiamas bendras pozicijų matas yra bendras pozicijų matas, kuris yra atitinkamai </w:t>
            </w:r>
            <w:r>
              <w:t>Direktyvos 2014/59/ES</w:t>
            </w:r>
            <w:r>
              <w:rPr>
                <w:rStyle w:val="FormatvorlageInstructionsTabelleText"/>
                <w:rFonts w:ascii="Times New Roman" w:hAnsi="Times New Roman"/>
                <w:sz w:val="24"/>
              </w:rPr>
              <w:t xml:space="preserve"> 45 straipsnio arba Reglamento (ES) Nr. 575/2013 92b straipsnio reikalavimų laikymosi pagrindas.</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Tinkamos nuosavos lėšos ir tinkami įsipareigojimai</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Tinkamos nuosavos lėšos ir tinkami įsipareigojimai</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Vidinis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Tinkamų nuosavų lėšų, tinkamų įsipareigojimų ir garantijų, kuriuos leidžiama įtraukti vykdant vidinį MREL pagal</w:t>
            </w:r>
            <w:r>
              <w:t xml:space="preserve"> Direktyvos 2014/59/ES</w:t>
            </w:r>
            <w:r>
              <w:rPr>
                <w:rStyle w:val="InstructionsTabelleberschrift"/>
                <w:rFonts w:ascii="Times New Roman" w:hAnsi="Times New Roman"/>
                <w:b w:val="0"/>
                <w:sz w:val="24"/>
                <w:u w:val="none"/>
              </w:rPr>
              <w:t xml:space="preserve"> 45f straipsnio 2 dalį, taip pat atsižvelgiant, kai taikoma, į tos direktyvos 89 straipsnio 2 dalies ketvirtą pastraipą, suma.</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Tuo atveju, kai priemones reglamentuoja trečiosios valstybės teisė, į šią eilutę priemonė įtraukiama tik jeigu ji atitinka</w:t>
            </w:r>
            <w:r>
              <w:t xml:space="preserve"> Direktyvos 2014/59/ES</w:t>
            </w:r>
            <w:r>
              <w:rPr>
                <w:rStyle w:val="InstructionsTabelleberschrift"/>
                <w:rFonts w:ascii="Times New Roman" w:hAnsi="Times New Roman"/>
                <w:b w:val="0"/>
                <w:sz w:val="24"/>
                <w:u w:val="none"/>
              </w:rPr>
              <w:t xml:space="preserve"> 55 straipsnio reikalavimus.</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Šioje eilutėje nurodoma suma yra suma, gauta pritaikius atskaitymus arba lygiavertes priemones, kurių reikalaujama pagal Direktyvos 2014/59/ES 45f straipsnio 6 dalyje nurodytame deleguotajame reglamente nustatytą metodą.</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Vidinis TLAC</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Tinkamos nuosavos lėšos ir tinkami įsipareigojimai, kuriuos leidžiama įtraukti</w:t>
            </w:r>
            <w:r>
              <w:rPr>
                <w:rStyle w:val="InstructionsTabelleberschrift"/>
                <w:rFonts w:ascii="Times New Roman" w:hAnsi="Times New Roman"/>
                <w:b w:val="0"/>
                <w:sz w:val="24"/>
                <w:u w:val="none"/>
              </w:rPr>
              <w:t xml:space="preserve"> vykdant vidinį TLAC pagal Reglamento (ES) Nr. 575/2013 92b straipsnio 2 ir 3 dalis.</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Tinkamos nuosavos lėšos</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CET1 kapitalo, tinkamo papildomo 1 lygio kapitalo ir tinkamo 2 lygio kapitalo suma</w:t>
            </w:r>
          </w:p>
          <w:p w14:paraId="455E6C31" w14:textId="58FE2CF3"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Vidinio MREL atveju </w:t>
            </w:r>
            <w:r>
              <w:t>Direktyvos 2014/59/ES</w:t>
            </w:r>
            <w:r>
              <w:rPr>
                <w:rStyle w:val="FormatvorlageInstructionsTabelleText"/>
                <w:rFonts w:ascii="Times New Roman" w:hAnsi="Times New Roman"/>
                <w:sz w:val="24"/>
              </w:rPr>
              <w:t xml:space="preserve"> 89 straipsnio 2 dalies ketvirtoje pastraipoje nurodytos priemonės įtraukiamos į šią eilutę ir į 0230 bei 0240 eilutes, jeigu ta dalis taikoma. Priemonės, kurias reglamentuoja trečiosios valstybės teisė, į šią eilutę ir į 0230 bei 0240 eilutes įtraukiamos tik jeigu jos atitinka tos direktyvos 55 straipsnio reikalavimus.</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Bendras 1 lygio nuosavas kapitalas (CET1)</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50 straipsnis.</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Tinkamas papildomas 1 lygio kapitalas</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61 straipsnis</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Vidinis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Į priemones atsižvelgiama tik jeigu jos atitinka Direktyvos 2014/59/ES 45f straipsnio 2 dalies b punkto ii papunktyje nurodytus kriterijus.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Vidinis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priemones atsižvelgiama tik jeigu jos atitinka Reglamento (ES) Nr. 575/2013 92b straipsnio 2 dalyje nustatytus kriterijus.</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Tinkamas 2 lygio kapitalas</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71 straipsnis</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Vidinis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Į priemones atsižvelgiama tik jeigu jos atitinka Direktyvos 2014/59/ES 45f straipsnio 2 dalies b punkto ii papunktyje nustatytus kriterijus.</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Vidinis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priemones atsižvelgiama tik jeigu jos atitinka</w:t>
            </w:r>
            <w:r>
              <w:t xml:space="preserve"> Reglamento (ES) Nr. 575/2013 92b straipsnio 2 dalyje nustatytus kriterijus</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Tinkami įsipareigojimai ir garantijos</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Tinkami įsipareigojimai (neįskaitant garantijų)</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Vidinis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Tinkami įsipareigojimai, atitinkantys Direktyvos 2014/59/ES 45f straipsnio 2 dalies a punkte nustatytas sąlygas</w:t>
            </w:r>
            <w:r>
              <w:rPr>
                <w:rStyle w:val="InstructionsTabelleberschrift"/>
                <w:rFonts w:ascii="Times New Roman" w:hAnsi="Times New Roman"/>
                <w:b w:val="0"/>
                <w:sz w:val="24"/>
                <w:u w:val="none"/>
              </w:rPr>
              <w:t>, taip pat atsižvelgiant, kai taikoma, į tos direktyvos 89 straipsnio 2 dalies ketvirtą pastraipą.</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Tuo atveju, kai priemones reglamentuoja trečiosios valstybės teisė, į šią eilutę priemonė įtraukiama tik jeigu ji atitinka Direktyvos 2014/59/ES 55 straipsnio reikalavimus.</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Vidinis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Tinkamų įsipareigojimų suma apskaičiuojama pagal Reglamento (ES) Nr. 575/2013 72k straipsnį, kai tie įsipareigojimai atitinka to reglamento 92b straipsnio 3 dalyje nustatytas sąlygas.</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Pertvarkytino subjekto suteiktos garantijos, kurioms pertvarkymo institucija suteikė leidimą</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Jeigu patronuojamosios įmonės pertvarkymo institucija leidžia informaciją teikiančiam subjektui vidinį MREL įvykdyti naudojant garantijas, nurodoma garantijų, kurias suteikia pertvarkytinas subjektas ir kurios atitinka visas </w:t>
            </w:r>
            <w:r>
              <w:t>Direktyvos 2014/59/ES</w:t>
            </w:r>
            <w:r>
              <w:rPr>
                <w:rStyle w:val="FormatvorlageInstructionsTabelleText"/>
                <w:rFonts w:ascii="Times New Roman" w:hAnsi="Times New Roman"/>
                <w:sz w:val="24"/>
              </w:rPr>
              <w:t xml:space="preserve"> 45f straipsnio 5 dalyje nustatytas sąlygas, suma.</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Papildomas straipsnis. Užtikrinta garantijos dalis</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0270 eilutėje nurodytos garantijos dalis, užtikrinta pagal susitarimą dėl finansinio įkaito, kaip nurodyta </w:t>
            </w:r>
            <w:r>
              <w:t>Direktyvos 2014/59/ES</w:t>
            </w:r>
            <w:r>
              <w:rPr>
                <w:rStyle w:val="FormatvorlageInstructionsTabelleText"/>
                <w:rFonts w:ascii="Times New Roman" w:hAnsi="Times New Roman"/>
                <w:sz w:val="24"/>
              </w:rPr>
              <w:t xml:space="preserve"> 45f straipsnio 5 dalies c punkte.</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Atskaitymai arba lygiavertės priemonės</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Atskaitymai arba lygiavertės priemonės, kurių reikalaujama pagal Direktyvos 2014/59/ES 45f straipsnio 6 dalyje nurodytame deleguotajame reglamente nustatytą metodą. Ši eilutė pildoma tik tada, kai bus taikomas deleguotasis reglamentas.</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Tinkamų nuosavų lėšų ir tinkamų įsipareigojimų koeficientai</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Nuosavos lėšos ir tinkami įsipareigojimai kaip TREA procentinė dalis</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Informaciją teikiančio subjekto tinkamų nuosavų lėšų, tinkamų įsipareigojimų ir leidžiamų garantijų sumos, įtraukiamos atitinkamai vykdant vidinį MREL ir vidinį TLAC, išreikštos kaip bendros rizikos pozicijos sumos, apskaičiuotos pagal</w:t>
            </w:r>
            <w:r>
              <w:t xml:space="preserve"> </w:t>
            </w:r>
            <w:r>
              <w:rPr>
                <w:rStyle w:val="FormatvorlageInstructionsTabelleText"/>
                <w:rFonts w:ascii="Times New Roman" w:hAnsi="Times New Roman"/>
                <w:sz w:val="24"/>
              </w:rPr>
              <w:t>Reglamento (ES) Nr. 575/2013 92 straipsnio 3 dalį, procentinė dalis.</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leidžiamos garantijos</w:t>
            </w:r>
          </w:p>
          <w:p w14:paraId="6E0BA424" w14:textId="75A3DA62"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Informaciją teikiančio subjekto tinkamų nuosavų lėšų, tinkamų įsipareigojimų ir leidžiamų garantijų, kurie yra garantijos, kurias suteikė pertvarkytinas subjektas ir pripažino pertvarkymo institucija pagal </w:t>
            </w:r>
            <w:r>
              <w:t>Direktyvos 2014/59/ES</w:t>
            </w:r>
            <w:r>
              <w:rPr>
                <w:rStyle w:val="FormatvorlageInstructionsTabelleText"/>
                <w:rFonts w:ascii="Times New Roman" w:hAnsi="Times New Roman"/>
                <w:sz w:val="24"/>
              </w:rPr>
              <w:t xml:space="preserve"> 45f straipsnio 5 dalį, suma, įtraukiama vykdant vidinį MREL, išreikšta kaip bendros rizikos pozicijos sumos, apskaičiuotos pagal</w:t>
            </w:r>
            <w:r>
              <w:t xml:space="preserve"> Reglamento (ES) Nr. 575/2013</w:t>
            </w:r>
            <w:r>
              <w:rPr>
                <w:rStyle w:val="FormatvorlageInstructionsTabelleText"/>
                <w:rFonts w:ascii="Times New Roman" w:hAnsi="Times New Roman"/>
                <w:sz w:val="24"/>
              </w:rPr>
              <w:t xml:space="preserve"> 92 straipsnio 3 dalį, procentinė dalis.</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Nuosavos lėšos ir tinkami įsipareigojimai kaip TEM procentinė dalis</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Informaciją teikiančio subjekto tinkamų nuosavų lėšų ir tinkamų įsipareigojimų sumos, įtraukiamos atitinkamai vykdant vidinį MREL ir vidinį TLAC, išreikštos kaip bendro pozicijų mato, apskaičiuoto pagal to reglamento 429 straipsnio 4 dalį ir 429a straipsnį, procentinė dalis.</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leidžiamos garantijos</w:t>
            </w:r>
          </w:p>
          <w:p w14:paraId="5D4BEBD4" w14:textId="29134CEE"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Informaciją teikiančio subjekto tinkamų nuosavų lėšų ir tinkamų įsipareigojimų, kurie yra garantijos, kurias suteikė pertvarkytinas subjektas ir pripažino pertvarkymo institucija pagal </w:t>
            </w:r>
            <w:r>
              <w:t>Direktyvos 2014/59/ES</w:t>
            </w:r>
            <w:r>
              <w:rPr>
                <w:rStyle w:val="FormatvorlageInstructionsTabelleText"/>
                <w:rFonts w:ascii="Times New Roman" w:hAnsi="Times New Roman"/>
                <w:sz w:val="24"/>
              </w:rPr>
              <w:t xml:space="preserve"> 45f straipsnio 5 dalį, suma, įtraukiama vykdant vidinį MREL, išreikšta kaip bendro pozicijų mato, apskaičiuoto pagal</w:t>
            </w:r>
            <w:r>
              <w:t xml:space="preserve"> Reglamento (ES) Nr. 575/2013</w:t>
            </w:r>
            <w:r>
              <w:rPr>
                <w:rStyle w:val="FormatvorlageInstructionsTabelleText"/>
                <w:rFonts w:ascii="Times New Roman" w:hAnsi="Times New Roman"/>
                <w:sz w:val="24"/>
              </w:rPr>
              <w:t xml:space="preserve"> 429 straipsnio 4 dalį ir 429a straipsnį, procentinė dalis.</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Įvykdžius subjekto reikalavimus likusi CET1 suma (%)</w:t>
            </w:r>
          </w:p>
          <w:p w14:paraId="58C29D7C" w14:textId="367516F6"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Lygi nuliui arba teigiama CET1 suma, likusi įvykdžius kiekvieną iš </w:t>
            </w:r>
            <w:r>
              <w:t>Direktyvos 2013/36/ES</w:t>
            </w:r>
            <w:r>
              <w:rPr>
                <w:rStyle w:val="FormatvorlageInstructionsTabelleText"/>
                <w:rFonts w:ascii="Times New Roman" w:hAnsi="Times New Roman"/>
                <w:sz w:val="24"/>
              </w:rPr>
              <w:t xml:space="preserve"> 141a straipsnio 1 dalies a, b ir c punktuose nurodytų reikalavimų, ir didesnioji iš šių sumų:</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kai taikoma, vidinis TLAC reikalavimas pagal</w:t>
            </w:r>
            <w:r>
              <w:t xml:space="preserve"> Reglamento (ES) Nr. 575/2013</w:t>
            </w:r>
            <w:r>
              <w:rPr>
                <w:rStyle w:val="FormatvorlageInstructionsTabelleText"/>
                <w:rFonts w:ascii="Times New Roman" w:hAnsi="Times New Roman"/>
                <w:sz w:val="24"/>
              </w:rPr>
              <w:t xml:space="preserve"> 92b straipsnį, apskaičiuotas pagal to reglamento 92b straipsnio 1 dalį kaip 90 % to reglamento 92a straipsnio 1 dalies a punkto reikalavimo;</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vidinis MREL reikalavimas pagal</w:t>
            </w:r>
            <w:r>
              <w:t xml:space="preserve"> Direktyvos 2014/59/ES</w:t>
            </w:r>
            <w:r>
              <w:rPr>
                <w:rStyle w:val="FormatvorlageInstructionsTabelleText"/>
                <w:rFonts w:ascii="Times New Roman" w:hAnsi="Times New Roman"/>
                <w:sz w:val="24"/>
              </w:rPr>
              <w:t xml:space="preserve"> 45f straipsnį, apskaičiuotas pagal tos direktyvos 45 straipsnio 2 dalies a punktą.</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Turimas CET1 išreiškiamas bendros rizikos pozicijos sumos, nurodytos 0100 eilutėje, procentine dalimi.</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Pateikiamas skaičius yra identiškas vidinio MREL ir vidinio TLAC skiltyse.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Juo atsižvelgiama į pereinamojo laikotarpio nuostatų poveikį nuosavoms lėšoms ir tinkamiems įsipareigojimams, bendrai rizikos pozicijos sumai ir patiems reikalavimams. Nei į gaires dėl papildomų nuosavų lėšų, nurodytas</w:t>
            </w:r>
            <w:r>
              <w:t xml:space="preserve"> Direktyvos 2013/36/ES</w:t>
            </w:r>
            <w:r>
              <w:rPr>
                <w:rStyle w:val="InstructionsTabelleberschrift"/>
                <w:rFonts w:ascii="Times New Roman" w:hAnsi="Times New Roman"/>
                <w:b w:val="0"/>
                <w:sz w:val="24"/>
                <w:u w:val="none"/>
              </w:rPr>
              <w:t xml:space="preserve"> 104b straipsnyje, nei į tos direktyvos 128 straipsnio pirmos pastraipos 6 punkto jungtinio rezervo reikalavimą neatsižvelgiama.</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Papildomi straipsniai</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Jungtinio rezervo reikalavimas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Direktyvos 2013/36/ES </w:t>
            </w:r>
            <w:r>
              <w:rPr>
                <w:rStyle w:val="FormatvorlageInstructionsTabelleText"/>
                <w:rFonts w:ascii="Times New Roman" w:hAnsi="Times New Roman"/>
                <w:sz w:val="24"/>
              </w:rPr>
              <w:t xml:space="preserve">128 straipsnio </w:t>
            </w:r>
            <w:r>
              <w:t xml:space="preserve">pirmos pastraipos 6 punktas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Jungtinio rezervo reikalavimas išreiškiamas bendros rizikos pozicijos sumos procentine dalimi.</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 jo: kapitalo apsaugos rezervo reikalavimas </w:t>
            </w:r>
          </w:p>
          <w:p w14:paraId="2EF1B114" w14:textId="1AE53AED" w:rsidR="008C1E88" w:rsidRPr="001562B3" w:rsidRDefault="008C1E88" w:rsidP="008E501F">
            <w:pPr>
              <w:pStyle w:val="InstructionsText"/>
              <w:rPr>
                <w:rStyle w:val="InstructionsTabelleberschrift"/>
                <w:rFonts w:ascii="Times New Roman" w:hAnsi="Times New Roman"/>
                <w:sz w:val="24"/>
              </w:rPr>
            </w:pPr>
            <w:r>
              <w:t xml:space="preserve">Įstaigos specialaus jungtinio rezervo (išreikšto </w:t>
            </w:r>
            <w:r>
              <w:rPr>
                <w:rStyle w:val="FormatvorlageInstructionsTabelleText"/>
                <w:rFonts w:ascii="Times New Roman" w:hAnsi="Times New Roman"/>
                <w:sz w:val="24"/>
              </w:rPr>
              <w:t>bendros rizikos pozicijos sumos</w:t>
            </w:r>
            <w:r>
              <w:t xml:space="preserve"> procentine dalimi) suma, susijusi su kapitalo apsaugos rezervo reikalavimu.</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 jo: anticiklinio kapitalo rezervo reikalavimas </w:t>
            </w:r>
          </w:p>
          <w:p w14:paraId="4E424522" w14:textId="1A5077C0" w:rsidR="008C1E88" w:rsidRPr="001562B3" w:rsidRDefault="008C1E88" w:rsidP="008E501F">
            <w:pPr>
              <w:pStyle w:val="InstructionsText"/>
              <w:rPr>
                <w:rStyle w:val="InstructionsTabelleberschrift"/>
                <w:rFonts w:ascii="Times New Roman" w:hAnsi="Times New Roman"/>
                <w:sz w:val="24"/>
              </w:rPr>
            </w:pPr>
            <w:r>
              <w:t xml:space="preserve">Įstaigos specialaus jungtinio rezervo (išreikšto </w:t>
            </w:r>
            <w:r>
              <w:rPr>
                <w:rStyle w:val="FormatvorlageInstructionsTabelleText"/>
                <w:rFonts w:ascii="Times New Roman" w:hAnsi="Times New Roman"/>
                <w:sz w:val="24"/>
              </w:rPr>
              <w:t>bendros rizikos pozicijos sumos</w:t>
            </w:r>
            <w:r>
              <w:t xml:space="preserve"> procentine dalimi) suma, susijusi su anticiklinio kapitalo rezervo reikalavimu.</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 jo: sisteminės rizikos rezervo reikalavimas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lastRenderedPageBreak/>
              <w:t xml:space="preserve">Įstaigos specialaus jungtinio rezervo (išreikšto </w:t>
            </w:r>
            <w:r>
              <w:rPr>
                <w:rStyle w:val="FormatvorlageInstructionsTabelleText"/>
                <w:rFonts w:ascii="Times New Roman" w:hAnsi="Times New Roman"/>
                <w:sz w:val="24"/>
              </w:rPr>
              <w:t>bendros rizikos pozicijos sumos</w:t>
            </w:r>
            <w:r>
              <w:t xml:space="preserve"> procentine dalimi) suma, susijusi su sisteminės rizikos rezervo reikalavimu.</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 pasaulinės sisteminės svarbos įstaigos (G-SII) arba kitos sisteminės svarbos įstaigos (O-SII) rezervas</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Įstaigos specialaus jungtinio rezervo (išreikšto </w:t>
            </w:r>
            <w:r>
              <w:rPr>
                <w:rStyle w:val="FormatvorlageInstructionsTabelleText"/>
                <w:rFonts w:ascii="Times New Roman" w:hAnsi="Times New Roman"/>
                <w:sz w:val="24"/>
              </w:rPr>
              <w:t>bendros rizikos pozicijos sumos</w:t>
            </w:r>
            <w:r>
              <w:t xml:space="preserve"> procentine dalimi) suma, susijusi su G-SII arba O-SII rezervo reikalavimu.</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 kuriems gali būti taikoma gelbėjimo privačiomis lėšomis priemonė</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Subjektai, kurių turimos nuosavų lėšų ir tinkamų įsipareigojimų sumos tos informacijos pateikimo dieną sudaro bent 150 %</w:t>
            </w:r>
            <w:r>
              <w:t xml:space="preserve"> </w:t>
            </w:r>
            <w:r>
              <w:rPr>
                <w:rStyle w:val="FormatvorlageInstructionsTabelleText"/>
                <w:rFonts w:ascii="Times New Roman" w:hAnsi="Times New Roman"/>
                <w:sz w:val="24"/>
              </w:rPr>
              <w:t>Direktyvos 2014/59/ES 45 straipsnio 1 dalyje nustatyto reikalavimo, informacijos</w:t>
            </w:r>
            <w:r>
              <w:rPr>
                <w:rStyle w:val="InstructionsTabelleberschrift"/>
                <w:rFonts w:ascii="Times New Roman" w:hAnsi="Times New Roman"/>
                <w:b w:val="0"/>
                <w:sz w:val="24"/>
                <w:u w:val="none"/>
              </w:rPr>
              <w:t xml:space="preserve"> 0550–0600 eilutėse pateikti neprivalo. Tokie subjektai gali pasirinkti tą informaciją šioje formoje pateikti savanoriškai.</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 kuriems gali būti taikoma gelbėjimo privačiomis lėšomis priemonė</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Įsipareigojimų, kuriems gali būti taikoma gelbėjimo privačiomis lėšomis priemonė, apibrėžtų</w:t>
            </w:r>
            <w:r>
              <w:rPr>
                <w:rStyle w:val="FormatvorlageInstructionsTabelleText"/>
                <w:rFonts w:ascii="Times New Roman" w:hAnsi="Times New Roman"/>
                <w:sz w:val="24"/>
              </w:rPr>
              <w:t xml:space="preserve"> Direktyvos 2014/59/ES</w:t>
            </w:r>
            <w:r>
              <w:rPr>
                <w:rStyle w:val="InstructionsTabelleberschrift"/>
                <w:rFonts w:ascii="Times New Roman" w:hAnsi="Times New Roman"/>
                <w:b w:val="0"/>
                <w:sz w:val="24"/>
                <w:u w:val="none"/>
              </w:rPr>
              <w:t xml:space="preserve"> 2 straipsnio 1 dalies 71 punkte, kurie nėra tinkami tos direktyvos 45 ir 45f straipsnio reikalavimams įvykdyti,</w:t>
            </w:r>
            <w:r>
              <w:rPr>
                <w:rStyle w:val="FormatvorlageInstructionsTabelleText"/>
                <w:rFonts w:ascii="Times New Roman" w:hAnsi="Times New Roman"/>
                <w:sz w:val="24"/>
              </w:rPr>
              <w:t xml:space="preserve"> suma.</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reglamentuojami trečiosios valstybės teisės</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Kitų įsipareigojimų, kuriems gali būti taikoma gelbėjimo privačiomis lėšomis priemonė ir kuriuos reglamentuoja trečiosios valstybės teisė, kaip nurodyta Direktyvos 2014/59/ES 55 straipsnyje, suma.</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apimantys nurašymo ir konvertavimo sąlygą, kaip nurodyta Direktyvos 2014/59/ES 55 straipsnyje</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Kitų įsipareigojimų, kuriems gali būti taikoma gelbėjimo privačiomis lėšomis priemonė, kuriuos reglamentuoja trečiosios valstybės teisė ir kurie apima nurašymo ir konvertavimo sąlygą, kaip nurodyta Direktyvos 2014/59/ES 55 straipsnyje, suma.</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Kitų įsipareigojimų, kuriems gali būti taikoma gelbėjimo privačiomis lėšomis priemonė, suskirstymas pagal likutinį terminą</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Likutinis terminas &lt; 1 metai</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Likutinis terminas &gt;= 1 metai ir &lt; 2 metai</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Likutinis terminas &gt;= 2 metai</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Neįtraukti įsipareigojimai</w:t>
            </w:r>
          </w:p>
          <w:p w14:paraId="70A8E546" w14:textId="429FC290" w:rsidR="00DC4984" w:rsidRPr="001562B3" w:rsidRDefault="00DC4984">
            <w:pPr>
              <w:pStyle w:val="InstructionsText"/>
              <w:rPr>
                <w:rStyle w:val="InstructionsTabelleberschrift"/>
                <w:rFonts w:ascii="Times New Roman" w:hAnsi="Times New Roman"/>
                <w:sz w:val="24"/>
              </w:rPr>
            </w:pPr>
            <w:r>
              <w:t xml:space="preserve">Reglamento (ES) Nr. 575/2013 </w:t>
            </w:r>
            <w:r>
              <w:rPr>
                <w:rStyle w:val="InstructionsTabelleberschrift"/>
                <w:rFonts w:ascii="Times New Roman" w:hAnsi="Times New Roman"/>
                <w:b w:val="0"/>
                <w:sz w:val="24"/>
                <w:u w:val="none"/>
              </w:rPr>
              <w:t>72a straipsnio 2 dalis.</w:t>
            </w:r>
          </w:p>
        </w:tc>
      </w:tr>
    </w:tbl>
    <w:p w14:paraId="18144D67" w14:textId="61C583E0" w:rsidR="00762AE8" w:rsidRPr="001562B3" w:rsidRDefault="00762AE8" w:rsidP="00873459">
      <w:pPr>
        <w:pStyle w:val="Numberedtilelevel1"/>
        <w:numPr>
          <w:ilvl w:val="1"/>
          <w:numId w:val="30"/>
        </w:numPr>
      </w:pPr>
      <w:bookmarkStart w:id="55" w:name="_Toc45558490"/>
      <w:r>
        <w:lastRenderedPageBreak/>
        <w:t>M 04.00. Tinkamų įsipareigojimų finansavimo struktūra (LIAB 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Bendrosios pastabos</w:t>
      </w:r>
      <w:bookmarkEnd w:id="56"/>
      <w:bookmarkEnd w:id="57"/>
      <w:bookmarkEnd w:id="58"/>
    </w:p>
    <w:p w14:paraId="3591A4DC" w14:textId="13176F8B" w:rsidR="00AD2DA9" w:rsidRPr="001562B3" w:rsidRDefault="00762AE8" w:rsidP="00E05895">
      <w:pPr>
        <w:pStyle w:val="InstructionsText2"/>
      </w:pPr>
      <w:r>
        <w:t>Šioje lentelėje reikalaujama pateikti informaciją apie subjektų, kuriems taikomas MREL, tinkamų įsipareigojimų finansavimo struktūrą. Tinkami įsipareigojimai suskirstomi pagal įsipareigojimo rūšį ir terminą.</w:t>
      </w:r>
    </w:p>
    <w:p w14:paraId="051EEF6E" w14:textId="11A35C94" w:rsidR="00E645F5" w:rsidRPr="001562B3" w:rsidRDefault="00E645F5" w:rsidP="008E501F">
      <w:pPr>
        <w:pStyle w:val="InstructionsText2"/>
      </w:pPr>
      <w:r>
        <w:t>Subjektai šioje lentelėje nurodo tik tuos įsipareigojimus, kurie yra tinkami Direktyvoje 2014/59/ES nustatytam minimaliam nuosavų lėšų ir tinkamų įsipareigojimų reikalavimui (MREL / vidiniam MREL) įvykdyti.</w:t>
      </w:r>
    </w:p>
    <w:p w14:paraId="5A88828B" w14:textId="585AB3E9" w:rsidR="00095D0D" w:rsidRPr="001562B3" w:rsidRDefault="00AD2DA9" w:rsidP="001562B3">
      <w:pPr>
        <w:pStyle w:val="InstructionsText2"/>
      </w:pPr>
      <w:r>
        <w:t>Jeigu informaciją teikiantis subjektas yra pertvarkytinas subjektas, nurodomi tinkami įsipareigojimai, apibrėžti Direktyvos 2014/59/ES 2 straipsnio 1 dalies 71a punkte. Iš tinkamų įsipareigojimų, kuriuos reglamentuoja trečiosios valstybės teisė, įtraukiami tik tie įsipareigojimai, kurie atitinka tos direktyvos 55 straipsnio reikalavimus.</w:t>
      </w:r>
    </w:p>
    <w:p w14:paraId="1A4BEB0E" w14:textId="6FAE6C21" w:rsidR="00762AE8" w:rsidRPr="001562B3" w:rsidRDefault="00AD2DA9">
      <w:pPr>
        <w:pStyle w:val="InstructionsText2"/>
      </w:pPr>
      <w:r>
        <w:t xml:space="preserve">Jeigu informaciją teikiantis subjektas nėra pertvarkytinas subjektas, šioje formoje jis pateikia tinkamus įsipareigojimus, nurodytus Direktyvos 2014/59/ES 45f straipsnio 2 dalies a punkte, taip pat atsižvelgdamas, kai taikoma, į tos direktyvos 89 straipsnio 2 dalies ketvirtą pastraipą </w:t>
      </w:r>
      <w:r>
        <w:rPr>
          <w:rStyle w:val="InstructionsTabelleberschrift"/>
          <w:rFonts w:ascii="Times New Roman" w:hAnsi="Times New Roman"/>
          <w:b w:val="0"/>
          <w:sz w:val="24"/>
          <w:u w:val="none"/>
        </w:rPr>
        <w:t>Tuo atveju, kai priemones reglamentuoja trečiosios valstybės teisė, į šią eilutę priemonė įtraukiama tik jeigu ji atitinka tos direktyvos 55 straipsnio reikalavimus</w:t>
      </w:r>
      <w:r>
        <w:t>.</w:t>
      </w:r>
    </w:p>
    <w:p w14:paraId="2C1B2000" w14:textId="1D037CCB" w:rsidR="00762AE8" w:rsidRPr="001562B3" w:rsidRDefault="00762AE8">
      <w:pPr>
        <w:pStyle w:val="InstructionsText2"/>
      </w:pPr>
      <w:r>
        <w:t xml:space="preserve">Pagal rūšį įsipareigojimai suskirstomi remiantis tuo pačiu įsipareigojimų rūšių rinkiniu, kuris naudojamas teikiant informaciją pertvarkymo planavimo tikslais pagal Reglamentą (ES) 2018/1624. Siekiant apibrėžti skirtingas įsipareigojimų rūšis, pateikiamos nuorodos į tą reglamentą. </w:t>
      </w:r>
    </w:p>
    <w:p w14:paraId="27A75DAB" w14:textId="209C08EF" w:rsidR="00762AE8" w:rsidRPr="001562B3" w:rsidRDefault="00762AE8">
      <w:pPr>
        <w:pStyle w:val="InstructionsText2"/>
      </w:pPr>
      <w:r>
        <w:t>Kai reikalaujama suskirstymo pagal terminą, likutinis terminas yra iki sutartinio termino likęs laikotarpis arba anksčiausia galima data, kurią galima įvykdyti pasirinkimo sandorį, pagal Reglamento (ES) Nr. 575/2013 72c straipsnio 2 arba 3 dalį. Tarpinių pagrindinės sumos mokėjimų atveju pagrindinė suma padalijama ir priskiriama prie atitinkamų terminų intervalų. Kai taikoma, terminas pagrindinei sumai ir sukauptoms palūkanoms nurodomas atskirai.</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Nurodymai dėl konkrečių pozicijų</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TINKAMI ĮSIPAREIGOJIMAI</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Neapdrausti nepirmenybiniai indėliai &gt;= 1 metai</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Neapdrausti ir nepirmenybiniai indėliai, apibrėžti Reglamento (ES) 2018/1624 I priedo Z 02.00 šablono 0320 eilutės tikslais, kurie yra tinkami </w:t>
            </w:r>
            <w:r>
              <w:t>Direktyvos 2014/59/ES</w:t>
            </w:r>
            <w:r>
              <w:rPr>
                <w:rStyle w:val="FormatvorlageInstructionsTabelleText"/>
                <w:rFonts w:ascii="Times New Roman" w:hAnsi="Times New Roman"/>
                <w:sz w:val="24"/>
              </w:rPr>
              <w:t xml:space="preserve"> 45 straipsnio tikslais.</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1 metai ir &lt; 2 metai</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2 metai</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išleisti patronuojamųjų įmonių</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Įkaitu neužtikrinti užtikrintieji įsipareigojimai &gt;= 1 metai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Įkaitu neužtikrinti užtikrintieji įsipareigojimai, apibrėžti Reglamento (ES) 2018/1624 I priedo Z 02.00 šablono 0340 eilutės tikslais, kurie yra tinkami </w:t>
            </w:r>
            <w:r>
              <w:t>Direktyvos 2014/59/ES</w:t>
            </w:r>
            <w:r>
              <w:rPr>
                <w:rStyle w:val="FormatvorlageInstructionsTabelleText"/>
                <w:rFonts w:ascii="Times New Roman" w:hAnsi="Times New Roman"/>
                <w:sz w:val="24"/>
              </w:rPr>
              <w:t xml:space="preserve"> 45 straipsnio tikslais.</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1 metai ir &lt; 2 metai</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2 metai</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išleisti patronuojamųjų įmonių</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Struktūrizuoti vertybiniai popieriai &gt;= 1 metai</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Struktūrizuoti vertybiniai popieriai, apibrėžti Reglamento (ES) 2018/1624 I priedo Z 02.00 šablono 0350 eilutės tikslais, kurie yra tinkami </w:t>
            </w:r>
            <w:r>
              <w:t>Direktyvos 2014/59/ES</w:t>
            </w:r>
            <w:r>
              <w:rPr>
                <w:rStyle w:val="FormatvorlageInstructionsTabelleText"/>
                <w:rFonts w:ascii="Times New Roman" w:hAnsi="Times New Roman"/>
                <w:sz w:val="24"/>
              </w:rPr>
              <w:t xml:space="preserve"> 45 straipsnio tikslais.</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1 metai ir &lt; 2 metai</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likutinis terminas &gt;= 2 metai</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išleisti patronuojamųjų įmonių</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Pirmaeiliai neužtikrinti įsipareigojimai &gt;= 1 metai</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Pirmaeiliai neužtikrinti įsipareigojimai, apibrėžti Reglamento (ES) 2018/1624 I priedo Z 02.00 šablono 0360 eilutės tikslais, kurie yra tinkami </w:t>
            </w:r>
            <w:r>
              <w:t>Direktyvos 2014/59/ES</w:t>
            </w:r>
            <w:r>
              <w:rPr>
                <w:rStyle w:val="FormatvorlageInstructionsTabelleText"/>
                <w:rFonts w:ascii="Times New Roman" w:hAnsi="Times New Roman"/>
                <w:sz w:val="24"/>
              </w:rPr>
              <w:t xml:space="preserve"> 45 straipsnio tikslais.</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1 metai ir &lt; 2 metai</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2 metai</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išleisti patronuojamųjų įmonių</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Pirmaeiliai nepirmenybiniai įsipareigojimai &gt;= 1 metai</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Pirmaeiliai nepirmenybiniai įsipareigojimai, apibrėžti Reglamento (ES) 2018/1624 I priedo Z 02.00 šablono 0365 eilutės tikslais, kurie yra tinkami </w:t>
            </w:r>
            <w:r>
              <w:t>Direktyvos 2014/59/ES</w:t>
            </w:r>
            <w:r>
              <w:rPr>
                <w:rStyle w:val="FormatvorlageInstructionsTabelleText"/>
                <w:rFonts w:ascii="Times New Roman" w:hAnsi="Times New Roman"/>
                <w:sz w:val="24"/>
              </w:rPr>
              <w:t xml:space="preserve"> 45 straipsnio tikslais.</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1 metai ir &lt; 2 metai</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iš jų: likutinis terminas &gt;= 2 metai</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išleisti patronuojamųjų įmonių</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Subordinuotieji įsipareigojimai (nepripažįstami kaip nuosavos lėšos) &gt;= 1 metai</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Subordinuotieji įsipareigojimai, apibrėžti Reglamento (ES) 2018/1624 I priedo Z 02.00 šablono 0370 eilutės tikslais, kurie yra tinkami </w:t>
            </w:r>
            <w:r>
              <w:t>Direktyvos 2014/59/ES</w:t>
            </w:r>
            <w:r>
              <w:rPr>
                <w:rStyle w:val="FormatvorlageInstructionsTabelleText"/>
                <w:rFonts w:ascii="Times New Roman" w:hAnsi="Times New Roman"/>
                <w:sz w:val="24"/>
              </w:rPr>
              <w:t xml:space="preserve"> 45 straipsnio tikslais.</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likutinis terminas &gt;= 1 metai ir &lt; 2 metai</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likutinis terminas &gt;= 2 metai</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 xml:space="preserve">iš </w:t>
            </w:r>
            <w:r>
              <w:rPr>
                <w:rStyle w:val="FormatvorlageInstructionsTabelleText"/>
                <w:rFonts w:ascii="Times New Roman" w:hAnsi="Times New Roman"/>
                <w:b/>
                <w:sz w:val="24"/>
                <w:u w:val="single"/>
              </w:rPr>
              <w:t>jų</w:t>
            </w:r>
            <w:r>
              <w:rPr>
                <w:rStyle w:val="InstructionsTabelleberschrift"/>
                <w:rFonts w:ascii="Times New Roman" w:hAnsi="Times New Roman"/>
                <w:sz w:val="24"/>
              </w:rPr>
              <w:t>: išleisti patronuojamųjų įmonių</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MREL tinkami įsipareigojimai &gt;= 1 metai</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Bet kuri kita priemonė, tinkama </w:t>
            </w:r>
            <w:r>
              <w:t>Direktyvos 2014/59/ES 45 straipsnio tikslais</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likutinis terminas &gt;= 1 metai ir &lt; 2 metai</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likutinis terminas &gt;= 2 metai</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išleisti patronuojamųjų įmonių</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Kreditorių eiliškumas</w:t>
      </w:r>
      <w:bookmarkEnd w:id="63"/>
    </w:p>
    <w:p w14:paraId="2625F207" w14:textId="7E2342CE" w:rsidR="00C91ACB" w:rsidRPr="001562B3" w:rsidRDefault="00C91ACB" w:rsidP="00E05895">
      <w:pPr>
        <w:pStyle w:val="InstructionsText2"/>
      </w:pPr>
      <w:r>
        <w:t>M 05.00 ir M 06.00 lentelėse pateikiama informacija apie tinkamų įsipareigojimų eiliškumą kreditorių hierarchijoje. Abi lentelės visuomet pildomos individualiu lygmeniu.</w:t>
      </w:r>
    </w:p>
    <w:p w14:paraId="18C2B303" w14:textId="229D9162" w:rsidR="00C91ACB" w:rsidRPr="001562B3" w:rsidRDefault="00C91ACB" w:rsidP="008E501F">
      <w:pPr>
        <w:pStyle w:val="InstructionsText2"/>
      </w:pPr>
      <w:r>
        <w:t>Tuo atveju, kai subjektai patys nėra pertvarkytini subjektai, kiekvienam prioritetui priskirtina suma, kai taikoma, toliau skaidoma į sumas, mokėtinas pertvarkytinam subjektui, ir kitas sumas, kurios nėra mokėtinos pertvarkytinam subjektui.</w:t>
      </w:r>
    </w:p>
    <w:p w14:paraId="21EE5EAE" w14:textId="77777777" w:rsidR="00C91ACB" w:rsidRPr="001562B3" w:rsidRDefault="00C91ACB" w:rsidP="001562B3">
      <w:pPr>
        <w:pStyle w:val="InstructionsText2"/>
      </w:pPr>
      <w:r>
        <w:t>Prioritetai eilės tvarka išdėstomi nuo mažiausio iki didžiausio. Prioritetams skirtų eilučių įtraukiama tiek, kiek reikia, kol pateikiama didžiausio prioriteto tinkama priemonė ir visi tokio pat (</w:t>
      </w:r>
      <w:r>
        <w:rPr>
          <w:i/>
        </w:rPr>
        <w:t>pari passu</w:t>
      </w:r>
      <w:r>
        <w:t>) kaip jos prioriteto įsipareigojimai.</w:t>
      </w:r>
    </w:p>
    <w:p w14:paraId="50B30E08" w14:textId="0B887B5F" w:rsidR="00C91ACB" w:rsidRPr="001562B3" w:rsidRDefault="00C91ACB" w:rsidP="00873459">
      <w:pPr>
        <w:pStyle w:val="Numberedtilelevel1"/>
        <w:numPr>
          <w:ilvl w:val="1"/>
          <w:numId w:val="30"/>
        </w:numPr>
      </w:pPr>
      <w:bookmarkStart w:id="64" w:name="_Toc45558494"/>
      <w:r>
        <w:t>M 05.00. Kreditorių eiliškumas (subjektas, kuris nėra pertvarkytinas subjektas)</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Bendrosios pastabos</w:t>
      </w:r>
      <w:bookmarkEnd w:id="65"/>
      <w:bookmarkEnd w:id="66"/>
      <w:bookmarkEnd w:id="67"/>
    </w:p>
    <w:p w14:paraId="4B50C36D" w14:textId="0EF2ACE6" w:rsidR="00BD1023" w:rsidRPr="001562B3" w:rsidRDefault="00BD1023" w:rsidP="00E05895">
      <w:pPr>
        <w:pStyle w:val="InstructionsText2"/>
      </w:pPr>
      <w:r>
        <w:t>Subjektai, kuriems taikoma prievolė laikytis Reglamento (ES) Nr. 575/2013 92b straipsnio reikalavimo, šioje formoje nurodo nuosavas lėšas ir tinkamus įsipareigojimus vidinio MREL tikslais, taip pat kitus įsipareigojimus, kuriems gali būti taikoma gelbėjimo privačiomis lėšomis priemonė. Įsipareigojimai, kuriems gelbėjimo privačiomis lėšomis priemonė netaikoma, įtraukiami tokiu mastu, kokiu jie yra tokio pat (</w:t>
      </w:r>
      <w:r>
        <w:rPr>
          <w:i/>
        </w:rPr>
        <w:t>pari passu</w:t>
      </w:r>
      <w:r>
        <w:t xml:space="preserve">) arba mažesnio prioriteto negu bet kokia priemonė, įtraukta į tinkamų įsipareigojimų sumą vidinio MREL tikslais. </w:t>
      </w:r>
    </w:p>
    <w:p w14:paraId="3C363ACA" w14:textId="1C49A603" w:rsidR="00F942C9" w:rsidRPr="001562B3" w:rsidRDefault="00F942C9" w:rsidP="00453B42">
      <w:pPr>
        <w:pStyle w:val="InstructionsText2"/>
      </w:pPr>
      <w:r>
        <w:t>Subjektai, kuriems netaikoma prievolė laikytis Reglamento (ES) Nr. 575/2013 92b straipsnio reikalavimo, tačiau taikoma prievolė laikytis Direktyvos 2014/59/ES 45 straipsnio reikalavimo pagal tos direktyvos 45f straipsnį, šioje formoje nurodo nuosavas lėšas ir tinkamus įsipareigojimus vidinio MREL tikslais, taip pat kitus įsipareigojimus, kuriems gali būti taikoma gelbėjimo privačiomis lėšomis priemonė. Nukrypdami nuo šių nuostatų, subjektai gali pasirinkti nurodyti tokios pačios apimties nuosavas lėšas ir įsipareigojimus, kaip nurodyta pirmiau pateiktoje 20 dalyje.</w:t>
      </w:r>
    </w:p>
    <w:p w14:paraId="2D11E02F" w14:textId="5E3D7215" w:rsidR="00453B42" w:rsidRPr="001562B3" w:rsidRDefault="00FC1379" w:rsidP="00453B42">
      <w:pPr>
        <w:pStyle w:val="InstructionsText2"/>
      </w:pPr>
      <w:r>
        <w:t xml:space="preserve">Subjektai, kurių turimos nuosavų lėšų ir tinkamų įsipareigojimų sumos tos informacijos pateikimo dieną sudaro bent 150 % Direktyvos 2014/59/ES 45 straipsnio 1 dalyje nurodyto reikalavimo, apie kitus įsipareigojimus, kuriems gali būti taikoma gelbėjimo privačiomis lėšomis priemonė, informacijos pateikti neprivalo. Tokie subjektai gali pasirinkti informaciją apie kitus įsipareigojimus, </w:t>
      </w:r>
      <w:r>
        <w:lastRenderedPageBreak/>
        <w:t>kuriems gali būti taikoma gelbėjimo privačiomis lėšomis priemonė, šioje formoje pateikti savanoriškai.</w:t>
      </w:r>
    </w:p>
    <w:p w14:paraId="04EC4B94" w14:textId="2CAEDC93" w:rsidR="00C91ACB" w:rsidRPr="001562B3" w:rsidRDefault="00C91ACB" w:rsidP="008E501F">
      <w:pPr>
        <w:pStyle w:val="InstructionsText2"/>
      </w:pPr>
      <w:r>
        <w:t>0010 ir 0020 skilčių derinys yra eilutės identifikatorius, unikalus visoms formos eilutėms.</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t>Nurodymai dėl konkrečių pozicijų</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Nuorodos į teisės aktus ir nurodymai</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Prioritetas nemokumo atveju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Nurodomas informaciją teikiančio subjekto prioriteto nemokumo atveju numeris kreditorių hierarchijoje, pradedant nuo mažiausio prioriteto.</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Prioritetas nemokumo atveju yra vienas iš prioritetų, įtrauktų į prioritetų nemokumo atveju hierarchiją, paskelbtą tos jurisdikcijos pertvarkymo institucijos.</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Kreditoriaus rūšis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Kreditoriaus rūšis yra viena iš šių:</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„Pertvarkytinas subjektas“</w:t>
            </w:r>
            <w:r>
              <w:t xml:space="preserve"> </w:t>
            </w:r>
            <w:r>
              <w:br/>
            </w:r>
            <w:r>
              <w:rPr>
                <w:rStyle w:val="FormatvorlageInstructionsTabelleText"/>
                <w:rFonts w:ascii="Times New Roman" w:hAnsi="Times New Roman"/>
                <w:sz w:val="24"/>
              </w:rPr>
              <w:t>Šis įrašas pasirenkamas siekiant nurodyti sumas, priklausančias pertvarkytinam subjektui tiesiogiai arba netiesiogiai per subjektus visoje nuosavybės grandinėje, kai taikoma.</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„Subjektai, kurie nėra pertvarkytinas subjektas“</w:t>
            </w:r>
            <w:r>
              <w:t xml:space="preserve"> </w:t>
            </w:r>
            <w:r>
              <w:br/>
            </w:r>
            <w:r>
              <w:rPr>
                <w:rStyle w:val="FormatvorlageInstructionsTabelleText"/>
                <w:rFonts w:ascii="Times New Roman" w:hAnsi="Times New Roman"/>
                <w:sz w:val="24"/>
              </w:rPr>
              <w:t>Šis įrašas pasirenkamas siekiant nurodyti kitiems kreditoriams priklausančias sumas, kai taikoma.</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Prioriteto nemokumo atveju aprašymas</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Aprašymas, įtrauktas į prioritetų nemokumo atveju hierarchiją, paskelbtą tos jurisdikcijos pertvarkymo institucijos, kai tokį aprašymą apimantis standartizuotas sąrašas yra prieinamas. Kitu atveju pačios įstaigos pateiktas prioriteto nemokumo atveju aprašymas, nurodant bent pagrindinę priemonių rūšį atitinkamo prioriteto nemokumo atveju kategorijoje.</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Įsipareigojimai ir nuosavos lėšos</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nuosavų lėšų, tinkamų įsipareigojimų ir, kai taikoma, kitų įsipareigojimų, kuriems gali būti taikoma gelbėjimo privačiomis lėšomis priemonė, suma, priskiriama prie 0010 skiltyje nurodyto prioriteto nemokumo atveju.</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Atitinkamais atvejais į šią skiltį taip pat įtraukiami įsipareigojimai, kuriems gelbėjimo privačiomis lėšomis priemonė netaikoma, tokiu mastu, kokiu jie yra mažesnio arba tokio pat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prioriteto kaip nuosavos lėšos ir tinkami įsipareigojimai.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21 dalies pirmame sakinyje nurodytų subjektų atveju ši skiltis paliekama tuščia, nebent tie subjektai pasirenka taikyti 21 dalies paskutinio sakinio nukrypti leidžiančią išlygą.</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neįtraukti įsipareigojimai</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Įsipareigojimų, neįtrauktų pagal Reglamento (ES) Nr. 575/2013 72a straipsnio 2 dalį arba </w:t>
            </w:r>
            <w:r>
              <w:t>Direktyvos 2014/59/ES</w:t>
            </w:r>
            <w:r>
              <w:rPr>
                <w:rStyle w:val="FormatvorlageInstructionsTabelleText"/>
                <w:rFonts w:ascii="Times New Roman" w:hAnsi="Times New Roman"/>
                <w:sz w:val="24"/>
              </w:rPr>
              <w:t xml:space="preserve"> 44 straipsnio 2 dalį, suma. Jeigu pertvarkymo institucija nusprendė neįtraukti įsipareigojimų pagal tos direktyvos 44 straipsnio 3 dalį, tie neįtraukti įsipareigojimai šioje eilutėje taip pat nurodomi.</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21 dalies pirmame sakinyje nurodytų subjektų atveju ši skiltis paliekama tuščia, nebent tie subjektai pasirenka taikyti 21 dalies paskutinio sakinio nukrypti leidžiančią išlygą.</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Įsipareigojimai ir nuosavos lėšos, atėmus neįtrauktus įsipareigojimus</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Nurodoma įsipareigojimų ir nuosavų lėšų suma, nurodyta 0040 skiltyje, atėmus 0050 skiltyje nurodytą neįtrauktų įsipareigojimų sumą.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nuosavos lėšos ir tinkami įsipareigojimai vidinio MREL tikslais</w:t>
            </w:r>
          </w:p>
          <w:p w14:paraId="61B28CDA" w14:textId="2F99546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Nurodoma nuosavų lėšų ir įsipareigojimų, įtraukiamų vykdant vidinį MREL pagal </w:t>
            </w:r>
            <w:r>
              <w:t>Direktyvos 2014/59/ES</w:t>
            </w:r>
            <w:r>
              <w:rPr>
                <w:rStyle w:val="FormatvorlageInstructionsTabelleText"/>
                <w:rFonts w:ascii="Times New Roman" w:hAnsi="Times New Roman"/>
                <w:sz w:val="24"/>
              </w:rPr>
              <w:t xml:space="preserve"> 45f straipsnio 2 dalį, suma.</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iš jų: kurių likutinis terminas</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Nuosavų lėšų ir tinkamų įsipareigojimų, įtraukiamų vykdant vidinį MREL, suma, nurodyta 0070 skiltyje, suskirstoma pagal įvairių priemonių ir straipsnių likutinį terminą. Nuolatinio pobūdžio priemonės ir straipsniai į šį suskirstymą neįtraukiami: jie nurodomi atskirai 0120 skiltyje.</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metai &lt; 2 metai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metai &lt; 5 metai</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metai &lt; 10 metų</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metų</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Iš jų: nuolatiniai vertybiniai popieriai</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06.00. Kreditorių eiliškumas (pertvarkytinas subjektas) (PRIORITETAS)</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Bendrosios pastabos</w:t>
      </w:r>
      <w:bookmarkEnd w:id="72"/>
      <w:bookmarkEnd w:id="73"/>
      <w:bookmarkEnd w:id="74"/>
    </w:p>
    <w:p w14:paraId="5A6C0462" w14:textId="07F8BB0B" w:rsidR="00586927" w:rsidRPr="001562B3" w:rsidRDefault="00586927" w:rsidP="001562B3">
      <w:pPr>
        <w:pStyle w:val="InstructionsText2"/>
      </w:pPr>
      <w:r>
        <w:t>Subjektai, kuriems taikoma prievolė laikytis Reglamento (ES) Nr. 575/2013 92a straipsnio reikalavimo, šioje formoje nurodo nuosavas lėšas, tinkamus įsipareigojimus MREL tikslais ir kitus įsipareigojimus, kuriems gali būti taikoma gelbėjimo privačiomis lėšomis priemonė. Įsipareigojimai, kuriems gelbėjimo privačiomis lėšomis priemonė netaikoma, įtraukiami tokiu mastu, kokiu jie yra tokio pat (</w:t>
      </w:r>
      <w:r>
        <w:rPr>
          <w:i/>
        </w:rPr>
        <w:t>pari passu</w:t>
      </w:r>
      <w:r>
        <w:t xml:space="preserve">) arba mažesnio prioriteto negu bet kokia priemonė, įtraukta į tinkamų įsipareigojimų sumą MREL tikslais. </w:t>
      </w:r>
    </w:p>
    <w:p w14:paraId="7CF10E5F" w14:textId="7E58F128" w:rsidR="00586927" w:rsidRPr="001562B3" w:rsidRDefault="00586927">
      <w:pPr>
        <w:pStyle w:val="InstructionsText2"/>
      </w:pPr>
      <w:r>
        <w:t xml:space="preserve">Subjektai, kuriems netaikoma prievolė laikytis Reglamento (ES) Nr. 575/2013 92a straipsnio reikalavimo, tačiau taikoma prievolė laikytis Direktyvos 2014/59/ES 45 straipsnio reikalavimo pagal tos direktyvos 45e straipsnį, šioje formoje nurodo nuosavas lėšas ir tinkamus įsipareigojimus MREL tikslais, taip </w:t>
      </w:r>
      <w:r>
        <w:lastRenderedPageBreak/>
        <w:t>pat kitus įsipareigojimus, kuriems gali būti taikoma gelbėjimo privačiomis lėšomis priemonė. Šie subjektai gali pasirinkti nurodyti tokios pačios apimties nuosavas lėšas ir įsipareigojimus, kaip nurodyta pirmiau pateiktoje 24 dalyje.</w:t>
      </w:r>
    </w:p>
    <w:p w14:paraId="56113AA6" w14:textId="12DF980B" w:rsidR="00453B42" w:rsidRPr="001562B3" w:rsidRDefault="00FC1379" w:rsidP="00453B42">
      <w:pPr>
        <w:pStyle w:val="InstructionsText2"/>
      </w:pPr>
      <w:r>
        <w:t>Subjektai, kurių turimos nuosavų lėšų ir tinkamų įsipareigojimų sumos tos informacijos pateikimo dieną sudaro bent 150 % Direktyvos 2014/59/ES 45 straipsnio 1 dalyje nurodyto reikalavimo, apie kitus įsipareigojimus, kuriems gali būti taikoma gelbėjimo privačiomis lėšomis priemonė, informacijos pateikti neprivalo. Tokie subjektai gali pasirinkti informaciją apie kitus įsipareigojimus, kuriems gali būti taikoma gelbėjimo privačiomis lėšomis priemonė, šioje formoje pateikti savanoriškai.</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Nurodymai dėl konkrečių pozicijų</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Nuorodos į teisės aktus ir nurodymai</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Prioritetas nemokumo atveju</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Žr. nurodymus dėl M 05.00 formos 0010 skilties.</w:t>
            </w:r>
          </w:p>
          <w:p w14:paraId="4BDEE699" w14:textId="2E13107A" w:rsidR="002D5E59" w:rsidRPr="001562B3" w:rsidRDefault="002D5E59" w:rsidP="00C271AC">
            <w:r>
              <w:rPr>
                <w:rStyle w:val="FormatvorlageInstructionsTabelleText"/>
                <w:rFonts w:ascii="Times New Roman" w:hAnsi="Times New Roman"/>
                <w:sz w:val="24"/>
              </w:rPr>
              <w:t>Ši skiltis yra eilutės identifikatorius, unikalus visoms formos eilutėms.</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Prioriteto nemokumo atveju aprašymas</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nurodymus dėl M 05.00 formos 0030 skilties</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Įsipareigojimai ir nuosavos lėšos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nuosavų lėšų, tinkamų įsipareigojimų ir, kai taikoma, kitų įsipareigojimų, kuriems gali būti taikoma gelbėjimo privačiomis lėšomis priemonė, suma, priskiriama prie 0010 skiltyje nurodyto prioriteto nemokumo atveju.</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Kai taikoma, į šią skiltį taip pat įtraukiami įsipareigojimai, kuriems gelbėjimo privačiomis lėšomis priemonė netaikoma, tokiu mastu, kokiu jie yra mažesnio arba tokio pat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prioriteto kaip tinkami įsipareigojimai.</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25 dalies pirmame sakinyje nurodytų subjektų atveju ši skiltis paliekama tuščia, nebent tie subjektai pasirenka taikyti 25 dalies paskutinio sakinio nukrypti leidžiančią išlygą.</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neįtraukti įsipareigojimai</w:t>
            </w:r>
          </w:p>
          <w:p w14:paraId="26F592C4" w14:textId="0CB68218" w:rsidR="00586927" w:rsidRPr="001562B3" w:rsidRDefault="005869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Įsipareigojimų, neįtrauktų pagal</w:t>
            </w:r>
            <w:r>
              <w:t xml:space="preserve"> Reglamento (ES) Nr. 575/2013 </w:t>
            </w:r>
            <w:r>
              <w:rPr>
                <w:rStyle w:val="FormatvorlageInstructionsTabelleText"/>
                <w:rFonts w:ascii="Times New Roman" w:hAnsi="Times New Roman"/>
                <w:sz w:val="24"/>
              </w:rPr>
              <w:t>72a straipsnio 2 dalį arba</w:t>
            </w:r>
            <w:r>
              <w:t xml:space="preserve"> Direktyvos 2014/59/ES 44 straipsnio 2 dalį</w:t>
            </w:r>
            <w:r>
              <w:rPr>
                <w:rStyle w:val="FormatvorlageInstructionsTabelleText"/>
                <w:rFonts w:ascii="Times New Roman" w:hAnsi="Times New Roman"/>
                <w:sz w:val="24"/>
              </w:rPr>
              <w:t>, suma.</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25 dalies pirmame sakinyje nurodytų subjektų atveju ši skiltis paliekama tuščia, nebent tie subjektai pasirenka taikyti 25 dalies antro sakinio nukrypti leidžiančią išlygą.</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Įsipareigojimai ir nuosavos lėšos, atėmus neįtrauktus įsipareigojimus</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Nurodoma įsipareigojimų ir nuosavų lėšų suma, nurodyta 0030 skiltyje, atėmus 0040 skiltyje nurodytą neįtrauktų įsipareigojimų sumą.</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nuosavos lėšos ir įsipareigojimai, potencialiai tinkami MREL įvykdyti</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Nuosavų lėšų ir įsipareigojimų, tinkamų siekiant įvykdyti Direktyvos 2014/59/ES 45 straipsnio reikalavimus pagal tos direktyvos 45e straipsnį, suma.</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lastRenderedPageBreak/>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iš jų: kurių likutinis terminas</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Nuosavų lėšų ir įsipareigojimų, tinkamų siekiant įvykdyti Direktyvos 2014/59/ES 45 straipsnio reikalavimą pagal tos direktyvos 45e straipsnį, suma, nurodyta 0060 skiltyje, suskirstoma pagal įvairių priemonių ir straipsnių likutinį terminą. Nuolatinio pobūdžio priemonės ir straipsniai į šį suskirstymą neįtraukiami: jie nurodomi atskirai 0110 skiltyje.</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metai &lt; 2 metai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metai &lt; 5 metai</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metai &lt; 10 metų</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metų</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nuolatiniai vertybiniai popieriai</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Trečiosios valstybės teisės reglamentuojamos priemonės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Bendrosios pastabos</w:t>
      </w:r>
      <w:bookmarkEnd w:id="82"/>
      <w:bookmarkEnd w:id="83"/>
    </w:p>
    <w:p w14:paraId="38DE6937" w14:textId="1FE5439B" w:rsidR="00ED05AC" w:rsidRPr="001562B3" w:rsidRDefault="00962059" w:rsidP="001562B3">
      <w:pPr>
        <w:pStyle w:val="InstructionsText2"/>
      </w:pPr>
      <w:r>
        <w:t>M 07.00 formoje pateikiamas priemonių, kurios gali būti priskiriamos prie nuosavų lėšų ir tinkamų įsipareigojimų MREL tikslais, suskirstymas pagal sutartis. Šioje formoje nurodomos tik priemonės, kurias reglamentuoja trečiosios valstybės teisė.</w:t>
      </w:r>
    </w:p>
    <w:p w14:paraId="058C983F" w14:textId="395F6621" w:rsidR="00810663" w:rsidRPr="001562B3" w:rsidRDefault="003677E2">
      <w:pPr>
        <w:pStyle w:val="InstructionsText2"/>
      </w:pPr>
      <w:r>
        <w:t>Teikdami informaciją apie tinkamus įsipareigojimus, kurie nėra subordinuoti neįtrauktų įsipareigojimų atžvilgiu, subjektai nurodo tik vertybinius popierius, kurie yra pakeičiamos perleidžiamosios finansinės priemonės, išskyrus paskolas ir indėlius.</w:t>
      </w:r>
    </w:p>
    <w:p w14:paraId="7F675B40" w14:textId="6125AF03" w:rsidR="00FC1379" w:rsidRPr="001562B3" w:rsidRDefault="00B40AC1" w:rsidP="00FC1379">
      <w:pPr>
        <w:pStyle w:val="InstructionsText2"/>
      </w:pPr>
      <w:r>
        <w:t xml:space="preserve">Tuo atveju, kai priemonės iš dalies atitinka priskyrimo prie dviejų skirtingų nuosavų lėšų arba tinkamų įsipareigojimų klasių reikalavimus, priemonė nurodoma du kartus, kad būtų atsižvelgta į sumas, atskirai priskirtas prie skirtingų kapitalo klasių. </w:t>
      </w:r>
    </w:p>
    <w:p w14:paraId="4D79951A" w14:textId="26C7050A" w:rsidR="00043DC2" w:rsidRPr="001562B3" w:rsidRDefault="00ED05AC">
      <w:pPr>
        <w:pStyle w:val="InstructionsText2"/>
      </w:pPr>
      <w:r>
        <w:t>Skilčių 0020 (Emitento kodas), 0040 (Sutarties identifikatorius) ir 0070 (Nuosavų lėšų arba tinkamų įsipareigojimų rūšis) derinys yra eilutės identifikatorius, kuris kiekvienai formos eilutei turi būti unikalus.</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Nurodymai dėl konkrečių pozicijų</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Nuorodos į teisės aktus ir nurodymai</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Emitentas</w:t>
            </w:r>
          </w:p>
          <w:p w14:paraId="05F6543E" w14:textId="28A11EDA" w:rsidR="00043DC2" w:rsidRPr="001562B3" w:rsidRDefault="00DA4A88">
            <w:pPr>
              <w:pStyle w:val="InstructionsText"/>
            </w:pPr>
            <w:r>
              <w:rPr>
                <w:rStyle w:val="FormatvorlageInstructionsTabelleText"/>
                <w:rFonts w:ascii="Times New Roman" w:hAnsi="Times New Roman"/>
                <w:sz w:val="24"/>
              </w:rPr>
              <w:lastRenderedPageBreak/>
              <w:t>Kai teikiama informacija yra susijusi su pertvarkytina grupe, nurodomas grupės subjektas, kuris išleido atitinkamą priemonę. Kai teikiama informacija yra susijusi su vienu pertvarkytinu subjektu, pats emitentas yra informaciją teikiantis subjektas.</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Pavadinimas</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Subjekto, kuris išleido nuosavų lėšų priemonę arba tinkamų įsipareigojimų priemonę, pavadinimas</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Subjekto, kuris išleido nuosavų lėšų priemonę arba tinkamų įsipareigojimų priemonę, kodas.</w:t>
            </w:r>
          </w:p>
          <w:p w14:paraId="5C534D19" w14:textId="03170FCB" w:rsidR="00ED05AC" w:rsidRPr="001562B3" w:rsidRDefault="0047023B">
            <w:pPr>
              <w:pStyle w:val="InstructionsText"/>
            </w:pPr>
            <w:r>
              <w:t>Kodas, kuris yra eilutės identifikatoriaus dalis, turi būti unikalus kiekvienam subjektui, apie kurį teikiama informacija. Įstaigų kodas yra LEI kodas. Kitų subjektų kodas yra LEI kodas arba, jei jo nėra, nacionalinis kodas. Kodas yra unikalus ir nuosekliai naudojamas visose formose visą laiką. Kodas visuomet yra išreikštas tam tikra verte.</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Kodo rūšis</w:t>
            </w:r>
          </w:p>
          <w:p w14:paraId="435D7AD5" w14:textId="3FA7BE57" w:rsidR="00ED05AC" w:rsidRPr="001562B3" w:rsidRDefault="0047023B">
            <w:pPr>
              <w:pStyle w:val="InstructionsText"/>
            </w:pPr>
            <w:r>
              <w:t>Įstaigos nurodo 0020 skiltyje nurodyto kodo rūšį: „LEI kodas“ arba „ne LEI kodas“. Kodo rūšis nurodoma visada.</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Sutarties identifikatorius</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Nurodomas priemonės sutarties identifikatorius, kaip antai CUSIP, ISIN arba „Bloomberg“ neviešam platinimui nustatytas identifikatorius.</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Šis straipsnis yra eilutės identifikatoriaus dalis.</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Reglamentuojanti teisė (trečiosios valstybės)</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Nurodoma trečioji valstybė (šalys, išskyrus EEE šalis), kurios teisė reglamentuoja sutartį arba sutarties dalis.</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Nurašymo ir konvertavimo įgaliojimų pripažinimas sutartyse</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Nurodoma, ar į sutartį yra įtrauktos sutartinės sąlygos, nurodytos Direktyvos 2014/59/ES 55 straipsnio 1 dalyje ir</w:t>
            </w:r>
            <w:r>
              <w:t xml:space="preserve"> Reglamento (ES) Nr. 575/2013</w:t>
            </w:r>
            <w:r>
              <w:rPr>
                <w:rStyle w:val="FormatvorlageInstructionsTabelleText"/>
                <w:rFonts w:ascii="Times New Roman" w:hAnsi="Times New Roman"/>
                <w:sz w:val="24"/>
              </w:rPr>
              <w:t xml:space="preserve"> 52 straipsnio 1 dalies p ir q punktuose ir 63 straipsnio n ir o punktuose.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Reguliavimo tvarka</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Nuosavų lėšų arba tinkamų įsipareigojimų rūšis</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Nuosavų lėšų arba tinkamų įsipareigojimų rūšis, prie kurios priemonę galima priskirti ataskaitinę datą. Atsižvelgiama į pereinamojo laikotarpio nuostatas dėl priemonių tinkamumo. Priemonės, kurias galima priskirti prie kelių kapitalo klasių, nurodomos vieną kartą prie kiekvienos taikytinos kapitalo klasės.</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Nuosavų lėšų arba tinkamų įsipareigojimų rūšis yra viena iš šių:</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CET1</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papildomas 1 lygio kapitalas</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2 lygio kapitalas</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tinkami įsipareigojimai</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Priemonės rūšis</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Nurodytina priemonės rūšis priklauso nuo reglamentuojančios teisės, pagal kurią priemonė išleista.</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CET1 priemonių atveju priemonės rūšis pasirenkama iš CET1 priemonių sąrašo, kurį EBI skelbia pagal</w:t>
            </w:r>
            <w:r>
              <w:t xml:space="preserve"> Reglamento (ES) Nr. 575/2013</w:t>
            </w:r>
            <w:r>
              <w:rPr>
                <w:rStyle w:val="InstructionsTabelleberschrift"/>
                <w:rFonts w:ascii="Times New Roman" w:hAnsi="Times New Roman"/>
                <w:b w:val="0"/>
                <w:sz w:val="24"/>
                <w:u w:val="none"/>
              </w:rPr>
              <w:t xml:space="preserve"> 26 straipsnio 3 dalį.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Nuosavų lėšų, kurios nėra CET1, ir tinkamų įsipareigojimų atveju priemonės rūšis pasirenkama iš atitinkamų priemonių sąrašo, kurį skelbia EBI, kompetentingos institucijos arba pertvarkymo institucijos, kai toks sąrašas egzistuoja. Jeigu sąrašų nėra, informaciją teikiantis subjektas pats nurodo priemonių rūšį.</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Suma</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Nuosavomis lėšomis arba tinkamais įsipareigojimais pripažinta suma nurodoma atsižvelgiant į lygmenį, su kuriuo susijusi ataskaita, jeigu priemonės įtrauktos įvairiais lygmenimis. Nurodoma suma yra ataskaitinę datą aktuali suma, atsižvelgiant į pereinamojo laikotarpio nuostatų poveikį.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Prioritetas įprastinėje bankroto byloje</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Nurodomas priemonės prioritetas įprastinėje bankroto byloje.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Jį sudaro dviraidis šalies, kurios teisė reglamentuoja sutarties prioritetą, ISO kodas (0100 skiltis) (tai turi būti valstybės narės teisė) ir atitinkamo prioriteto nemokumo atveju numeris (0110 skiltis).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Atitinkamas prioritetas nemokumo atveju nustatomas remiantis prioritetų nemokumo atveju hierarchija, paskelbta pertvarkymo ar kitų institucijų, kai toks standartizuotas sąrašas yra prieinamas.</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Terminas</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Priemonės terminas nurodomas šiuo formatu: mmmm-mm-dd. Nuolatinių priemonių atveju laukelis paliekamas tuščias.</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(Anksčiausia) pareikalavimo data</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Kai emitentas turi pasirinkimo pirkti sandorį, nurodoma pirma data, kurią galima pasinaudoti teise pirkti.</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anksčiausia pareikalavimo data yra ankstesnė už ataskaitinę datą, nurodoma ta data, jeigu vis dar galima pasinaudoti teise pirkti. Jeigu ta teise pasinaudoti nebegalima, nurodoma kita data, kurią teise pirkti galima pasinaudoti.</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emitento pasirinkimo pirkti sandorių įvykdymo data nenurodyta arba teise pirkti pasinaudoti galima įvykus konkretiems įvykiams, nurodoma konservatyviai įvertinta tikėtina pareikalavimo data.</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Į pasirinkimo pirkti sandorius, susijusius su reglamentavimu arba mokesčiais, šioje skiltyje neatsižvelgiama.</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Reglamentuotas pareikalavimas (T / N)</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Nurodoma, ar emitentas</w:t>
            </w:r>
            <w:r>
              <w:rPr>
                <w:rStyle w:val="FormatvorlageInstructionsTabelleText"/>
                <w:rFonts w:ascii="Times New Roman" w:hAnsi="Times New Roman"/>
                <w:sz w:val="24"/>
              </w:rPr>
              <w:t xml:space="preserve"> turi pasirinkimo pirkti sandorį, vykdytiną įvykus su reglamentavimu susijusiam įvykiui, turinčiam įtakos sutarties tinkamumui MREL vykdyti.</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06F00B14" w:rsidR="009D2B1C" w:rsidRDefault="009D2B1C" w:rsidP="00684E72">
        <w:pPr>
          <w:pStyle w:val="Footer"/>
          <w:jc w:val="center"/>
        </w:pPr>
        <w:r>
          <w:fldChar w:fldCharType="begin"/>
        </w:r>
        <w:r>
          <w:instrText xml:space="preserve"> PAGE   \* MERGEFORMAT </w:instrText>
        </w:r>
        <w:r>
          <w:fldChar w:fldCharType="separate"/>
        </w:r>
        <w:r w:rsidR="00571E87">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06031A66"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571E87">
      <w:rPr>
        <w:rFonts w:ascii="Times New Roman" w:hAnsi="Times New Roman"/>
        <w:noProof/>
        <w:sz w:val="20"/>
        <w:szCs w:val="20"/>
      </w:rPr>
      <w:t>21</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 xml:space="preserve"> 2014 m. gegužės 15 d. Europos Parlamento ir Tarybos direktyva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 (OL L 173, 2014 6 12, p. 190).</w:t>
      </w:r>
    </w:p>
  </w:footnote>
  <w:footnote w:id="3">
    <w:p w14:paraId="1E07EC4E" w14:textId="77777777" w:rsidR="009D2B1C" w:rsidRPr="00B33C46" w:rsidRDefault="009D2B1C" w:rsidP="006876BA">
      <w:pPr>
        <w:pStyle w:val="FootnoteText"/>
      </w:pPr>
      <w:r>
        <w:rPr>
          <w:rStyle w:val="FootnoteReference"/>
        </w:rPr>
        <w:footnoteRef/>
      </w:r>
      <w:r>
        <w:tab/>
        <w:t>2013 m. birželio 26 d. Europos Parlamento ir Tarybos reglamentas (ES) Nr. 575/2013 dėl prudencinių reikalavimų kredito įstaigoms ir investicinėms įmonėms ir kuriuo iš dalies keičiamas Reglamentas (ES) Nr. 648/2012 (OL L 176, 2013 6 27, p. 1).</w:t>
      </w:r>
    </w:p>
  </w:footnote>
  <w:footnote w:id="4">
    <w:p w14:paraId="1AE3BE26" w14:textId="5BB9534A" w:rsidR="009D2B1C" w:rsidRPr="001562B3" w:rsidRDefault="009D2B1C" w:rsidP="009D5DA0">
      <w:pPr>
        <w:pStyle w:val="FootnoteText"/>
      </w:pPr>
      <w:r>
        <w:rPr>
          <w:rStyle w:val="FootnoteReference"/>
        </w:rPr>
        <w:footnoteRef/>
      </w:r>
      <w:r>
        <w:t xml:space="preserve"> </w:t>
      </w:r>
      <w:r>
        <w:tab/>
        <w:t>2018 m. spalio 23 d. Komisijos įgyvendinimo reglamentas (ES) 2018/1624, kuriuo nustatomi kredito įstaigų ir investicinių įmonių pertvarkymo planams rengti skirtos informacijos teikimo pagal Europos Parlamento ir Tarybos direktyvą 2014/59/ES tvarkos, standartinių formų ir šablonų techniniai įgyvendinimo standartai ir panaikinamas Komisijos įgyvendinimo reglamentas (ES) 2016/1066 (OL L 277, 2018 11 7, p. 1).</w:t>
      </w:r>
    </w:p>
  </w:footnote>
  <w:footnote w:id="5">
    <w:p w14:paraId="692FB9C1" w14:textId="77777777" w:rsidR="009D2B1C" w:rsidRPr="00B33C46" w:rsidRDefault="009D2B1C" w:rsidP="006876BA">
      <w:pPr>
        <w:pStyle w:val="FootnoteText"/>
      </w:pPr>
      <w:r>
        <w:rPr>
          <w:rStyle w:val="FootnoteReference"/>
        </w:rPr>
        <w:footnoteRef/>
      </w:r>
      <w:r>
        <w:t xml:space="preserve"> 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LT</w:t>
    </w:r>
  </w:p>
  <w:p w14:paraId="04590A15" w14:textId="7108A704" w:rsidR="009D2B1C" w:rsidRPr="00684E72" w:rsidRDefault="009D2B1C" w:rsidP="00684E72">
    <w:pPr>
      <w:pStyle w:val="Header"/>
      <w:jc w:val="center"/>
    </w:pPr>
    <w:r>
      <w:t>II priedas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29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1E87"/>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993"/>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129D1-CE18-4A3A-A0B2-802506CA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8463</Words>
  <Characters>56669</Characters>
  <Application>Microsoft Office Word</Application>
  <DocSecurity>0</DocSecurity>
  <Lines>1349</Lines>
  <Paragraphs>814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64318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2021-05-18T12:12:00Z</dcterms:created>
  <dcterms:modified xsi:type="dcterms:W3CDTF">2021-05-18T12:12:00Z</dcterms:modified>
</cp:coreProperties>
</file>