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A0A03" w14:textId="787A05F1" w:rsidR="001C2816" w:rsidRPr="00103E2D" w:rsidRDefault="00640971" w:rsidP="008B1550">
      <w:pPr>
        <w:pStyle w:val="Pagedecouverture"/>
      </w:pPr>
      <w:bookmarkStart w:id="0" w:name="_GoBack"/>
      <w:bookmarkEnd w:id="0"/>
      <w:r>
        <w:pict w14:anchorId="3C0FFD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1B0D824-3226-4438-98CE-DACCBF725FFF" style="width:450.6pt;height:409.8pt">
            <v:imagedata r:id="rId7" o:title=""/>
          </v:shape>
        </w:pict>
      </w:r>
    </w:p>
    <w:p w14:paraId="42BED65A" w14:textId="77777777" w:rsidR="00911C0D" w:rsidRPr="00103E2D" w:rsidRDefault="00911C0D">
      <w:pPr>
        <w:sectPr w:rsidR="00911C0D" w:rsidRPr="00103E2D" w:rsidSect="00DD4418">
          <w:footerReference w:type="default" r:id="rId8"/>
          <w:pgSz w:w="11907" w:h="16839"/>
          <w:pgMar w:top="1134" w:right="1417" w:bottom="1134" w:left="1417" w:header="709" w:footer="709" w:gutter="0"/>
          <w:pgNumType w:start="0"/>
          <w:cols w:space="720"/>
          <w:docGrid w:linePitch="360"/>
        </w:sectPr>
      </w:pPr>
    </w:p>
    <w:p w14:paraId="2E321C8E" w14:textId="77777777" w:rsidR="00911C0D" w:rsidRPr="00103E2D" w:rsidRDefault="00DD5153" w:rsidP="00DD5153">
      <w:pPr>
        <w:pStyle w:val="Typedudocument"/>
      </w:pPr>
      <w:r w:rsidRPr="00103E2D">
        <w:lastRenderedPageBreak/>
        <w:t>KOMISIJOS ĮGYVENDINIMO REGLAMENTAS (ES) …/...</w:t>
      </w:r>
    </w:p>
    <w:p w14:paraId="537E2F9A" w14:textId="06405468" w:rsidR="00911C0D" w:rsidRPr="00103E2D" w:rsidRDefault="00103E2D" w:rsidP="00DD5153">
      <w:pPr>
        <w:pStyle w:val="Datedadoption"/>
      </w:pPr>
      <w:r>
        <w:rPr>
          <w:rStyle w:val="Marker2"/>
        </w:rPr>
        <w:t>XXX</w:t>
      </w:r>
    </w:p>
    <w:p w14:paraId="2AF513BE" w14:textId="77777777" w:rsidR="00911C0D" w:rsidRPr="00103E2D" w:rsidRDefault="00DD5153" w:rsidP="00DD5153">
      <w:pPr>
        <w:pStyle w:val="Titreobjet"/>
      </w:pPr>
      <w:r w:rsidRPr="00103E2D">
        <w:t>kuriuo nustatomi Europos Parlamento ir Tarybos reglamento (ES) Nr. 575/2013 ir Europos Parlamento ir Tarybos direktyvos 2014/59/ES taikymo techniniai įgyvendinimo standartai, susiję su priežiūros ataskaitų teikimu ir viešu informacijos apie minimalų nuosavų lėšų ir tinkamų įsipareigojimų reikalavimą atskleidimu</w:t>
      </w:r>
    </w:p>
    <w:p w14:paraId="17032FFA" w14:textId="77777777" w:rsidR="00911C0D" w:rsidRPr="00103E2D" w:rsidRDefault="00DD5153" w:rsidP="00DD5153">
      <w:pPr>
        <w:pStyle w:val="IntrtEEE"/>
      </w:pPr>
      <w:r w:rsidRPr="00103E2D">
        <w:t>(Tekstas svarbus EEE)</w:t>
      </w:r>
    </w:p>
    <w:p w14:paraId="70543606" w14:textId="77777777" w:rsidR="00911C0D" w:rsidRPr="00103E2D" w:rsidRDefault="00911C0D" w:rsidP="00911C0D">
      <w:pPr>
        <w:pStyle w:val="Institutionquiagit"/>
      </w:pPr>
      <w:r w:rsidRPr="00103E2D">
        <w:t>EUROPOS KOMISIJA,</w:t>
      </w:r>
    </w:p>
    <w:p w14:paraId="69A98AD3" w14:textId="30134CBB" w:rsidR="00911C0D" w:rsidRPr="00103E2D" w:rsidRDefault="00911C0D" w:rsidP="00911C0D">
      <w:r w:rsidRPr="00103E2D">
        <w:t>atsižvelgdama į 2013 m. birželio 26 d. Europos Parlamento ir Tarybos reglamentą (ES) Nr. 575/2013 dėl prudencinių reikalavimų kredito įstaigoms ir investicinėms įmonėms ir kuriuo iš dalies keičiamas Reglamentas (ES) Nr. 648/2012</w:t>
      </w:r>
      <w:r w:rsidRPr="00103E2D">
        <w:rPr>
          <w:rStyle w:val="FootnoteReference"/>
        </w:rPr>
        <w:footnoteReference w:id="1"/>
      </w:r>
      <w:r w:rsidRPr="00103E2D">
        <w:t>, ypač į jo 430 straipsnio 7 dalies penktą pastraipą ir 434a straipsnio penktą pastraipą,</w:t>
      </w:r>
    </w:p>
    <w:p w14:paraId="283FAA3A" w14:textId="77777777" w:rsidR="00911C0D" w:rsidRPr="00103E2D" w:rsidRDefault="00911C0D" w:rsidP="00911C0D">
      <w:r w:rsidRPr="00103E2D">
        <w:t>atsižvelgdama į 2014 m. gegužės 15 d. Europos Parlamento ir Tarybos direktyvą 2014/59/ES, kuria nustatoma kredito įstaigų ir investicinių įmonių gaivinimo ir pertvarkymo sistema ir iš dalies keičiamos Tarybos direktyva 82/891/EEB, direktyvos 2001/24/EB, 2002/47/EB, 2004/25/EB, 2005/56/EB, 2007/36/EB, 2011/35/ES, 2012/30/ES bei 2013/36/ES ir Europos Parlamento ir Tarybos reglamentai (ES) Nr. 1093/2010 bei (ES) Nr. 648/2012</w:t>
      </w:r>
      <w:r w:rsidRPr="00103E2D">
        <w:rPr>
          <w:rStyle w:val="FootnoteReference"/>
        </w:rPr>
        <w:footnoteReference w:id="2"/>
      </w:r>
      <w:r w:rsidRPr="00103E2D">
        <w:t>, ypač į jos 45i straipsnio 5 ir 6 dalis,</w:t>
      </w:r>
    </w:p>
    <w:p w14:paraId="2D724A4A" w14:textId="77777777" w:rsidR="00911C0D" w:rsidRPr="00103E2D" w:rsidRDefault="00911C0D" w:rsidP="00911C0D">
      <w:r w:rsidRPr="00103E2D">
        <w:t>kadangi:</w:t>
      </w:r>
    </w:p>
    <w:p w14:paraId="1498BCD9" w14:textId="55EE7DC6" w:rsidR="00911C0D" w:rsidRPr="00103E2D" w:rsidRDefault="00911C0D" w:rsidP="00B378A2">
      <w:pPr>
        <w:pStyle w:val="Considrant"/>
        <w:numPr>
          <w:ilvl w:val="0"/>
          <w:numId w:val="36"/>
        </w:numPr>
      </w:pPr>
      <w:r w:rsidRPr="00103E2D">
        <w:t>Europos Parlamento ir Tarybos reglamentu (ES) 2019/876</w:t>
      </w:r>
      <w:r w:rsidRPr="00103E2D">
        <w:rPr>
          <w:rStyle w:val="FootnoteReference"/>
        </w:rPr>
        <w:footnoteReference w:id="3"/>
      </w:r>
      <w:r w:rsidRPr="00103E2D">
        <w:t xml:space="preserve">, kuriuo </w:t>
      </w:r>
      <w:r w:rsidRPr="00103E2D">
        <w:rPr>
          <w:sz w:val="23"/>
          <w:szCs w:val="23"/>
        </w:rPr>
        <w:t>iš dalies keičiamas Reglamentas (ES) Nr. 575/2013</w:t>
      </w:r>
      <w:r w:rsidRPr="00103E2D">
        <w:t>, į Sąjungos teisės aktus įtrauktas suderintas minimalus bendro nuostolių padengimo pajėgumo (TLAC) sąlygų (TLAC standarto) lygis pasaulinės sisteminės svarbos įstaigoms (G-SII) (toliau – TLAC reikalavimas).</w:t>
      </w:r>
      <w:r w:rsidRPr="00103E2D">
        <w:rPr>
          <w:sz w:val="23"/>
          <w:szCs w:val="23"/>
        </w:rPr>
        <w:t xml:space="preserve"> </w:t>
      </w:r>
      <w:r w:rsidRPr="00103E2D">
        <w:t>Konkrečiai įstaigai taikomas G-SII papildomas mokestis ir konkrečiai įstaigai taikomas ne G-SII skirtas reikalavimas, vadinamas minimaliu nuosavų lėšų ir tinkamų įsipareigojimų reikalavimu (MREL), nustatyti tiksliniais Direktyvos 2014/59/ES pakeitimais, padarytais Europos Parlamento ir Tarybos direktyva (ES) 2019/879</w:t>
      </w:r>
      <w:r w:rsidRPr="00103E2D">
        <w:rPr>
          <w:rStyle w:val="FootnoteReference"/>
        </w:rPr>
        <w:footnoteReference w:id="4"/>
      </w:r>
      <w:r w:rsidRPr="00103E2D">
        <w:t>. TLAC standarto ir MREL ataskaitų teikimo ir informacijos atskleidimo reikalavimai dabar yra įtraukti atitinkamai į Reglamentą (ES) Nr. 575/2013 ir Direktyvą 2014/59/ES;</w:t>
      </w:r>
    </w:p>
    <w:p w14:paraId="42917AA4" w14:textId="77777777" w:rsidR="00911C0D" w:rsidRPr="00103E2D" w:rsidRDefault="00911C0D" w:rsidP="00911C0D">
      <w:pPr>
        <w:pStyle w:val="Considrant"/>
      </w:pPr>
      <w:r w:rsidRPr="00103E2D">
        <w:lastRenderedPageBreak/>
        <w:t>kadangi TLAC standartu ir MREL siekiama to paties tikslo – užtikrinti, kad Sąjungoje įsteigtos įstaigos ir subjektai turėtų pakankamų nuostolių padengimo ir rekapitalizavimo pajėgumų, šie du reikalavimai turėtų būti bendros sistemos vienas kitą papildantys elementai. Todėl tikslinga nustatyti suderintos informacijos apie G-SII ir ne ES G-SII reikšmingų patronuojamųjų įmonių nuosavų lėšų ir tinkamų įsipareigojimų reikalavimą (TLAC) ir konkrečioms įstaigoms taikomus MREL ataskaitų teikimo ir viešo atskleidimo formas, taikytinas visoms įstaigoms;</w:t>
      </w:r>
    </w:p>
    <w:p w14:paraId="621ACD0D" w14:textId="77777777" w:rsidR="00911C0D" w:rsidRPr="00103E2D" w:rsidRDefault="00911C0D" w:rsidP="00911C0D">
      <w:pPr>
        <w:pStyle w:val="Considrant"/>
      </w:pPr>
      <w:r w:rsidRPr="00103E2D">
        <w:t>pagal Reglamento (ES) Nr. 575/2013 434a straipsnį techninių įgyvendinimo standartų projektais, kuriuos turi parengti Europos bankininkystės institucija (EBI), kad nustatytų vienodus informacijos atskleidimo formatus, turi būti siekiama užtikrinti informacijos atskleidimo formatų suderinamumą su tarptautiniais informacijos atskleidimo standartais, kad informaciją būtų lengviau palyginti; 2018 m. gruodžio mėn. Bazelio bankų priežiūros komitetas (BBPK) paskelbė atnaujintus 3 ramsčio informacijos atskleidimo reikalavimus, įskaitant informacijos apie TLAC atskleidimo reikalavimus. Todėl šiame reglamente nustatyti informacijos atskleidimo formatai ir susiję nurodymai turėtų derėti su tais atnaujintais BBPK informacijos atskleidimo reikalavimais;</w:t>
      </w:r>
    </w:p>
    <w:p w14:paraId="39396602" w14:textId="77777777" w:rsidR="00911C0D" w:rsidRPr="00103E2D" w:rsidRDefault="00911C0D" w:rsidP="00911C0D">
      <w:pPr>
        <w:pStyle w:val="Considrant"/>
      </w:pPr>
      <w:r w:rsidRPr="00103E2D">
        <w:t xml:space="preserve">siekiant užtikrinti, kad įstaigų patiriamos reikalavimų laikymosi išlaidos nebūtų nepagrįstai didinamos ir kad būtų išlaikyta duomenų kokybė, ataskaitų teikimo ir informacijos atskleidimo pareigos turinio atžvilgiu turėtų būti kuo labiau suderintos tarpusavyje, įskaitant informacijos teikimo dažnumą. Be to, suderinti TLAC ir MREL taikomų ataskaitų teikimo ir informacijos atskleidimo pareigų techninius įgyvendinimo standartus aiškiai reikalaujama pagal Direktyvos 2014/59/ES 45i straipsnio 5 dalies trečią pastraipą ir 45i straipsnio 6 dalies trečią pastraipą. Todėl tikslinga viename reglamente nustatyti standartus, taikytinus TLAC ir MREL ataskaitų teikimui ir informacijos atskleidimui. Be to, ataskaitų teikimo ir informacijos atskleidimo detalumas ir dažnumas turėtų būti tinkamai koreguojami, atsižvelgiant į atitinkamai Reglamente (ES) Nr. 575/2013 ir Direktyvoje 2014/59/ES nustatytus reikalavimus ir į poreikį užtikrinti, kad įstaigos visada tų reikalavimų laikytųsi; </w:t>
      </w:r>
    </w:p>
    <w:p w14:paraId="6A0B1EFC" w14:textId="77777777" w:rsidR="00911C0D" w:rsidRPr="00103E2D" w:rsidRDefault="00911C0D" w:rsidP="00911C0D">
      <w:pPr>
        <w:pStyle w:val="Considrant"/>
        <w:rPr>
          <w:noProof/>
        </w:rPr>
      </w:pPr>
      <w:r w:rsidRPr="00103E2D">
        <w:t>Direktyvoje 2014/59/ES reikalaujama, kad informacija apie MREL būtų teikiama ir kompetentingoms, ir pertvarkymo institucijoms. Reglamente (ES) Nr. 575/2013 reikalaujama, kad informacija apie TLAC būtų teikiama tik kompetentingoms institucijoms. Tačiau pagal Direktyvos 2014/59/ES 45d straipsnio 1 dalį pertvarkytino subjekto, kuris yra G-SII arba G-SII dalis, MREL sudaro TLAC reikalavimas ir bet koks papildomas mokestis. Todėl tikslinga užtikrinti, kad pertvarkymo institucijos gautų informaciją apie G-SII TLAC iš pastarųjų MREL ataskaitų . Tai neturėtų daryti poveikio kompetentingų institucijų ir pertvarkymo institucijų sudarytiems susitarimams, kuriais siekiama kuo labiau sumažinti duomenų srautus;</w:t>
      </w:r>
    </w:p>
    <w:p w14:paraId="47B09598" w14:textId="77777777" w:rsidR="00911C0D" w:rsidRPr="00103E2D" w:rsidRDefault="00911C0D" w:rsidP="00911C0D">
      <w:pPr>
        <w:pStyle w:val="Considrant"/>
      </w:pPr>
      <w:r w:rsidRPr="00103E2D">
        <w:t>Direktyvos 2014/59/ES 45i straipsnio 5 dalyje reikalaujama, kad, siekiant užtikrinti palyginamumą ir teisinį tikrumą, EBI parengsimais techninių įgyvendinimo standartų projektais būtų nustatytas standartizuotas būdas teikti informaciją apie nuosavų lėšų ir įsipareigojimų, kuriems gali būti taikoma gelbėjimo privačiomis lėšomis priemonė, eiliškumą, taikytiną nacionalinėse bankroto bylose kiekvienoje valstybėje narėje. Todėl atitinkamos pertvarkymo institucijos jų jurisdikcijai priklausančioms įstaigoms turėtų pateikti standartizuotą informaciją apie eiliškumą nemokumo atveju kiekvienoje valstybėje narėje, o jai pasikeitus – laiku pateikti atnaujintą informaciją. Ta informacija turėtų būti pateikiama pagal standartizuotą eiliškumo nemokumo atveju nurodymą;</w:t>
      </w:r>
    </w:p>
    <w:p w14:paraId="5C67BF36" w14:textId="77777777" w:rsidR="00911C0D" w:rsidRPr="00103E2D" w:rsidRDefault="00911C0D" w:rsidP="00911C0D">
      <w:pPr>
        <w:pStyle w:val="Considrant"/>
      </w:pPr>
      <w:r w:rsidRPr="00103E2D">
        <w:lastRenderedPageBreak/>
        <w:t>kiek tai susiję su įsipareigojimais, kuriems gali būti taikoma gelbėjimo privačiomis lėšomis priemonė ir kurie reglamentuojami trečiosios valstybės įstatymais, Direktyvos 2014/59/ES 45i straipsnio 5 dalyje taip pat reikalaujama, kad EBI parengsimuose techninių įgyvendinimo standartų projektuose būtų nurodytas standartizuotas būdas teikti informaciją, nurodant trečiąsias valstybes, kurių teisės aktais reglamentuojami tokie įsipareigojimai, o kiekvienos nurodytos trečiosios valstybės atžvilgiu – ar tokiems įsipareigojimams taikoma sutartinė sąlyga, kuria pripažįstama, kad pagal tą direktyvą jiems gali būti taikomi nurašymo ir konvertavimo įgaliojimai. Kadangi reikia papildomai vertinti šių elementų ataskaitų teikimo išsamumo lygį, susijusius nurodymus ir formas EBI parengs ir tinkamu laiku atskirai pateiks Komisijai, kad tiek kompetentingos, tiek pertvarkymo institucijos galėtų reguliariai susipažinti su šia informacija. Jei šių ribotų papildomų elementų nebus, tai neturės poveikio šiame reglamente nustatytų ataskaitų teikimo reikalavimų taikymui ir jis nebus atidėtas;</w:t>
      </w:r>
    </w:p>
    <w:p w14:paraId="131F500A" w14:textId="77777777" w:rsidR="00911C0D" w:rsidRPr="00103E2D" w:rsidRDefault="00911C0D" w:rsidP="00911C0D">
      <w:pPr>
        <w:pStyle w:val="Considrant"/>
      </w:pPr>
      <w:r w:rsidRPr="00103E2D">
        <w:t xml:space="preserve">informaciją atskleidžiantys subjektai, vertindami, ar informacija yra reikšminga, priklausanti nuosavybės teise ar konfidenciali pagal Reglamento (ES) Nr. 575/2013 432 straipsnį, turėtų atsižvelgti į EBI paskelbtas atitinkamas gaires; </w:t>
      </w:r>
    </w:p>
    <w:p w14:paraId="334E45CF" w14:textId="77777777" w:rsidR="00911C0D" w:rsidRPr="00103E2D" w:rsidRDefault="00911C0D" w:rsidP="00911C0D">
      <w:pPr>
        <w:pStyle w:val="Considrant"/>
        <w:rPr>
          <w:noProof/>
        </w:rPr>
      </w:pPr>
      <w:r w:rsidRPr="00103E2D">
        <w:t>Reglamento (ES) Nr. 575/2013 430 straipsnio 1 dalies b punkte, 437a straipsnyje ir 447 straipsnio h punkte nustatyta pareiga teikti TLAC ataskaitas ir atskleisti informaciją apie jį taikoma nuo 2019 m. birželio 27 d. pagal Reglamento (ES) 2019/876 3 straipsnio 3 dalies antrą pastraipą. Todėl įsigaliojus šiam reglamentui G-SII ir ne ES G-SII reikšmingos patronuojamosios įmonės turėtų nedelsdamos atskleisti informaciją apie TLAC, naudodamos formas ir laikydamosi šiame reglamente nustatytų nurodymų. Tačiau ataskaitų apie TLAC reikalavimą teikimo pareiga pagal šį reglamentą turėtų būti pradėta taikyti tik nuo 2021 m. birželio 28 d., kad įstaigos ir kompetentingos institucijos turėtų pakankamai laiko atitinkamiems reikalavimams įgyvendinti;</w:t>
      </w:r>
    </w:p>
    <w:p w14:paraId="5CD8D630" w14:textId="554B47BE" w:rsidR="00911C0D" w:rsidRPr="00103E2D" w:rsidRDefault="00911C0D" w:rsidP="00911C0D">
      <w:pPr>
        <w:pStyle w:val="Considrant"/>
        <w:rPr>
          <w:noProof/>
        </w:rPr>
      </w:pPr>
      <w:r w:rsidRPr="00103E2D">
        <w:rPr>
          <w:color w:val="000000"/>
        </w:rPr>
        <w:t>kiek tai susiję su MREL, Direktyvoje 2014/59/ES nustatytos ataskaitų teikimo pareigos turi būti taikomos ne vėliau kaip nuo 2020 m. gruodžio 28 d. Tačiau dėl tų pačių priežasčių, kaip ir TLAC atveju, visos įstaigos informaciją apie MREL, naudodamos formas ir laikydamosi šiame reglamente nustatytų nurodymų, turėtų teikti nuo 2021 m. birželio 28 d. Priešingai, informacijos apie MREL atskleidimo pareigos taikymo data turėtų sutapti su pereinamojo laikotarpio pabaiga pagal Direktyvos 2014/59/ES 45m straipsnio 1 dalies trečią pastraipą, t. y. ne anksčiau kaip 2024 m. sausio 1 d.;</w:t>
      </w:r>
      <w:r w:rsidRPr="00103E2D">
        <w:t xml:space="preserve"> </w:t>
      </w:r>
    </w:p>
    <w:p w14:paraId="440C2F52" w14:textId="37997D46" w:rsidR="00D05552" w:rsidRPr="00103E2D" w:rsidRDefault="00EA09E4" w:rsidP="00EA09E4">
      <w:pPr>
        <w:pStyle w:val="Considrant"/>
        <w:rPr>
          <w:noProof/>
        </w:rPr>
      </w:pPr>
      <w:r w:rsidRPr="00103E2D">
        <w:t xml:space="preserve">atsižvelgiant į būtinybę įstaigoms, kompetentingoms institucijoms ir pertvarkymo institucijoms pritaikyti savo informacijos teikimo ir elektronines sistemas prie šiame reglamente nustatytų reikalavimų, ketvirčio informacijos pateikimo data teikiant su 2021 m. birželio 30 d. ataskaitine data susijusius duomenis turėtų būti ne vėliau kaip 2021 m. rugsėjo 30 d.; </w:t>
      </w:r>
    </w:p>
    <w:p w14:paraId="059DCDED" w14:textId="77777777" w:rsidR="00911C0D" w:rsidRPr="00103E2D" w:rsidRDefault="00911C0D" w:rsidP="00911C0D">
      <w:pPr>
        <w:pStyle w:val="Considrant"/>
        <w:rPr>
          <w:noProof/>
        </w:rPr>
      </w:pPr>
      <w:r w:rsidRPr="00103E2D">
        <w:t>šis reglamentas grindžiamas techninių įgyvendinimo standartų projektais, kuriuos EBI pateikė Komisijai;</w:t>
      </w:r>
    </w:p>
    <w:p w14:paraId="11F1B273" w14:textId="77777777" w:rsidR="00911C0D" w:rsidRPr="00103E2D" w:rsidRDefault="00911C0D" w:rsidP="00911C0D">
      <w:pPr>
        <w:pStyle w:val="Considrant"/>
        <w:rPr>
          <w:noProof/>
          <w:color w:val="000000"/>
        </w:rPr>
      </w:pPr>
      <w:r w:rsidRPr="00103E2D">
        <w:t xml:space="preserve">dėl techninių įgyvendinimo standartų projektų, kuriais pagrįstas šis reglamentas, EBI surengė atviras viešas konsultacijas, išnagrinėjo galimas susijusias sąnaudas ir naudą ir paprašė Bankininkystės suinteresuotųjų subjektų grupės, įsteigtos pagal Europos </w:t>
      </w:r>
      <w:r w:rsidRPr="00103E2D">
        <w:lastRenderedPageBreak/>
        <w:t>Parlamento ir Tarybos reglamento (ES) Nr. 1093/2010</w:t>
      </w:r>
      <w:r w:rsidRPr="00103E2D">
        <w:rPr>
          <w:rStyle w:val="FootnoteReference"/>
        </w:rPr>
        <w:footnoteReference w:id="5"/>
      </w:r>
      <w:r w:rsidRPr="00103E2D">
        <w:t xml:space="preserve"> 37 straipsnį, pateikti rekomendacijų,</w:t>
      </w:r>
    </w:p>
    <w:p w14:paraId="0057A5D8" w14:textId="77777777" w:rsidR="00911C0D" w:rsidRPr="00103E2D" w:rsidRDefault="00911C0D" w:rsidP="00911C0D">
      <w:pPr>
        <w:pStyle w:val="Formuledadoption"/>
      </w:pPr>
      <w:r w:rsidRPr="00103E2D">
        <w:t>PRIĖMĖ ŠĮ REGLAMENTĄ:</w:t>
      </w:r>
    </w:p>
    <w:p w14:paraId="3D820E8F" w14:textId="77777777" w:rsidR="00911C0D" w:rsidRPr="00103E2D" w:rsidRDefault="00911C0D" w:rsidP="00911C0D">
      <w:pPr>
        <w:pStyle w:val="SectionTitle"/>
        <w:rPr>
          <w:b w:val="0"/>
          <w:i/>
        </w:rPr>
      </w:pPr>
      <w:r w:rsidRPr="00103E2D">
        <w:rPr>
          <w:b w:val="0"/>
          <w:i/>
        </w:rPr>
        <w:t>I ANTRAŠTINĖ DALIS</w:t>
      </w:r>
      <w:r w:rsidRPr="00103E2D">
        <w:t xml:space="preserve"> </w:t>
      </w:r>
      <w:r w:rsidRPr="00103E2D">
        <w:br/>
      </w:r>
      <w:r w:rsidRPr="00103E2D">
        <w:rPr>
          <w:b w:val="0"/>
          <w:i/>
        </w:rPr>
        <w:t>PRIEŽIŪROS ATASKAITŲ TEIKIMAS</w:t>
      </w:r>
    </w:p>
    <w:p w14:paraId="41755B8B" w14:textId="77777777" w:rsidR="00911C0D" w:rsidRPr="00103E2D" w:rsidRDefault="006033A6" w:rsidP="00911C0D">
      <w:pPr>
        <w:pStyle w:val="Titrearticle"/>
      </w:pPr>
      <w:r>
        <w:fldChar w:fldCharType="begin"/>
      </w:r>
      <w:r>
        <w:instrText xml:space="preserve"> SEQ Figure \* ARABIC </w:instrText>
      </w:r>
      <w:r>
        <w:fldChar w:fldCharType="separate"/>
      </w:r>
      <w:r w:rsidR="00911C0D" w:rsidRPr="00103E2D">
        <w:t>1</w:t>
      </w:r>
      <w:r>
        <w:fldChar w:fldCharType="end"/>
      </w:r>
      <w:r w:rsidR="00911C0D" w:rsidRPr="00103E2D">
        <w:t xml:space="preserve"> straipsnis</w:t>
      </w:r>
      <w:r w:rsidR="00911C0D" w:rsidRPr="00103E2D">
        <w:br/>
        <w:t>Ataskaitinės datos</w:t>
      </w:r>
    </w:p>
    <w:p w14:paraId="4E45B252" w14:textId="77777777" w:rsidR="00911C0D" w:rsidRPr="00103E2D" w:rsidRDefault="00911C0D" w:rsidP="00911C0D">
      <w:pPr>
        <w:keepNext/>
        <w:keepLines/>
        <w:spacing w:before="360"/>
        <w:rPr>
          <w:noProof/>
        </w:rPr>
      </w:pPr>
      <w:r w:rsidRPr="00103E2D">
        <w:t>Subjektai, kuriems taikomi ataskaitų apie bendrą nuostolių padengimo pajėgumą (TLAC) ir minimalų nuosavų lėšų ir tinkamų įsipareigojimų reikalavimą (MREL) teikimo individualiai ar konsoliduotai reikalavimai (toliau – informaciją teikiantys subjektai), kompetentingoms institucijoms ir pertvarkymo institucijoms teikia informaciją, aktualią šiomis ataskaitinėmis datomis:</w:t>
      </w:r>
    </w:p>
    <w:p w14:paraId="62D6D0EC" w14:textId="77777777" w:rsidR="00911C0D" w:rsidRPr="00103E2D" w:rsidRDefault="00911C0D" w:rsidP="00911C0D">
      <w:pPr>
        <w:pStyle w:val="Point0"/>
        <w:rPr>
          <w:noProof/>
        </w:rPr>
      </w:pPr>
      <w:r w:rsidRPr="00103E2D">
        <w:t>a)</w:t>
      </w:r>
      <w:r w:rsidRPr="00103E2D">
        <w:tab/>
        <w:t>ketvirčio ataskaitos – kovo 31 d., birželio 30 d., rugsėjo 30 d. ir gruodžio 31 d.;</w:t>
      </w:r>
    </w:p>
    <w:p w14:paraId="6619E578" w14:textId="77777777" w:rsidR="00911C0D" w:rsidRPr="00103E2D" w:rsidRDefault="00911C0D" w:rsidP="00911C0D">
      <w:pPr>
        <w:pStyle w:val="Point0"/>
        <w:rPr>
          <w:noProof/>
        </w:rPr>
      </w:pPr>
      <w:r w:rsidRPr="00103E2D">
        <w:t>b)</w:t>
      </w:r>
      <w:r w:rsidRPr="00103E2D">
        <w:tab/>
        <w:t>pusmečio ataskaitos – birželio 30 d. ir gruodžio 31 d.;</w:t>
      </w:r>
    </w:p>
    <w:p w14:paraId="0A85107A" w14:textId="77777777" w:rsidR="00911C0D" w:rsidRPr="00103E2D" w:rsidRDefault="00911C0D" w:rsidP="00911C0D">
      <w:pPr>
        <w:pStyle w:val="Point0"/>
        <w:rPr>
          <w:noProof/>
        </w:rPr>
      </w:pPr>
      <w:r w:rsidRPr="00103E2D">
        <w:t>c)</w:t>
      </w:r>
      <w:r w:rsidRPr="00103E2D">
        <w:tab/>
        <w:t>metinės ataskaitos – gruodžio 31 d.</w:t>
      </w:r>
    </w:p>
    <w:p w14:paraId="2DD5D0AB" w14:textId="77777777" w:rsidR="00911C0D" w:rsidRPr="00103E2D" w:rsidRDefault="006033A6" w:rsidP="00911C0D">
      <w:pPr>
        <w:pStyle w:val="Titrearticle"/>
      </w:pPr>
      <w:r>
        <w:fldChar w:fldCharType="begin"/>
      </w:r>
      <w:r>
        <w:instrText xml:space="preserve"> SEQ Figure \* ARABIC </w:instrText>
      </w:r>
      <w:r>
        <w:fldChar w:fldCharType="separate"/>
      </w:r>
      <w:r w:rsidR="00911C0D" w:rsidRPr="00103E2D">
        <w:t>2</w:t>
      </w:r>
      <w:r>
        <w:fldChar w:fldCharType="end"/>
      </w:r>
      <w:r w:rsidR="00911C0D" w:rsidRPr="00103E2D">
        <w:t xml:space="preserve"> straipsnis</w:t>
      </w:r>
      <w:r w:rsidR="00911C0D" w:rsidRPr="00103E2D">
        <w:br/>
        <w:t>Informacijos pateikimo datos</w:t>
      </w:r>
    </w:p>
    <w:p w14:paraId="7EB2FA5F" w14:textId="77777777" w:rsidR="00911C0D" w:rsidRPr="00103E2D" w:rsidRDefault="00911C0D" w:rsidP="00080A21">
      <w:pPr>
        <w:pStyle w:val="NumPar1"/>
        <w:numPr>
          <w:ilvl w:val="0"/>
          <w:numId w:val="2"/>
        </w:numPr>
        <w:rPr>
          <w:noProof/>
        </w:rPr>
      </w:pPr>
      <w:r w:rsidRPr="00103E2D">
        <w:t>Informaciją teikiantys subjektai kompetentingoms institucijoms ir pertvarkymo institucijoms pateikia informaciją iki darbo dienos pabaigos šiomis informacijos pateikimo datomis:</w:t>
      </w:r>
    </w:p>
    <w:p w14:paraId="333C0EF1" w14:textId="0A8DE25F" w:rsidR="00911C0D" w:rsidRPr="00103E2D" w:rsidRDefault="00911C0D" w:rsidP="00144CAD">
      <w:pPr>
        <w:pStyle w:val="Point1letter"/>
        <w:numPr>
          <w:ilvl w:val="3"/>
          <w:numId w:val="37"/>
        </w:numPr>
        <w:rPr>
          <w:noProof/>
        </w:rPr>
      </w:pPr>
      <w:r w:rsidRPr="00103E2D">
        <w:t>ketvirčio ataskaitos – gegužės 19 d., rugpjūčio 18 d., lapkričio 18 d. ir vasario 18 d., išskyrus teikiant su 2021 m. birželio 30 d. ataskaitine data susijusius duomenis, kai pateikimo data turi būti ne vėliau kaip 2021 m. rugsėjo 30 d.;</w:t>
      </w:r>
    </w:p>
    <w:p w14:paraId="2215F3EB" w14:textId="77777777" w:rsidR="00911C0D" w:rsidRPr="00103E2D" w:rsidRDefault="00911C0D" w:rsidP="00146633">
      <w:pPr>
        <w:pStyle w:val="Point1letter"/>
        <w:rPr>
          <w:noProof/>
        </w:rPr>
      </w:pPr>
      <w:r w:rsidRPr="00103E2D">
        <w:t>pusmečio ataskaitos – rugpjūčio 18 d. ir vasario 18 d.;</w:t>
      </w:r>
    </w:p>
    <w:p w14:paraId="3F3B32F9" w14:textId="77777777" w:rsidR="00911C0D" w:rsidRPr="00103E2D" w:rsidRDefault="00911C0D" w:rsidP="00146633">
      <w:pPr>
        <w:pStyle w:val="Point1letter"/>
        <w:rPr>
          <w:noProof/>
        </w:rPr>
      </w:pPr>
      <w:r w:rsidRPr="00103E2D">
        <w:t>metinės ataskaitos – vasario 18 d.</w:t>
      </w:r>
    </w:p>
    <w:p w14:paraId="5D1F4190" w14:textId="77777777" w:rsidR="00911C0D" w:rsidRPr="00103E2D" w:rsidRDefault="00911C0D" w:rsidP="00911C0D">
      <w:pPr>
        <w:pStyle w:val="NumPar1"/>
        <w:rPr>
          <w:noProof/>
        </w:rPr>
      </w:pPr>
      <w:r w:rsidRPr="00103E2D">
        <w:t>Jeigu informacijos pateikimo diena yra švenčių diena kompetentingos institucijos arba pertvarkymo institucijos, kuriai turi būti pateikta 1 dalyje nurodyta informacija, valstybėje narėje arba šeštadienis ar sekmadienis, ta informacija pateikiama iki kitos darbo dienos darbo pabaigos.</w:t>
      </w:r>
    </w:p>
    <w:p w14:paraId="1323199E" w14:textId="77777777" w:rsidR="00911C0D" w:rsidRPr="00103E2D" w:rsidRDefault="00911C0D" w:rsidP="00911C0D">
      <w:pPr>
        <w:pStyle w:val="NumPar1"/>
        <w:rPr>
          <w:noProof/>
        </w:rPr>
      </w:pPr>
      <w:r w:rsidRPr="00103E2D">
        <w:t xml:space="preserve">Informaciją teikiantys subjektai gali pateikti duomenis, dėl kurių negauta išorės auditoriaus nuomonė (neaudituoti duomenys). Kai duomenys, kuriuos auditavo ir dėl kurių audito nuomonę pateikė išorės auditorius (audituoti duomenys), skiriasi nuo pateiktų neaudituotų duomenų, informaciją teikiantys subjektai nepagrįstai nedelsdami pateikia patikslintus audituotus duomenis. </w:t>
      </w:r>
    </w:p>
    <w:p w14:paraId="449A6FE1" w14:textId="77777777" w:rsidR="00911C0D" w:rsidRPr="00103E2D" w:rsidRDefault="00911C0D" w:rsidP="00911C0D">
      <w:pPr>
        <w:pStyle w:val="NumPar1"/>
        <w:rPr>
          <w:noProof/>
        </w:rPr>
      </w:pPr>
      <w:r w:rsidRPr="00103E2D">
        <w:t>Informaciją teikiantys subjektai bet kurias kitas pataisas nepagrįstai nedelsdami pateikia kompetentingoms institucijoms ir pertvarkymo institucijoms.</w:t>
      </w:r>
    </w:p>
    <w:p w14:paraId="73C2EE64" w14:textId="77777777" w:rsidR="00911C0D" w:rsidRPr="00103E2D" w:rsidRDefault="006033A6" w:rsidP="00911C0D">
      <w:pPr>
        <w:pStyle w:val="Titrearticle"/>
      </w:pPr>
      <w:r>
        <w:lastRenderedPageBreak/>
        <w:fldChar w:fldCharType="begin"/>
      </w:r>
      <w:r>
        <w:instrText xml:space="preserve"> SEQ Figure \* ARABIC </w:instrText>
      </w:r>
      <w:r>
        <w:fldChar w:fldCharType="separate"/>
      </w:r>
      <w:r w:rsidR="00911C0D" w:rsidRPr="00103E2D">
        <w:t>3</w:t>
      </w:r>
      <w:r>
        <w:fldChar w:fldCharType="end"/>
      </w:r>
      <w:r w:rsidR="00911C0D" w:rsidRPr="00103E2D">
        <w:t xml:space="preserve"> straipsnis</w:t>
      </w:r>
      <w:r w:rsidR="00911C0D" w:rsidRPr="00103E2D">
        <w:br/>
        <w:t>Pertvarkytinų subjektų individualaus ataskaitų teikimo formatas ir dažnumas</w:t>
      </w:r>
    </w:p>
    <w:p w14:paraId="18406280" w14:textId="77777777" w:rsidR="00911C0D" w:rsidRPr="00103E2D" w:rsidRDefault="00911C0D" w:rsidP="00080A21">
      <w:pPr>
        <w:pStyle w:val="NumPar1"/>
        <w:numPr>
          <w:ilvl w:val="0"/>
          <w:numId w:val="1"/>
        </w:numPr>
        <w:rPr>
          <w:noProof/>
        </w:rPr>
      </w:pPr>
      <w:r w:rsidRPr="00103E2D">
        <w:t>Patronuojamųjų įmonių neturintys pertvarkytini subjektai, kuriems taikomi Direktyvos 2014/59/ES 45 straipsnyje nustatyti reikalavimai, pagal tos direktyvos 45e straipsnį kompetentingoms institucijoms ir pertvarkymo institucijoms individualiai teikia informaciją tokiu būdu:</w:t>
      </w:r>
    </w:p>
    <w:p w14:paraId="790F78D3" w14:textId="77777777" w:rsidR="00911C0D" w:rsidRPr="00103E2D" w:rsidRDefault="00911C0D" w:rsidP="00080A21">
      <w:pPr>
        <w:pStyle w:val="Point1letter"/>
        <w:numPr>
          <w:ilvl w:val="3"/>
          <w:numId w:val="7"/>
        </w:numPr>
        <w:rPr>
          <w:noProof/>
        </w:rPr>
      </w:pPr>
      <w:r w:rsidRPr="00103E2D">
        <w:t>informacija apie pagrindinius parametrus, kaip nurodyta šio reglamento I priedo 1 formos 0010 skiltyje, teikiama kas ketvirtį pagal šio reglamento II priedo II dalies 1 punkto nurodymus;</w:t>
      </w:r>
    </w:p>
    <w:p w14:paraId="619B3CEC" w14:textId="77777777" w:rsidR="00911C0D" w:rsidRPr="00103E2D" w:rsidRDefault="00911C0D" w:rsidP="00146633">
      <w:pPr>
        <w:pStyle w:val="Point1letter"/>
        <w:rPr>
          <w:noProof/>
        </w:rPr>
      </w:pPr>
      <w:r w:rsidRPr="00103E2D">
        <w:t>informacija apie nuosavų lėšų ir tinkamų įsipareigojimų sudėtį, kaip nurodyta šio reglamento I priedo 2 formos 0010 skiltyje, teikiama kas ketvirtį pagal šio reglamento II priedo II dalies 2.1 punkto nurodymus;</w:t>
      </w:r>
    </w:p>
    <w:p w14:paraId="1B7D16C2" w14:textId="77777777" w:rsidR="00911C0D" w:rsidRPr="00103E2D" w:rsidRDefault="00911C0D" w:rsidP="00146633">
      <w:pPr>
        <w:pStyle w:val="Point1letter"/>
        <w:rPr>
          <w:noProof/>
        </w:rPr>
      </w:pPr>
      <w:r w:rsidRPr="00103E2D">
        <w:t>informacija apie tinkamų įsipareigojimų finansavimo struktūrą, kaip nurodyta šio reglamento I priedo 4 formoje, teikiama kas ketvirtį pagal šio reglamento II priedo II dalies 2.3 punkto nurodymus;</w:t>
      </w:r>
    </w:p>
    <w:p w14:paraId="28DECEF8" w14:textId="77777777" w:rsidR="00911C0D" w:rsidRPr="00103E2D" w:rsidRDefault="00911C0D" w:rsidP="00146633">
      <w:pPr>
        <w:pStyle w:val="Point1letter"/>
        <w:rPr>
          <w:noProof/>
        </w:rPr>
      </w:pPr>
      <w:r w:rsidRPr="00103E2D">
        <w:t>informacija apie priemones, kurias reglamentuoja trečiosios valstybės teisė, kaip nurodyta šio reglamento I priedo 7 formoje, teikiama kas ketvirtį pagal šio reglamento II priedo II dalies 4 punkto nurodymus.</w:t>
      </w:r>
    </w:p>
    <w:p w14:paraId="06B6C64E" w14:textId="77777777" w:rsidR="00911C0D" w:rsidRPr="00103E2D" w:rsidRDefault="00911C0D" w:rsidP="00080A21">
      <w:pPr>
        <w:pStyle w:val="NumPar1"/>
        <w:numPr>
          <w:ilvl w:val="0"/>
          <w:numId w:val="1"/>
        </w:numPr>
        <w:rPr>
          <w:noProof/>
        </w:rPr>
      </w:pPr>
      <w:r w:rsidRPr="00103E2D">
        <w:t>Pertvarkytini subjektai kompetentingoms institucijoms ir pertvarkymo institucijoms kas ketvirtį individualiai teikia informaciją apie nuosavų lėšų ir įsipareigojimų suskirstymą pagal prioritetą nemokumo atveju, kaip nurodyta I priedo 6 formoje, pagal II priedo II dalies 3.2 punkto nurodymus.</w:t>
      </w:r>
    </w:p>
    <w:p w14:paraId="2CE25962" w14:textId="77777777" w:rsidR="00911C0D" w:rsidRPr="00103E2D" w:rsidRDefault="00911C0D" w:rsidP="00080A21">
      <w:pPr>
        <w:pStyle w:val="NumPar1"/>
        <w:numPr>
          <w:ilvl w:val="0"/>
          <w:numId w:val="1"/>
        </w:numPr>
        <w:rPr>
          <w:noProof/>
        </w:rPr>
      </w:pPr>
      <w:r w:rsidRPr="00103E2D">
        <w:t>Be 1 ir 2 dalyse nurodytos informacijos, pertvarkytini subjektai, kuriems individualiai taikomas Reglamento (ES) Nr. 575/2013 92a straipsnyje nustatytas reikalavimas, pagal to reglamento 6 straipsnio 1a dalį pertvarkymo institucijoms ir kompetentingoms institucijoms individualiai teikia informaciją tokiu būdu:</w:t>
      </w:r>
    </w:p>
    <w:p w14:paraId="028BBD2D" w14:textId="395BEEFF" w:rsidR="00911C0D" w:rsidRPr="00103E2D" w:rsidRDefault="00911C0D" w:rsidP="00080A21">
      <w:pPr>
        <w:pStyle w:val="Point1letter"/>
        <w:numPr>
          <w:ilvl w:val="3"/>
          <w:numId w:val="8"/>
        </w:numPr>
        <w:rPr>
          <w:noProof/>
        </w:rPr>
      </w:pPr>
      <w:r w:rsidRPr="00103E2D">
        <w:t>informacija apie pagrindinius parametrus, kaip nurodyta šio reglamento I priedo 1 formos 0020 skiltyje, teikiama kas ketvirtį pagal šio reglamento II priedo II dalies 1 punkto nurodymus;</w:t>
      </w:r>
    </w:p>
    <w:p w14:paraId="45E52025" w14:textId="77777777" w:rsidR="00911C0D" w:rsidRPr="00103E2D" w:rsidRDefault="00911C0D" w:rsidP="00146633">
      <w:pPr>
        <w:pStyle w:val="Point1letter"/>
        <w:rPr>
          <w:noProof/>
        </w:rPr>
      </w:pPr>
      <w:r w:rsidRPr="00103E2D">
        <w:t>informacija apie nuosavų lėšų ir tinkamų įsipareigojimų sudėtį, kaip nurodyta šio reglamento I priedo 2 formos 0020 ir 0030 skiltyse, teikiama kas ketvirtį pagal šio reglamento II priedo II dalies 2.1 punkto nurodymus.</w:t>
      </w:r>
    </w:p>
    <w:p w14:paraId="020EF926" w14:textId="77777777" w:rsidR="00911C0D" w:rsidRPr="00103E2D" w:rsidRDefault="006033A6" w:rsidP="00911C0D">
      <w:pPr>
        <w:pStyle w:val="Titrearticle"/>
      </w:pPr>
      <w:r>
        <w:fldChar w:fldCharType="begin"/>
      </w:r>
      <w:r>
        <w:instrText xml:space="preserve"> SEQ Figure \* ARABIC </w:instrText>
      </w:r>
      <w:r>
        <w:fldChar w:fldCharType="separate"/>
      </w:r>
      <w:r w:rsidR="00911C0D" w:rsidRPr="00103E2D">
        <w:t>4</w:t>
      </w:r>
      <w:r>
        <w:fldChar w:fldCharType="end"/>
      </w:r>
      <w:r w:rsidR="00911C0D" w:rsidRPr="00103E2D">
        <w:t xml:space="preserve"> straipsnis</w:t>
      </w:r>
      <w:r w:rsidR="00911C0D" w:rsidRPr="00103E2D">
        <w:br/>
        <w:t>Pertvarkytinų subjektų konsoliduoto ataskaitų teikimo formatas ir dažnumas</w:t>
      </w:r>
    </w:p>
    <w:p w14:paraId="1378D8C9" w14:textId="77777777" w:rsidR="00911C0D" w:rsidRPr="00103E2D" w:rsidRDefault="00911C0D" w:rsidP="00080A21">
      <w:pPr>
        <w:pStyle w:val="NumPar1"/>
        <w:numPr>
          <w:ilvl w:val="0"/>
          <w:numId w:val="3"/>
        </w:numPr>
        <w:rPr>
          <w:noProof/>
        </w:rPr>
      </w:pPr>
      <w:r w:rsidRPr="00103E2D">
        <w:t>Pertvarkytini subjektai, kuriems taikomi Direktyvos 2014/59/ES 45 straipsnyje nustatyti konsoliduoti reikalavimai, pagal tos direktyvos 45e straipsnį kompetentingoms institucijoms ir pertvarkymo institucijoms konsoliduotai teikia informaciją tokiu būdu:</w:t>
      </w:r>
    </w:p>
    <w:p w14:paraId="1E21506B" w14:textId="77777777" w:rsidR="00911C0D" w:rsidRPr="00103E2D" w:rsidRDefault="00911C0D" w:rsidP="00080A21">
      <w:pPr>
        <w:pStyle w:val="Point1letter"/>
        <w:numPr>
          <w:ilvl w:val="3"/>
          <w:numId w:val="9"/>
        </w:numPr>
        <w:rPr>
          <w:noProof/>
        </w:rPr>
      </w:pPr>
      <w:r w:rsidRPr="00103E2D">
        <w:t>informacija apie pagrindinius parametrus, kaip nurodyta šio reglamento I priedo 1 formos 0010 skiltyje, teikiama kas ketvirtį pagal šio reglamento II priedo II dalies 1 punkto nurodymus;</w:t>
      </w:r>
    </w:p>
    <w:p w14:paraId="7F16E897" w14:textId="77777777" w:rsidR="00911C0D" w:rsidRPr="00103E2D" w:rsidRDefault="00911C0D" w:rsidP="00080A21">
      <w:pPr>
        <w:pStyle w:val="Point1letter"/>
        <w:numPr>
          <w:ilvl w:val="3"/>
          <w:numId w:val="9"/>
        </w:numPr>
        <w:rPr>
          <w:noProof/>
        </w:rPr>
      </w:pPr>
      <w:r w:rsidRPr="00103E2D">
        <w:t>informacija apie nuosavų lėšų ir tinkamų įsipareigojimų sudėtį, kaip nurodyta šio reglamento I priedo 2 formos 0010 skiltyje, teikiama kas ketvirtį pagal šio reglamento II priedo II dalies 2.1 punkto nurodymus;</w:t>
      </w:r>
    </w:p>
    <w:p w14:paraId="2CE5F340" w14:textId="77777777" w:rsidR="00911C0D" w:rsidRPr="00103E2D" w:rsidRDefault="00911C0D" w:rsidP="00080A21">
      <w:pPr>
        <w:pStyle w:val="Point1letter"/>
        <w:numPr>
          <w:ilvl w:val="3"/>
          <w:numId w:val="9"/>
        </w:numPr>
        <w:rPr>
          <w:noProof/>
        </w:rPr>
      </w:pPr>
      <w:r w:rsidRPr="00103E2D">
        <w:lastRenderedPageBreak/>
        <w:t>informacija apie tinkamų įsipareigojimų finansavimo struktūrą, kaip nurodyta šio reglamento I priedo 4 formoje, teikiama kas ketvirtį pagal šio reglamento II priedo II dalies 2.3 punkto nurodymus;</w:t>
      </w:r>
    </w:p>
    <w:p w14:paraId="0CB1A49C" w14:textId="77777777" w:rsidR="00911C0D" w:rsidRPr="00103E2D" w:rsidRDefault="00911C0D" w:rsidP="00080A21">
      <w:pPr>
        <w:pStyle w:val="Point1letter"/>
        <w:numPr>
          <w:ilvl w:val="3"/>
          <w:numId w:val="9"/>
        </w:numPr>
        <w:rPr>
          <w:noProof/>
        </w:rPr>
      </w:pPr>
      <w:r w:rsidRPr="00103E2D">
        <w:t>informacija apie priemones, kurias reglamentuoja trečiosios valstybės teisė, kaip nurodyta šio reglamento I priedo 7 formoje, teikiama kas ketvirtį pagal šio reglamento II priedo II dalies 4 punkto nurodymus.</w:t>
      </w:r>
    </w:p>
    <w:p w14:paraId="1604BDA8" w14:textId="77777777" w:rsidR="00911C0D" w:rsidRPr="00103E2D" w:rsidRDefault="00911C0D" w:rsidP="00080A21">
      <w:pPr>
        <w:pStyle w:val="NumPar1"/>
        <w:numPr>
          <w:ilvl w:val="0"/>
          <w:numId w:val="3"/>
        </w:numPr>
        <w:rPr>
          <w:noProof/>
        </w:rPr>
      </w:pPr>
      <w:r w:rsidRPr="00103E2D">
        <w:t>Be 1 dalyje nurodytos informacijos, pertvarkytini subjektai, kuriems konsoliduotai taikomas Reglamento (ES) Nr. 575/2013 92a straipsnyje nustatytas reikalavimas, pagal to reglamento 11 straipsnio 3a dalį kompetentingoms institucijoms ir pertvarkymo institucijoms konsoliduotai teikia informaciją tokiu būdu:</w:t>
      </w:r>
    </w:p>
    <w:p w14:paraId="4EEC865C" w14:textId="77777777" w:rsidR="00911C0D" w:rsidRPr="00103E2D" w:rsidRDefault="00911C0D" w:rsidP="00080A21">
      <w:pPr>
        <w:pStyle w:val="Point1letter"/>
        <w:numPr>
          <w:ilvl w:val="3"/>
          <w:numId w:val="10"/>
        </w:numPr>
        <w:rPr>
          <w:noProof/>
        </w:rPr>
      </w:pPr>
      <w:r w:rsidRPr="00103E2D">
        <w:t>informacija apie pagrindinius parametrus, kaip nurodyta šio reglamento I priedo 1 formos 0020 skiltyje, teikiama kas ketvirtį pagal šio reglamento II priedo II dalies 1 punkto nurodymus;</w:t>
      </w:r>
    </w:p>
    <w:p w14:paraId="62EB5754" w14:textId="77777777" w:rsidR="00911C0D" w:rsidRPr="00103E2D" w:rsidRDefault="00911C0D" w:rsidP="00146633">
      <w:pPr>
        <w:pStyle w:val="Point1letter"/>
        <w:rPr>
          <w:noProof/>
        </w:rPr>
      </w:pPr>
      <w:r w:rsidRPr="00103E2D">
        <w:t>informacija apie nuosavų lėšų ir tinkamų įsipareigojimų sudėtį, kaip nurodyta šio reglamento I priedo 2 formos 0020 ir 0030 skiltyse, teikiama kas ketvirtį pagal šio reglamento II priedo II dalies 2.1 punkto nurodymus.</w:t>
      </w:r>
    </w:p>
    <w:p w14:paraId="79821E88" w14:textId="77777777" w:rsidR="00911C0D" w:rsidRPr="00103E2D" w:rsidRDefault="006033A6" w:rsidP="00911C0D">
      <w:pPr>
        <w:pStyle w:val="Titrearticle"/>
      </w:pPr>
      <w:r>
        <w:fldChar w:fldCharType="begin"/>
      </w:r>
      <w:r>
        <w:instrText xml:space="preserve"> SEQ Figure \* ARABIC </w:instrText>
      </w:r>
      <w:r>
        <w:fldChar w:fldCharType="separate"/>
      </w:r>
      <w:r w:rsidR="00911C0D" w:rsidRPr="00103E2D">
        <w:t>5</w:t>
      </w:r>
      <w:r>
        <w:fldChar w:fldCharType="end"/>
      </w:r>
      <w:r w:rsidR="00911C0D" w:rsidRPr="00103E2D">
        <w:t xml:space="preserve"> straipsnis</w:t>
      </w:r>
      <w:r w:rsidR="00911C0D" w:rsidRPr="00103E2D">
        <w:br/>
        <w:t>Subjektų, kurie patys nėra pertvarkytini subjektai, ir ne ES pasaulinės sisteminės svarbos įstaigų reikšmingų patronuojamųjų įmonių individualaus ataskaitų teikimo formatas ir dažnumas</w:t>
      </w:r>
    </w:p>
    <w:p w14:paraId="0FDA52A0" w14:textId="77777777" w:rsidR="00911C0D" w:rsidRPr="00103E2D" w:rsidRDefault="00911C0D" w:rsidP="00080A21">
      <w:pPr>
        <w:pStyle w:val="NumPar1"/>
        <w:numPr>
          <w:ilvl w:val="0"/>
          <w:numId w:val="4"/>
        </w:numPr>
        <w:rPr>
          <w:noProof/>
        </w:rPr>
      </w:pPr>
      <w:r w:rsidRPr="00103E2D">
        <w:t>Subjektai, kurie patys nėra pertvarkytini subjektai ir kuriems taikomi Direktyvos 2014/59/ES 45 straipsnyje nustatyti individualūs reikalavimai, pagal tos direktyvos 45f straipsnį kompetentingoms institucijoms ir pertvarkymo institucijoms individualiai teikia informaciją tokiu būdu:</w:t>
      </w:r>
    </w:p>
    <w:p w14:paraId="45A08A7C" w14:textId="77777777" w:rsidR="00911C0D" w:rsidRPr="00103E2D" w:rsidRDefault="00911C0D" w:rsidP="00080A21">
      <w:pPr>
        <w:pStyle w:val="Point1letter"/>
        <w:numPr>
          <w:ilvl w:val="3"/>
          <w:numId w:val="11"/>
        </w:numPr>
        <w:rPr>
          <w:noProof/>
        </w:rPr>
      </w:pPr>
      <w:r w:rsidRPr="00103E2D">
        <w:t>informacija apie nuosavų lėšų ir tinkamų įsipareigojimų sumą ir sudėtį, kaip nurodyta šio reglamento I priedo 3 formos 0010 skiltyje, teikiama kas ketvirtį pagal šio reglamento II priedo II dalies 2.2 punkto nurodymus;</w:t>
      </w:r>
    </w:p>
    <w:p w14:paraId="3AED8007" w14:textId="77777777" w:rsidR="00911C0D" w:rsidRPr="00103E2D" w:rsidRDefault="00911C0D" w:rsidP="00080A21">
      <w:pPr>
        <w:pStyle w:val="Point1letter"/>
        <w:numPr>
          <w:ilvl w:val="3"/>
          <w:numId w:val="11"/>
        </w:numPr>
        <w:rPr>
          <w:noProof/>
        </w:rPr>
      </w:pPr>
      <w:r w:rsidRPr="00103E2D">
        <w:t>informacija apie tinkamų įsipareigojimų finansavimo struktūrą, kaip nurodyta šio reglamento I priedo 4 formoje, teikiama kas ketvirtį pagal šio reglamento II priedo II dalies 2.3 punkto nurodymus;</w:t>
      </w:r>
    </w:p>
    <w:p w14:paraId="4455633C" w14:textId="77777777" w:rsidR="00911C0D" w:rsidRPr="00103E2D" w:rsidRDefault="00911C0D" w:rsidP="00080A21">
      <w:pPr>
        <w:pStyle w:val="Point1letter"/>
        <w:numPr>
          <w:ilvl w:val="3"/>
          <w:numId w:val="11"/>
        </w:numPr>
        <w:rPr>
          <w:noProof/>
        </w:rPr>
      </w:pPr>
      <w:r w:rsidRPr="00103E2D">
        <w:t>informacija apie priemones, kurias reglamentuoja trečiosios valstybės teisė, kaip nurodyta šio reglamento I priedo 7 formoje, teikiama kas ketvirtį pagal šio reglamento II priedo II dalies 4 punkto nurodymus.</w:t>
      </w:r>
    </w:p>
    <w:p w14:paraId="1ACCD4B5" w14:textId="77777777" w:rsidR="00911C0D" w:rsidRPr="00103E2D" w:rsidRDefault="00911C0D" w:rsidP="00080A21">
      <w:pPr>
        <w:pStyle w:val="NumPar1"/>
        <w:numPr>
          <w:ilvl w:val="0"/>
          <w:numId w:val="4"/>
        </w:numPr>
        <w:rPr>
          <w:noProof/>
        </w:rPr>
      </w:pPr>
      <w:r w:rsidRPr="00103E2D">
        <w:t>Subjektai, kurie patys nėra pertvarkytini subjektai, kompetentingoms institucijoms ir pertvarkymo institucijoms kas ketvirtį individualiai teikia informaciją apie nuosavų lėšų ir įsipareigojimų suskirstymą pagal prioritetą nemokumo atveju, kaip nurodyta I priedo 5 formoje, pagal II priedo II dalies 3.1 punkto nurodymus.</w:t>
      </w:r>
    </w:p>
    <w:p w14:paraId="3F08EA69" w14:textId="77777777" w:rsidR="00911C0D" w:rsidRPr="00103E2D" w:rsidRDefault="00911C0D" w:rsidP="00080A21">
      <w:pPr>
        <w:pStyle w:val="NumPar1"/>
        <w:numPr>
          <w:ilvl w:val="0"/>
          <w:numId w:val="4"/>
        </w:numPr>
        <w:rPr>
          <w:noProof/>
        </w:rPr>
      </w:pPr>
      <w:r w:rsidRPr="00103E2D">
        <w:t>Be 1 ir 2 dalyse nurodytos informacijos, subjektai, kurie yra ne ES pasaulinės sisteminės svarbos įstaigų (G-SII) reikšmingos patronuojamosios įmonės ir kuriems taikomas Reglamento (ES) Nr. 575/2013 92b straipsnyje nustatytas individualus reikalavimas, pagal to reglamento 6 straipsnio 1a dalį kompetentingoms institucijoms ir pertvarkymo institucijoms kas ketvirtį individualiai teikia informaciją apie nuosavų lėšų ir tinkamų įsipareigojimų sumą ir sudėtį, kaip nurodyta šio reglamento I priedo 3 formos 0020 skiltyje, pagal šio reglamento II priedo II dalies 2.2 punkto nurodymus.</w:t>
      </w:r>
    </w:p>
    <w:p w14:paraId="5415A2FF" w14:textId="77777777" w:rsidR="00911C0D" w:rsidRPr="00103E2D" w:rsidRDefault="006033A6" w:rsidP="00911C0D">
      <w:pPr>
        <w:pStyle w:val="Titrearticle"/>
      </w:pPr>
      <w:r>
        <w:lastRenderedPageBreak/>
        <w:fldChar w:fldCharType="begin"/>
      </w:r>
      <w:r>
        <w:instrText xml:space="preserve"> SEQ Figure \* ARABIC </w:instrText>
      </w:r>
      <w:r>
        <w:fldChar w:fldCharType="separate"/>
      </w:r>
      <w:r w:rsidR="00911C0D" w:rsidRPr="00103E2D">
        <w:t>6</w:t>
      </w:r>
      <w:r>
        <w:fldChar w:fldCharType="end"/>
      </w:r>
      <w:r w:rsidR="00911C0D" w:rsidRPr="00103E2D">
        <w:t xml:space="preserve"> straipsnis</w:t>
      </w:r>
      <w:r w:rsidR="00911C0D" w:rsidRPr="00103E2D">
        <w:br/>
        <w:t xml:space="preserve">Subjektų, kurie patys nėra pertvarkytini subjektai, ir ne ES pasaulinės sisteminės svarbos įstaigų reikšmingų patronuojamųjų įmonių konsoliduoto ataskaitų teikimo formatas ir dažnumas </w:t>
      </w:r>
    </w:p>
    <w:p w14:paraId="5D1AFD35" w14:textId="77777777" w:rsidR="00911C0D" w:rsidRPr="00103E2D" w:rsidRDefault="00911C0D" w:rsidP="00080A21">
      <w:pPr>
        <w:pStyle w:val="NumPar1"/>
        <w:numPr>
          <w:ilvl w:val="0"/>
          <w:numId w:val="5"/>
        </w:numPr>
        <w:rPr>
          <w:noProof/>
        </w:rPr>
      </w:pPr>
      <w:r w:rsidRPr="00103E2D">
        <w:t>Subjektai, kurie patys nėra pertvarkytini subjektai ir kuriems taikomi Direktyvos 2014/59/ES 45 straipsnyje nustatyti konsoliduoti reikalavimai, pagal tos direktyvos 45f straipsnį kompetentingoms institucijoms ir pertvarkymo institucijoms konsoliduotai teikia informaciją tokiu būdu:</w:t>
      </w:r>
    </w:p>
    <w:p w14:paraId="6F70BBA8" w14:textId="77777777" w:rsidR="00911C0D" w:rsidRPr="00103E2D" w:rsidRDefault="00911C0D" w:rsidP="00080A21">
      <w:pPr>
        <w:pStyle w:val="Point1letter"/>
        <w:numPr>
          <w:ilvl w:val="3"/>
          <w:numId w:val="12"/>
        </w:numPr>
        <w:rPr>
          <w:noProof/>
        </w:rPr>
      </w:pPr>
      <w:r w:rsidRPr="00103E2D">
        <w:t>informacija apie nuosavų lėšų ir tinkamų įsipareigojimų sumą ir sudėtį, kaip nurodyta šio reglamento I priedo 3 formos 0010 skiltyje, teikiama kas ketvirtį pagal šio reglamento II priedo II dalies 2.2 punkto nurodymus;</w:t>
      </w:r>
    </w:p>
    <w:p w14:paraId="52DC2154" w14:textId="77777777" w:rsidR="00911C0D" w:rsidRPr="00103E2D" w:rsidRDefault="00911C0D" w:rsidP="00146633">
      <w:pPr>
        <w:pStyle w:val="Point1letter"/>
        <w:rPr>
          <w:noProof/>
        </w:rPr>
      </w:pPr>
      <w:r w:rsidRPr="00103E2D">
        <w:t>informacija apie tinkamų įsipareigojimų finansavimo struktūrą, kaip nurodyta šio reglamento I priedo 4 formoje, teikiama kas ketvirtį pagal šio reglamento II priedo II dalies 2.3 punkto nurodymus;</w:t>
      </w:r>
    </w:p>
    <w:p w14:paraId="61F772BF" w14:textId="77777777" w:rsidR="00911C0D" w:rsidRPr="00103E2D" w:rsidRDefault="00911C0D" w:rsidP="00146633">
      <w:pPr>
        <w:pStyle w:val="Point1letter"/>
        <w:rPr>
          <w:noProof/>
        </w:rPr>
      </w:pPr>
      <w:r w:rsidRPr="00103E2D">
        <w:t>informacija apie priemones, kurias reglamentuoja trečiosios valstybės teisė, kaip nurodyta šio reglamento I priedo 7 formoje, teikiama kas ketvirtį pagal šio reglamento II priedo II dalies 4 punkto nurodymus.</w:t>
      </w:r>
    </w:p>
    <w:p w14:paraId="6CFA046B" w14:textId="77777777" w:rsidR="00911C0D" w:rsidRPr="00103E2D" w:rsidRDefault="00911C0D" w:rsidP="00080A21">
      <w:pPr>
        <w:pStyle w:val="NumPar1"/>
        <w:numPr>
          <w:ilvl w:val="0"/>
          <w:numId w:val="5"/>
        </w:numPr>
        <w:rPr>
          <w:noProof/>
        </w:rPr>
      </w:pPr>
      <w:r w:rsidRPr="00103E2D">
        <w:t>Be 1 dalyje nurodytos informacijos, subjektai, kurie yra ne ES G-SII reikšmingos patronuojamosios įmonės ir kuriems taikomas Reglamento (ES) Nr. 575/2013 92b straipsnyje nustatytas konsoliduotas reikalavimas, pagal to reglamento 11 straipsnio 3a dalį kompetentingoms institucijoms ir pertvarkymo institucijoms kas ketvirtį konsoliduotai teikia informaciją apie nuosavų lėšų ir tinkamų įsipareigojimų sumą ir sudėtį, kaip nurodyta šio reglamento I priedo 3 formos 0020 skiltyje, pagal šio reglamento II priedo II dalies 2.2 punkto nurodymus.</w:t>
      </w:r>
    </w:p>
    <w:p w14:paraId="4E886073" w14:textId="77777777" w:rsidR="00911C0D" w:rsidRPr="00103E2D" w:rsidRDefault="006033A6" w:rsidP="00146633">
      <w:pPr>
        <w:pStyle w:val="Titrearticle"/>
        <w:rPr>
          <w:i w:val="0"/>
        </w:rPr>
      </w:pPr>
      <w:r>
        <w:fldChar w:fldCharType="begin"/>
      </w:r>
      <w:r>
        <w:instrText xml:space="preserve"> SEQ Figure \* ARABIC </w:instrText>
      </w:r>
      <w:r>
        <w:fldChar w:fldCharType="separate"/>
      </w:r>
      <w:r w:rsidR="00911C0D" w:rsidRPr="00103E2D">
        <w:t>7</w:t>
      </w:r>
      <w:r>
        <w:fldChar w:fldCharType="end"/>
      </w:r>
      <w:r w:rsidR="00911C0D" w:rsidRPr="00103E2D">
        <w:t xml:space="preserve"> straipsnis</w:t>
      </w:r>
      <w:r w:rsidR="00911C0D" w:rsidRPr="00103E2D">
        <w:br/>
        <w:t>Keitimosi duomenimis formatai ir informacija, susijusi su pateikiamais duomenimis</w:t>
      </w:r>
    </w:p>
    <w:p w14:paraId="60E9050D" w14:textId="77777777" w:rsidR="00911C0D" w:rsidRPr="00103E2D" w:rsidRDefault="00911C0D" w:rsidP="00080A21">
      <w:pPr>
        <w:pStyle w:val="NumPar1"/>
        <w:numPr>
          <w:ilvl w:val="0"/>
          <w:numId w:val="6"/>
        </w:numPr>
        <w:rPr>
          <w:noProof/>
        </w:rPr>
      </w:pPr>
      <w:r w:rsidRPr="00103E2D">
        <w:t>Informaciją teikiantys subjektai pateikia informaciją pagal šį reglamentą savo kompetentingų institucijų arba pertvarkymo institucijų nustatytais keitimosi duomenimis formatais ir pateikimo būdais, laikydamiesi duomenų vienetų apibrėžčių, įtrauktų į šio reglamento III priede nustatytą duomenų vienetų modelį ir patvirtinimo taisykles.</w:t>
      </w:r>
    </w:p>
    <w:p w14:paraId="6673A56D" w14:textId="77777777" w:rsidR="00911C0D" w:rsidRPr="00103E2D" w:rsidRDefault="00911C0D" w:rsidP="00080A21">
      <w:pPr>
        <w:pStyle w:val="NumPar1"/>
        <w:numPr>
          <w:ilvl w:val="0"/>
          <w:numId w:val="5"/>
        </w:numPr>
        <w:rPr>
          <w:noProof/>
        </w:rPr>
      </w:pPr>
      <w:r w:rsidRPr="00103E2D">
        <w:t>Teikdami informaciją pagal šį reglamentą, informaciją teikiantys subjektai laikosi šių reikalavimų:</w:t>
      </w:r>
    </w:p>
    <w:p w14:paraId="7D9E4167" w14:textId="77777777" w:rsidR="00911C0D" w:rsidRPr="00103E2D" w:rsidRDefault="00911C0D" w:rsidP="00080A21">
      <w:pPr>
        <w:pStyle w:val="Point1letter"/>
        <w:numPr>
          <w:ilvl w:val="3"/>
          <w:numId w:val="13"/>
        </w:numPr>
        <w:rPr>
          <w:noProof/>
        </w:rPr>
      </w:pPr>
      <w:r w:rsidRPr="00103E2D">
        <w:t xml:space="preserve">nereikalaujama arba netaikoma informacija į pateikiamus duomenis neįtraukiama; </w:t>
      </w:r>
    </w:p>
    <w:p w14:paraId="3B400175" w14:textId="77777777" w:rsidR="00911C0D" w:rsidRPr="00103E2D" w:rsidRDefault="00911C0D" w:rsidP="00146633">
      <w:pPr>
        <w:pStyle w:val="Point1letter"/>
        <w:rPr>
          <w:noProof/>
        </w:rPr>
      </w:pPr>
      <w:r w:rsidRPr="00103E2D">
        <w:t>skaitinės reikšmės pateikiamos taip:</w:t>
      </w:r>
    </w:p>
    <w:p w14:paraId="2184B4DB" w14:textId="77777777" w:rsidR="00911C0D" w:rsidRPr="00103E2D" w:rsidRDefault="00911C0D" w:rsidP="00146633">
      <w:pPr>
        <w:pStyle w:val="Point2"/>
      </w:pPr>
      <w:r w:rsidRPr="00103E2D">
        <w:t>i)</w:t>
      </w:r>
      <w:r w:rsidRPr="00103E2D">
        <w:tab/>
        <w:t xml:space="preserve">duomenų vienetai, kurių duomenų rūšis yra „piniginė vertė“, nurodomi mažiausiai tūkstančių vienetų tikslumu; </w:t>
      </w:r>
    </w:p>
    <w:p w14:paraId="7B1AF6BE" w14:textId="77777777" w:rsidR="00911C0D" w:rsidRPr="00103E2D" w:rsidRDefault="00911C0D" w:rsidP="00146633">
      <w:pPr>
        <w:pStyle w:val="Point2"/>
      </w:pPr>
      <w:r w:rsidRPr="00103E2D">
        <w:t>ii)</w:t>
      </w:r>
      <w:r w:rsidRPr="00103E2D">
        <w:tab/>
        <w:t xml:space="preserve">duomenų vienetai, kurių duomenų rūšis yra „procentinė dalis“, nurodomi vienetais mažiausiai dešimttūkstantųjų tikslumu; </w:t>
      </w:r>
    </w:p>
    <w:p w14:paraId="5478D846" w14:textId="77777777" w:rsidR="00911C0D" w:rsidRPr="00103E2D" w:rsidRDefault="00911C0D" w:rsidP="00146633">
      <w:pPr>
        <w:pStyle w:val="Point2"/>
      </w:pPr>
      <w:r w:rsidRPr="00103E2D">
        <w:t>iii)</w:t>
      </w:r>
      <w:r w:rsidRPr="00103E2D">
        <w:tab/>
        <w:t>duomenų vienetai, kurių duomenų rūšis yra „sveikasis skaičius“, nurodomi nenaudojant dešimtainių skaičių, vienetų tikslumu;</w:t>
      </w:r>
    </w:p>
    <w:p w14:paraId="3B0DDC02" w14:textId="77777777" w:rsidR="00911C0D" w:rsidRPr="00103E2D" w:rsidRDefault="00911C0D" w:rsidP="00146633">
      <w:pPr>
        <w:pStyle w:val="Point1letter"/>
        <w:rPr>
          <w:noProof/>
        </w:rPr>
      </w:pPr>
      <w:r w:rsidRPr="00103E2D">
        <w:lastRenderedPageBreak/>
        <w:t>įstaigos identifikuojamos tik pagal jų juridinio asmens identifikatorių (LEI). Kiti nei įstaigos juridiniai asmenys ir sandorio šalys identifikuojami pagal jų LEI, jei toks yra.</w:t>
      </w:r>
    </w:p>
    <w:p w14:paraId="1DBE05C1" w14:textId="77777777" w:rsidR="00911C0D" w:rsidRPr="00103E2D" w:rsidRDefault="00911C0D" w:rsidP="00080A21">
      <w:pPr>
        <w:pStyle w:val="NumPar1"/>
        <w:numPr>
          <w:ilvl w:val="0"/>
          <w:numId w:val="5"/>
        </w:numPr>
        <w:rPr>
          <w:noProof/>
        </w:rPr>
      </w:pPr>
      <w:r w:rsidRPr="00103E2D">
        <w:t>Prie informaciją teikiančių subjektų pagal šį reglamentą teikiamos informacijos pridedama ši informacija:</w:t>
      </w:r>
    </w:p>
    <w:p w14:paraId="1DEF8C77" w14:textId="77777777" w:rsidR="00911C0D" w:rsidRPr="00103E2D" w:rsidRDefault="00911C0D" w:rsidP="00080A21">
      <w:pPr>
        <w:pStyle w:val="Point1letter"/>
        <w:numPr>
          <w:ilvl w:val="3"/>
          <w:numId w:val="14"/>
        </w:numPr>
        <w:rPr>
          <w:noProof/>
        </w:rPr>
      </w:pPr>
      <w:r w:rsidRPr="00103E2D">
        <w:t>ataskaitinė data ir ataskaitinis laikotarpis;</w:t>
      </w:r>
    </w:p>
    <w:p w14:paraId="09EC726C" w14:textId="77777777" w:rsidR="00911C0D" w:rsidRPr="00103E2D" w:rsidRDefault="00911C0D" w:rsidP="00146633">
      <w:pPr>
        <w:pStyle w:val="Point1letter"/>
        <w:rPr>
          <w:noProof/>
        </w:rPr>
      </w:pPr>
      <w:r w:rsidRPr="00103E2D">
        <w:t>ataskaitose nurodoma valiuta;</w:t>
      </w:r>
    </w:p>
    <w:p w14:paraId="4EEE4DC2" w14:textId="77777777" w:rsidR="00911C0D" w:rsidRPr="00103E2D" w:rsidRDefault="00911C0D" w:rsidP="00146633">
      <w:pPr>
        <w:pStyle w:val="Point1letter"/>
        <w:rPr>
          <w:noProof/>
        </w:rPr>
      </w:pPr>
      <w:r w:rsidRPr="00103E2D">
        <w:t>apskaitos standartas;</w:t>
      </w:r>
    </w:p>
    <w:p w14:paraId="2729F1FB" w14:textId="77777777" w:rsidR="00911C0D" w:rsidRPr="00103E2D" w:rsidRDefault="00911C0D" w:rsidP="00146633">
      <w:pPr>
        <w:pStyle w:val="Point1letter"/>
        <w:rPr>
          <w:noProof/>
        </w:rPr>
      </w:pPr>
      <w:r w:rsidRPr="00103E2D">
        <w:t>informaciją teikiančios įstaigos LEI;</w:t>
      </w:r>
    </w:p>
    <w:p w14:paraId="0F34F03F" w14:textId="77777777" w:rsidR="00911C0D" w:rsidRPr="00103E2D" w:rsidRDefault="00911C0D" w:rsidP="00146633">
      <w:pPr>
        <w:pStyle w:val="Point1letter"/>
        <w:rPr>
          <w:noProof/>
        </w:rPr>
      </w:pPr>
      <w:r w:rsidRPr="00103E2D">
        <w:tab/>
        <w:t>konsolidavimo apimtis.</w:t>
      </w:r>
    </w:p>
    <w:p w14:paraId="7CF14DFD" w14:textId="77777777" w:rsidR="00911C0D" w:rsidRPr="00103E2D" w:rsidRDefault="006033A6" w:rsidP="00911C0D">
      <w:pPr>
        <w:pStyle w:val="Titrearticle"/>
      </w:pPr>
      <w:r>
        <w:fldChar w:fldCharType="begin"/>
      </w:r>
      <w:r>
        <w:instrText xml:space="preserve"> SEQ Figure \* ARABIC </w:instrText>
      </w:r>
      <w:r>
        <w:fldChar w:fldCharType="separate"/>
      </w:r>
      <w:r w:rsidR="00911C0D" w:rsidRPr="00103E2D">
        <w:t>8</w:t>
      </w:r>
      <w:r>
        <w:fldChar w:fldCharType="end"/>
      </w:r>
      <w:r w:rsidR="00911C0D" w:rsidRPr="00103E2D">
        <w:t xml:space="preserve"> straipsnis</w:t>
      </w:r>
      <w:r w:rsidR="00911C0D" w:rsidRPr="00103E2D">
        <w:br/>
        <w:t>Standartizuotas prioritetų eiliškumo nemokumo atveju pateikimas</w:t>
      </w:r>
    </w:p>
    <w:p w14:paraId="5049F073" w14:textId="77777777" w:rsidR="00911C0D" w:rsidRPr="00103E2D" w:rsidRDefault="00911C0D" w:rsidP="00080A21">
      <w:pPr>
        <w:pStyle w:val="NumPar1"/>
        <w:numPr>
          <w:ilvl w:val="0"/>
          <w:numId w:val="23"/>
        </w:numPr>
        <w:rPr>
          <w:noProof/>
        </w:rPr>
      </w:pPr>
      <w:r w:rsidRPr="00103E2D">
        <w:t>Pertvarkymo institucijos parengia informaciją apie straipsnių eiliškumą savo nacionalinėse bankroto bylose naudodamos IV priede nurodytą standartizuotą formatą. Kai atsiranda pokyčių, jos nepagrįstai nedelsdamos tą informaciją atnaujina.</w:t>
      </w:r>
    </w:p>
    <w:p w14:paraId="3F9A4A43" w14:textId="77777777" w:rsidR="00911C0D" w:rsidRPr="00103E2D" w:rsidRDefault="00911C0D" w:rsidP="00080A21">
      <w:pPr>
        <w:pStyle w:val="NumPar1"/>
        <w:numPr>
          <w:ilvl w:val="0"/>
          <w:numId w:val="23"/>
        </w:numPr>
        <w:rPr>
          <w:noProof/>
        </w:rPr>
      </w:pPr>
      <w:r w:rsidRPr="00103E2D">
        <w:t>Pertvarkymo institucijos paskelbia 1 dalyje nurodytą informaciją, kad su ja galėtų susipažinti jų prižiūrimos įstaigos.</w:t>
      </w:r>
    </w:p>
    <w:p w14:paraId="1D1FC80E" w14:textId="77777777" w:rsidR="00911C0D" w:rsidRPr="00103E2D" w:rsidRDefault="00911C0D" w:rsidP="00911C0D">
      <w:pPr>
        <w:pStyle w:val="SectionTitle"/>
        <w:rPr>
          <w:b w:val="0"/>
          <w:i/>
        </w:rPr>
      </w:pPr>
      <w:r w:rsidRPr="00103E2D">
        <w:rPr>
          <w:b w:val="0"/>
          <w:i/>
        </w:rPr>
        <w:t>II ANTRAŠTINĖ DALIS</w:t>
      </w:r>
      <w:r w:rsidRPr="00103E2D">
        <w:t xml:space="preserve"> </w:t>
      </w:r>
      <w:r w:rsidRPr="00103E2D">
        <w:br/>
      </w:r>
      <w:r w:rsidRPr="00103E2D">
        <w:rPr>
          <w:b w:val="0"/>
          <w:i/>
        </w:rPr>
        <w:t>ĮSTAIGŲ VYKDOMAS VIEŠAS INFORMACIJOS ATSKLEIDIMAS</w:t>
      </w:r>
    </w:p>
    <w:p w14:paraId="674A8126" w14:textId="77777777" w:rsidR="00911C0D" w:rsidRPr="00103E2D" w:rsidRDefault="006033A6" w:rsidP="00911C0D">
      <w:pPr>
        <w:pStyle w:val="Titrearticle"/>
      </w:pPr>
      <w:r>
        <w:fldChar w:fldCharType="begin"/>
      </w:r>
      <w:r>
        <w:instrText xml:space="preserve"> SEQ Figure \* ARABIC </w:instrText>
      </w:r>
      <w:r>
        <w:fldChar w:fldCharType="separate"/>
      </w:r>
      <w:r w:rsidR="00911C0D" w:rsidRPr="00103E2D">
        <w:t>9</w:t>
      </w:r>
      <w:r>
        <w:fldChar w:fldCharType="end"/>
      </w:r>
      <w:r w:rsidR="00911C0D" w:rsidRPr="00103E2D">
        <w:t xml:space="preserve"> straipsnis</w:t>
      </w:r>
      <w:r w:rsidR="00911C0D" w:rsidRPr="00103E2D">
        <w:br/>
        <w:t>Informacijos atskleidimo dažnumas ir atskleidimo datos</w:t>
      </w:r>
    </w:p>
    <w:p w14:paraId="30497442" w14:textId="1688CF64" w:rsidR="00911C0D" w:rsidRPr="00103E2D" w:rsidRDefault="00911C0D" w:rsidP="00080A21">
      <w:pPr>
        <w:pStyle w:val="NumPar1"/>
        <w:numPr>
          <w:ilvl w:val="0"/>
          <w:numId w:val="24"/>
        </w:numPr>
        <w:rPr>
          <w:noProof/>
        </w:rPr>
      </w:pPr>
      <w:r w:rsidRPr="00103E2D">
        <w:t>10 straipsnio 1 dalyje nurodyta informacija atskleidžiama kas ketvirtį. 10 straipsnio 2 dalyje nurodyta informacija atskleidžiama kas pusmetį.</w:t>
      </w:r>
    </w:p>
    <w:p w14:paraId="0CFDDF92" w14:textId="77777777" w:rsidR="00911C0D" w:rsidRPr="00103E2D" w:rsidRDefault="00911C0D" w:rsidP="00146633">
      <w:pPr>
        <w:pStyle w:val="NumPar1"/>
        <w:rPr>
          <w:noProof/>
        </w:rPr>
      </w:pPr>
      <w:r w:rsidRPr="00103E2D">
        <w:fldChar w:fldCharType="begin"/>
      </w:r>
      <w:r w:rsidRPr="00103E2D">
        <w:instrText xml:space="preserve"> REF _Ref21450145 \# 0 \h  \* MERGEFORMAT </w:instrText>
      </w:r>
      <w:r w:rsidRPr="00103E2D">
        <w:fldChar w:fldCharType="separate"/>
      </w:r>
      <w:r w:rsidRPr="00103E2D">
        <w:t>11</w:t>
      </w:r>
      <w:r w:rsidRPr="00103E2D">
        <w:fldChar w:fldCharType="end"/>
      </w:r>
      <w:r w:rsidRPr="00103E2D">
        <w:t xml:space="preserve"> straipsnio 1 dalyje ir </w:t>
      </w:r>
      <w:r w:rsidRPr="00103E2D">
        <w:fldChar w:fldCharType="begin"/>
      </w:r>
      <w:r w:rsidRPr="00103E2D">
        <w:instrText xml:space="preserve"> REF _Ref21087242 \# 0 \h  \* MERGEFORMAT </w:instrText>
      </w:r>
      <w:r w:rsidRPr="00103E2D">
        <w:fldChar w:fldCharType="separate"/>
      </w:r>
      <w:r w:rsidRPr="00103E2D">
        <w:t>14</w:t>
      </w:r>
      <w:r w:rsidRPr="00103E2D">
        <w:fldChar w:fldCharType="end"/>
      </w:r>
      <w:r w:rsidRPr="00103E2D">
        <w:t xml:space="preserve"> straipsnio 1 dalyje nurodyta informacija atskleidžiama kas pusmetį. </w:t>
      </w:r>
      <w:r w:rsidRPr="00103E2D">
        <w:fldChar w:fldCharType="begin"/>
      </w:r>
      <w:r w:rsidRPr="00103E2D">
        <w:instrText xml:space="preserve"> REF _Ref21450145 \# 0 \h  \* MERGEFORMAT </w:instrText>
      </w:r>
      <w:r w:rsidRPr="00103E2D">
        <w:fldChar w:fldCharType="separate"/>
      </w:r>
      <w:r w:rsidRPr="00103E2D">
        <w:t>11</w:t>
      </w:r>
      <w:r w:rsidRPr="00103E2D">
        <w:fldChar w:fldCharType="end"/>
      </w:r>
      <w:r w:rsidRPr="00103E2D">
        <w:t xml:space="preserve"> straipsnio 2 dalyje ir 14 straipsnio 2 dalyje nurodyta informacija atskleidžiama kasmet.</w:t>
      </w:r>
    </w:p>
    <w:p w14:paraId="0276A47B" w14:textId="59C6BE0E" w:rsidR="00911C0D" w:rsidRPr="00103E2D" w:rsidRDefault="00911C0D" w:rsidP="00146633">
      <w:pPr>
        <w:pStyle w:val="NumPar1"/>
        <w:rPr>
          <w:noProof/>
        </w:rPr>
      </w:pPr>
      <w:r w:rsidRPr="00103E2D">
        <w:t>12 straipsnio 1 dalyje nurodyta informacija atskleidžiama kas ketvirtį. 12 straipsnio 2 dalyje nurodyta informacija atskleidžiama kas pusmetį.</w:t>
      </w:r>
    </w:p>
    <w:p w14:paraId="1C90BE41" w14:textId="77777777" w:rsidR="00911C0D" w:rsidRPr="00103E2D" w:rsidRDefault="00911C0D" w:rsidP="00146633">
      <w:pPr>
        <w:pStyle w:val="NumPar1"/>
        <w:rPr>
          <w:noProof/>
        </w:rPr>
      </w:pPr>
      <w:r w:rsidRPr="00103E2D">
        <w:t>13 straipsnio 1 dalyje nurodyta informacija atskleidžiama kas pusmetį. 13 straipsnio 2 dalyje nurodyta informacija atskleidžiama kasmet.</w:t>
      </w:r>
    </w:p>
    <w:p w14:paraId="77DF8699" w14:textId="77777777" w:rsidR="00911C0D" w:rsidRPr="00103E2D" w:rsidRDefault="00911C0D" w:rsidP="00146633">
      <w:pPr>
        <w:pStyle w:val="NumPar1"/>
        <w:rPr>
          <w:noProof/>
        </w:rPr>
      </w:pPr>
      <w:r w:rsidRPr="00103E2D">
        <w:fldChar w:fldCharType="begin"/>
      </w:r>
      <w:r w:rsidRPr="00103E2D">
        <w:instrText xml:space="preserve"> REF _Ref21087218 \# 0 \h  \* MERGEFORMAT </w:instrText>
      </w:r>
      <w:r w:rsidRPr="00103E2D">
        <w:fldChar w:fldCharType="separate"/>
      </w:r>
      <w:r w:rsidRPr="00103E2D">
        <w:t>15</w:t>
      </w:r>
      <w:r w:rsidRPr="00103E2D">
        <w:fldChar w:fldCharType="end"/>
      </w:r>
      <w:r w:rsidRPr="00103E2D">
        <w:t xml:space="preserve"> straipsnyje nurodyta informacija atskleidžiama taip:</w:t>
      </w:r>
    </w:p>
    <w:p w14:paraId="553B9B42" w14:textId="77777777" w:rsidR="00911C0D" w:rsidRPr="00103E2D" w:rsidRDefault="00911C0D" w:rsidP="00080A21">
      <w:pPr>
        <w:pStyle w:val="Point1letter"/>
        <w:numPr>
          <w:ilvl w:val="3"/>
          <w:numId w:val="15"/>
        </w:numPr>
        <w:rPr>
          <w:noProof/>
        </w:rPr>
      </w:pPr>
      <w:r w:rsidRPr="00103E2D">
        <w:t>kas pusmetį, kai informaciją atskleidžiantis subjektas yra didelė įstaiga;</w:t>
      </w:r>
    </w:p>
    <w:p w14:paraId="6AC02098" w14:textId="77777777" w:rsidR="00911C0D" w:rsidRPr="00103E2D" w:rsidRDefault="00146633" w:rsidP="00080A21">
      <w:pPr>
        <w:pStyle w:val="Point1letter"/>
        <w:numPr>
          <w:ilvl w:val="3"/>
          <w:numId w:val="15"/>
        </w:numPr>
        <w:rPr>
          <w:noProof/>
        </w:rPr>
      </w:pPr>
      <w:r w:rsidRPr="00103E2D">
        <w:t xml:space="preserve">kasmet, kai informaciją atskleidžiantis subjektas nėra nei didelė įstaiga, nei maža ir nesudėtinga įstaiga. </w:t>
      </w:r>
    </w:p>
    <w:p w14:paraId="67AF5D74" w14:textId="77777777" w:rsidR="00911C0D" w:rsidRPr="00103E2D" w:rsidRDefault="00911C0D" w:rsidP="00911C0D">
      <w:pPr>
        <w:pStyle w:val="Point0"/>
        <w:rPr>
          <w:noProof/>
        </w:rPr>
      </w:pPr>
      <w:r w:rsidRPr="00103E2D">
        <w:t>6.</w:t>
      </w:r>
      <w:r w:rsidRPr="00103E2D">
        <w:tab/>
        <w:t>Siekdami viešai atskleisti informaciją, ją atskleidžiantys subjektai laikosi šių reikalavimų:</w:t>
      </w:r>
    </w:p>
    <w:p w14:paraId="4DA11D1B" w14:textId="77777777" w:rsidR="00911C0D" w:rsidRPr="00103E2D" w:rsidRDefault="00911C0D" w:rsidP="00080A21">
      <w:pPr>
        <w:pStyle w:val="Point1letter"/>
        <w:numPr>
          <w:ilvl w:val="3"/>
          <w:numId w:val="16"/>
        </w:numPr>
        <w:rPr>
          <w:noProof/>
        </w:rPr>
      </w:pPr>
      <w:r w:rsidRPr="00103E2D">
        <w:t xml:space="preserve">kasmet atskleidžiama informacija skelbiama tą pačią dieną, kai įstaigos skelbia savo finansines ataskaitas, arba kuo greičiau po šios datos; </w:t>
      </w:r>
    </w:p>
    <w:p w14:paraId="38E67937" w14:textId="77777777" w:rsidR="00911C0D" w:rsidRPr="00103E2D" w:rsidRDefault="00911C0D" w:rsidP="00080A21">
      <w:pPr>
        <w:pStyle w:val="Point1letter"/>
        <w:numPr>
          <w:ilvl w:val="3"/>
          <w:numId w:val="16"/>
        </w:numPr>
        <w:rPr>
          <w:noProof/>
        </w:rPr>
      </w:pPr>
      <w:r w:rsidRPr="00103E2D">
        <w:lastRenderedPageBreak/>
        <w:t xml:space="preserve">kas pusmetį ir kas ketvirtį atskleidžiama informacija skelbiama tą pačią dieną, kai įstaigos skelbia atitinkamo laikotarpio finansines ataskaitas, jei taikytina, arba kuo greičiau po šios dienos; </w:t>
      </w:r>
    </w:p>
    <w:p w14:paraId="7CC4F5BD" w14:textId="77777777" w:rsidR="00911C0D" w:rsidRPr="00103E2D" w:rsidRDefault="00911C0D" w:rsidP="00080A21">
      <w:pPr>
        <w:pStyle w:val="Point1letter"/>
        <w:numPr>
          <w:ilvl w:val="3"/>
          <w:numId w:val="16"/>
        </w:numPr>
        <w:rPr>
          <w:noProof/>
        </w:rPr>
      </w:pPr>
      <w:r w:rsidRPr="00103E2D">
        <w:t>bet koks atotrūkis tarp informacijos, kurią reikalaujama atskleisti pagal šią antraštinę dalį, paskelbimo datos ir atitinkamų finansinių ataskaitų paskelbimo datos turi būti pagrįstas ir bet kuriuo atveju neviršyti kompetentingų institucijų pagal Europos Parlamento ir Tarybos direktyvos 2013/36/ES</w:t>
      </w:r>
      <w:r w:rsidRPr="00103E2D">
        <w:rPr>
          <w:rStyle w:val="FootnoteReference"/>
          <w:noProof/>
        </w:rPr>
        <w:footnoteReference w:id="6"/>
      </w:r>
      <w:r w:rsidRPr="00103E2D">
        <w:t xml:space="preserve"> 106 straipsnį nustatyto termino.</w:t>
      </w:r>
    </w:p>
    <w:bookmarkStart w:id="1" w:name="_Ref21085297"/>
    <w:p w14:paraId="2B144DCB" w14:textId="77777777" w:rsidR="00911C0D" w:rsidRPr="00103E2D" w:rsidRDefault="00911C0D" w:rsidP="00911C0D">
      <w:pPr>
        <w:pStyle w:val="Titrearticle"/>
      </w:pPr>
      <w:r w:rsidRPr="00103E2D">
        <w:fldChar w:fldCharType="begin"/>
      </w:r>
      <w:r w:rsidRPr="00103E2D">
        <w:instrText xml:space="preserve"> SEQ Figure \* ARABIC </w:instrText>
      </w:r>
      <w:r w:rsidRPr="00103E2D">
        <w:fldChar w:fldCharType="separate"/>
      </w:r>
      <w:r w:rsidRPr="00103E2D">
        <w:t>10</w:t>
      </w:r>
      <w:r w:rsidRPr="00103E2D">
        <w:fldChar w:fldCharType="end"/>
      </w:r>
      <w:r w:rsidRPr="00103E2D">
        <w:t xml:space="preserve"> straipsnis</w:t>
      </w:r>
      <w:bookmarkEnd w:id="1"/>
      <w:r w:rsidRPr="00103E2D">
        <w:t xml:space="preserve"> </w:t>
      </w:r>
      <w:r w:rsidRPr="00103E2D">
        <w:br/>
        <w:t>Pertvarkytinų subjektų atskleidžiama informacija apie nuosavų lėšų ir tinkamų įsipareigojimų pagrindinius parametrus ir nuosavų lėšų bei tinkamų įsipareigojimų reikalavimus</w:t>
      </w:r>
    </w:p>
    <w:p w14:paraId="44F94195" w14:textId="77777777" w:rsidR="00911C0D" w:rsidRPr="00103E2D" w:rsidRDefault="00911C0D" w:rsidP="00080A21">
      <w:pPr>
        <w:pStyle w:val="NumPar1"/>
        <w:numPr>
          <w:ilvl w:val="0"/>
          <w:numId w:val="22"/>
        </w:numPr>
        <w:rPr>
          <w:noProof/>
        </w:rPr>
      </w:pPr>
      <w:r w:rsidRPr="00103E2D">
        <w:t xml:space="preserve">Subjektai, nurodyti kaip pertvarkytini subjektai, kurie yra G-SII arba G-SII dalis, atskleidžia Reglamento (ES) Nr. 575/2013 447 straipsnio h punkte ir Direktyvos 2014/59/ES 45i straipsnio 3 dalies a ir c punktuose reikalaujamą informaciją pagal šio reglamento V priedo EU KM2 formą ir atitinkamus šio reglamento VI priede pateiktus nurodymus. </w:t>
      </w:r>
    </w:p>
    <w:p w14:paraId="2955CCFE" w14:textId="77777777" w:rsidR="00911C0D" w:rsidRPr="00103E2D" w:rsidRDefault="00911C0D" w:rsidP="00080A21">
      <w:pPr>
        <w:pStyle w:val="NumPar1"/>
        <w:numPr>
          <w:ilvl w:val="0"/>
          <w:numId w:val="22"/>
        </w:numPr>
        <w:rPr>
          <w:noProof/>
        </w:rPr>
      </w:pPr>
      <w:r w:rsidRPr="00103E2D">
        <w:t>Subjektai, nurodyti kaip pertvarkytini subjektai, kurie nėra nei G-SII, nei G-SII dalis, atskleidžia Direktyvos 2014/59/ES 45i straipsnio 3 dalies a ir c punktuose reikalaujamą informaciją pagal šio reglamento V priedo EU KM2 formą ir atitinkamus šio reglamento VI priede pateiktus nurodymus.</w:t>
      </w:r>
    </w:p>
    <w:bookmarkStart w:id="2" w:name="_Ref21450145"/>
    <w:p w14:paraId="5BA5FA46" w14:textId="77777777" w:rsidR="00911C0D" w:rsidRPr="00103E2D" w:rsidRDefault="00911C0D" w:rsidP="00911C0D">
      <w:pPr>
        <w:pStyle w:val="Titrearticle"/>
      </w:pPr>
      <w:r w:rsidRPr="00103E2D">
        <w:fldChar w:fldCharType="begin"/>
      </w:r>
      <w:r w:rsidRPr="00103E2D">
        <w:instrText xml:space="preserve"> SEQ Figure \* ARABIC </w:instrText>
      </w:r>
      <w:r w:rsidRPr="00103E2D">
        <w:fldChar w:fldCharType="separate"/>
      </w:r>
      <w:r w:rsidRPr="00103E2D">
        <w:t>11</w:t>
      </w:r>
      <w:r w:rsidRPr="00103E2D">
        <w:fldChar w:fldCharType="end"/>
      </w:r>
      <w:r w:rsidRPr="00103E2D">
        <w:t xml:space="preserve"> straipsnis</w:t>
      </w:r>
      <w:bookmarkEnd w:id="2"/>
      <w:r w:rsidRPr="00103E2D">
        <w:t xml:space="preserve"> </w:t>
      </w:r>
      <w:r w:rsidRPr="00103E2D">
        <w:br/>
        <w:t>Pertvarkytinų subjektų atskleidžiama informacija apie nuosavų lėšų ir tinkamų įsipareigojimų sudėtį</w:t>
      </w:r>
    </w:p>
    <w:p w14:paraId="097F2CA5" w14:textId="77777777" w:rsidR="00911C0D" w:rsidRPr="00103E2D" w:rsidRDefault="00911C0D" w:rsidP="00080A21">
      <w:pPr>
        <w:pStyle w:val="NumPar1"/>
        <w:numPr>
          <w:ilvl w:val="0"/>
          <w:numId w:val="21"/>
        </w:numPr>
        <w:rPr>
          <w:noProof/>
        </w:rPr>
      </w:pPr>
      <w:r w:rsidRPr="00103E2D">
        <w:t>Subjektai, nurodyti kaip pertvarkytini subjektai, kurie yra G-SII arba G-SII dalis, atskleidžia Reglamento (ES) Nr. 575/2013 437a straipsnio a, c ir d punktuose reikalaujamą informaciją ir Direktyvos 2014/59/ES 45i straipsnio 3 dalies b punkte reikalaujamą informaciją apie nuosavų lėšų ir tinkamų įsipareigojimų sudėtį pagal šio reglamento V priedo EU TLAC1 formą ir atitinkamus šio reglamento VI priede pateiktus nurodymus.</w:t>
      </w:r>
    </w:p>
    <w:p w14:paraId="6EE067EB" w14:textId="77777777" w:rsidR="00911C0D" w:rsidRPr="00103E2D" w:rsidRDefault="00911C0D" w:rsidP="00080A21">
      <w:pPr>
        <w:pStyle w:val="NumPar1"/>
        <w:numPr>
          <w:ilvl w:val="0"/>
          <w:numId w:val="21"/>
        </w:numPr>
        <w:rPr>
          <w:noProof/>
        </w:rPr>
      </w:pPr>
      <w:r w:rsidRPr="00103E2D">
        <w:t>Subjektai, nurodyti kaip pertvarkytini subjektai, kurie nėra nei G-SII, nei G-SII dalis, atskleidžia Direktyvos 2014/59/ES 45i straipsnio 3 dalies b punkte reikalaujamą informaciją apie nuosavų lėšų ir tinkamų įsipareigojimų sudėtį pagal šio reglamento V priedo EU TLAC1 formą ir atitinkamus šio reglamento VI priede pateiktus nurodymus.</w:t>
      </w:r>
    </w:p>
    <w:bookmarkStart w:id="3" w:name="_Ref21087987"/>
    <w:p w14:paraId="31FF8221" w14:textId="77777777" w:rsidR="00911C0D" w:rsidRPr="00103E2D" w:rsidRDefault="00911C0D" w:rsidP="00911C0D">
      <w:pPr>
        <w:pStyle w:val="Titrearticle"/>
      </w:pPr>
      <w:r w:rsidRPr="00103E2D">
        <w:fldChar w:fldCharType="begin"/>
      </w:r>
      <w:r w:rsidRPr="00103E2D">
        <w:instrText xml:space="preserve"> SEQ Figure \* ARABIC </w:instrText>
      </w:r>
      <w:r w:rsidRPr="00103E2D">
        <w:fldChar w:fldCharType="separate"/>
      </w:r>
      <w:r w:rsidRPr="00103E2D">
        <w:t>12</w:t>
      </w:r>
      <w:r w:rsidRPr="00103E2D">
        <w:fldChar w:fldCharType="end"/>
      </w:r>
      <w:r w:rsidRPr="00103E2D">
        <w:t xml:space="preserve"> straipsnis</w:t>
      </w:r>
      <w:bookmarkEnd w:id="3"/>
      <w:r w:rsidRPr="00103E2D">
        <w:t xml:space="preserve"> </w:t>
      </w:r>
      <w:r w:rsidRPr="00103E2D">
        <w:br/>
        <w:t>Subjektų, kurie patys nėra pertvarkytini subjektai, atskleidžiama informacija apie pagrindinius parametrus ir vidinį nuostolių padengimo pajėgumą</w:t>
      </w:r>
    </w:p>
    <w:p w14:paraId="32300B39" w14:textId="77777777" w:rsidR="00911C0D" w:rsidRPr="00103E2D" w:rsidRDefault="00911C0D" w:rsidP="00080A21">
      <w:pPr>
        <w:pStyle w:val="NumPar1"/>
        <w:numPr>
          <w:ilvl w:val="0"/>
          <w:numId w:val="20"/>
        </w:numPr>
        <w:rPr>
          <w:noProof/>
        </w:rPr>
      </w:pPr>
      <w:r w:rsidRPr="00103E2D">
        <w:t xml:space="preserve">Subjektai, kurie yra ne ES G-SII reikšmingos patronuojamosios įmonės ir kurie patys nėra pertvarkytini subjektai, pagal šio reglamento V priedo EU ILAC formą ir </w:t>
      </w:r>
      <w:r w:rsidRPr="00103E2D">
        <w:lastRenderedPageBreak/>
        <w:t>atitinkamus šio reglamento VI priede pateiktus nurodymus atskleidžia šią informaciją:</w:t>
      </w:r>
    </w:p>
    <w:p w14:paraId="782B5E5F" w14:textId="77777777" w:rsidR="00911C0D" w:rsidRPr="00103E2D" w:rsidRDefault="00911C0D" w:rsidP="00080A21">
      <w:pPr>
        <w:pStyle w:val="Point1letter"/>
        <w:numPr>
          <w:ilvl w:val="3"/>
          <w:numId w:val="17"/>
        </w:numPr>
        <w:rPr>
          <w:noProof/>
        </w:rPr>
      </w:pPr>
      <w:r w:rsidRPr="00103E2D">
        <w:t>informaciją, kurios reikalaujama pagal Reglamento (ES) Nr. 575/2013 437a straipsnio a, c ir d punktus;</w:t>
      </w:r>
    </w:p>
    <w:p w14:paraId="32D06C75" w14:textId="77777777" w:rsidR="00911C0D" w:rsidRPr="00103E2D" w:rsidRDefault="00911C0D" w:rsidP="00080A21">
      <w:pPr>
        <w:pStyle w:val="Point1letter"/>
        <w:numPr>
          <w:ilvl w:val="3"/>
          <w:numId w:val="17"/>
        </w:numPr>
        <w:rPr>
          <w:noProof/>
        </w:rPr>
      </w:pPr>
      <w:r w:rsidRPr="00103E2D">
        <w:t>informaciją, kurios reikalaujama pagal Reglamento (ES) Nr. 575/2013 447 straipsnio h punktą;</w:t>
      </w:r>
    </w:p>
    <w:p w14:paraId="00DD876B" w14:textId="77777777" w:rsidR="00911C0D" w:rsidRPr="00103E2D" w:rsidRDefault="00911C0D" w:rsidP="00080A21">
      <w:pPr>
        <w:pStyle w:val="Point1letter"/>
        <w:numPr>
          <w:ilvl w:val="3"/>
          <w:numId w:val="17"/>
        </w:numPr>
        <w:rPr>
          <w:noProof/>
        </w:rPr>
      </w:pPr>
      <w:r w:rsidRPr="00103E2D">
        <w:t>informaciją, kurios reikalaujama pagal Direktyvos 2014/59/ES 45i straipsnio 3 dalies a ir c punktus;</w:t>
      </w:r>
    </w:p>
    <w:p w14:paraId="4DA0CF37" w14:textId="22E9761B" w:rsidR="00911C0D" w:rsidRPr="00103E2D" w:rsidRDefault="00911C0D" w:rsidP="00080A21">
      <w:pPr>
        <w:pStyle w:val="Point1letter"/>
        <w:numPr>
          <w:ilvl w:val="3"/>
          <w:numId w:val="17"/>
        </w:numPr>
        <w:rPr>
          <w:noProof/>
        </w:rPr>
      </w:pPr>
      <w:r w:rsidRPr="00103E2D">
        <w:t>informaciją apie nuosavų lėšų ir tinkamų įsipareigojimų sudėtį, reikalaujamą pagal Direktyvos 2014/59/ES 45i straipsnio 3 dalies b punktą.</w:t>
      </w:r>
    </w:p>
    <w:p w14:paraId="2D3A456D" w14:textId="77777777" w:rsidR="00911C0D" w:rsidRPr="00103E2D" w:rsidRDefault="00911C0D" w:rsidP="00911C0D">
      <w:pPr>
        <w:pStyle w:val="Point0"/>
        <w:rPr>
          <w:noProof/>
        </w:rPr>
      </w:pPr>
      <w:r w:rsidRPr="00103E2D">
        <w:t>2.</w:t>
      </w:r>
      <w:r w:rsidRPr="00103E2D">
        <w:tab/>
        <w:t>Subjektai, išskyrus ne ES G-SII reikšmingas patronuojamąsias įmones, kurie patys nėra pertvarkytini subjektai, pagal šio reglamento V priedo EU ILAC formą ir atitinkamus šio reglamento VI priede pateiktus nurodymus atskleidžia šią informaciją:</w:t>
      </w:r>
    </w:p>
    <w:p w14:paraId="2F8640BD" w14:textId="77777777" w:rsidR="00911C0D" w:rsidRPr="00103E2D" w:rsidRDefault="00911C0D" w:rsidP="00080A21">
      <w:pPr>
        <w:pStyle w:val="Point1letter"/>
        <w:numPr>
          <w:ilvl w:val="3"/>
          <w:numId w:val="18"/>
        </w:numPr>
        <w:rPr>
          <w:noProof/>
        </w:rPr>
      </w:pPr>
      <w:r w:rsidRPr="00103E2D">
        <w:t>informaciją, kurios reikalaujama pagal Direktyvos 2014/59/ES 45i straipsnio 3 dalies a ir c punktus;</w:t>
      </w:r>
    </w:p>
    <w:p w14:paraId="4C6E59D7" w14:textId="77777777" w:rsidR="00911C0D" w:rsidRPr="00103E2D" w:rsidRDefault="00911C0D" w:rsidP="00080A21">
      <w:pPr>
        <w:pStyle w:val="Point1letter"/>
        <w:numPr>
          <w:ilvl w:val="3"/>
          <w:numId w:val="18"/>
        </w:numPr>
        <w:rPr>
          <w:noProof/>
        </w:rPr>
      </w:pPr>
      <w:r w:rsidRPr="00103E2D">
        <w:t>informaciją apie nuosavų lėšų ir tinkamų įsipareigojimų sudėtį, reikalaujamą pagal Direktyvos 2014/59/ES 45i straipsnio 3 dalies b punktą.</w:t>
      </w:r>
    </w:p>
    <w:bookmarkStart w:id="4" w:name="_Ref21088028"/>
    <w:p w14:paraId="40797C60" w14:textId="77777777" w:rsidR="00911C0D" w:rsidRPr="00103E2D" w:rsidRDefault="00911C0D" w:rsidP="00911C0D">
      <w:pPr>
        <w:pStyle w:val="Titrearticle"/>
      </w:pPr>
      <w:r w:rsidRPr="00103E2D">
        <w:fldChar w:fldCharType="begin"/>
      </w:r>
      <w:r w:rsidRPr="00103E2D">
        <w:instrText xml:space="preserve"> SEQ Figure \* ARABIC </w:instrText>
      </w:r>
      <w:r w:rsidRPr="00103E2D">
        <w:fldChar w:fldCharType="separate"/>
      </w:r>
      <w:r w:rsidRPr="00103E2D">
        <w:t>13</w:t>
      </w:r>
      <w:r w:rsidRPr="00103E2D">
        <w:fldChar w:fldCharType="end"/>
      </w:r>
      <w:r w:rsidRPr="00103E2D">
        <w:t xml:space="preserve"> straipsnis</w:t>
      </w:r>
      <w:bookmarkEnd w:id="4"/>
      <w:r w:rsidRPr="00103E2D">
        <w:br/>
        <w:t>Nepertvarkytinų subjektų atskleidžiama informacija apie kreditorių eiliškumą</w:t>
      </w:r>
    </w:p>
    <w:p w14:paraId="0FA53E9A" w14:textId="16A22625" w:rsidR="00911C0D" w:rsidRPr="00103E2D" w:rsidRDefault="00911C0D" w:rsidP="00080A21">
      <w:pPr>
        <w:pStyle w:val="NumPar1"/>
        <w:numPr>
          <w:ilvl w:val="0"/>
          <w:numId w:val="19"/>
        </w:numPr>
        <w:rPr>
          <w:noProof/>
        </w:rPr>
      </w:pPr>
      <w:r w:rsidRPr="00103E2D">
        <w:t xml:space="preserve">Subjektai, kurie yra ne ES G-SII reikšmingos patronuojamosios įmonės ir kurie patys nėra pertvarkytini subjektai, atskleidžia Reglamento (ES) Nr. 575/2013 437a straipsnio a ir b punktuose ir Direktyvos 2014/59/ES 45i straipsnio 3 dalies b punkte nurodytą informaciją apie terminų struktūrą ir prioritetą įprastinės bankroto bylos atveju pagal šio reglamento V priedo EU TLAC2a formą ir atitinkamus šio reglamento VI priede pateiktus nurodymus. </w:t>
      </w:r>
    </w:p>
    <w:p w14:paraId="515F579C" w14:textId="77777777" w:rsidR="00911C0D" w:rsidRPr="00103E2D" w:rsidRDefault="00911C0D" w:rsidP="00080A21">
      <w:pPr>
        <w:pStyle w:val="NumPar1"/>
        <w:numPr>
          <w:ilvl w:val="0"/>
          <w:numId w:val="19"/>
        </w:numPr>
        <w:rPr>
          <w:noProof/>
        </w:rPr>
      </w:pPr>
      <w:r w:rsidRPr="00103E2D">
        <w:t xml:space="preserve">Subjektai, išskyrus ne ES G-SII reikšmingas patronuojamąsias įmones, kurie patys nėra pertvarkytini subjektai, atskleidžia Direktyvos 2014/59/ES 45i straipsnio 3 dalies b punkte nurodytą informaciją apie terminų struktūrą ir prioritetą įprastinės bankroto bylos atveju pagal šio reglamento V priedo EU TLAC2b formą ir atitinkamus šio reglamento VI priede pateiktus nurodymus. </w:t>
      </w:r>
    </w:p>
    <w:p w14:paraId="51B0E851" w14:textId="32AD2F70" w:rsidR="00911C0D" w:rsidRPr="00103E2D" w:rsidRDefault="00911C0D" w:rsidP="00B129CF">
      <w:pPr>
        <w:pStyle w:val="Text1"/>
        <w:rPr>
          <w:noProof/>
        </w:rPr>
      </w:pPr>
      <w:r w:rsidRPr="00103E2D">
        <w:t>Šios dalies pirmoje pastraipoje nurodyti subjektai gali pasirinkti naudoti EU TLAC2a, o ne EU TLAC2b formą, kad atskleistų Direktyvos 2014/59/ES 45i straipsnio 3 dalies b punkte reikalaujamą informaciją apie terminų struktūrą ir prioritetą įprastinės bankroto bylos atveju.</w:t>
      </w:r>
    </w:p>
    <w:bookmarkStart w:id="5" w:name="_Ref21087242"/>
    <w:p w14:paraId="0ACD53CE" w14:textId="77777777" w:rsidR="00911C0D" w:rsidRPr="00103E2D" w:rsidRDefault="00911C0D" w:rsidP="00911C0D">
      <w:pPr>
        <w:pStyle w:val="Titrearticle"/>
      </w:pPr>
      <w:r w:rsidRPr="00103E2D">
        <w:fldChar w:fldCharType="begin"/>
      </w:r>
      <w:r w:rsidRPr="00103E2D">
        <w:instrText xml:space="preserve"> SEQ Figure \* ARABIC </w:instrText>
      </w:r>
      <w:r w:rsidRPr="00103E2D">
        <w:fldChar w:fldCharType="separate"/>
      </w:r>
      <w:r w:rsidRPr="00103E2D">
        <w:t>14</w:t>
      </w:r>
      <w:r w:rsidRPr="00103E2D">
        <w:fldChar w:fldCharType="end"/>
      </w:r>
      <w:r w:rsidRPr="00103E2D">
        <w:t xml:space="preserve"> straipsnis</w:t>
      </w:r>
      <w:bookmarkEnd w:id="5"/>
      <w:r w:rsidRPr="00103E2D">
        <w:br/>
        <w:t>Pertvarkytinų subjektų atskleidžiama informacija apie kreditorių eiliškumą</w:t>
      </w:r>
    </w:p>
    <w:p w14:paraId="0214BA4A" w14:textId="4F8B03D6" w:rsidR="00911C0D" w:rsidRPr="00103E2D" w:rsidRDefault="00911C0D" w:rsidP="00080A21">
      <w:pPr>
        <w:pStyle w:val="NumPar1"/>
        <w:numPr>
          <w:ilvl w:val="0"/>
          <w:numId w:val="25"/>
        </w:numPr>
        <w:rPr>
          <w:noProof/>
        </w:rPr>
      </w:pPr>
      <w:r w:rsidRPr="00103E2D">
        <w:t xml:space="preserve">Subjektai, nurodyti kaip pertvarkytini subjektai, kurie yra G-SII arba G-SII dalis, atskleidžia Reglamento (ES) Nr. 575/2013 437a straipsnio a ir b punktuose ir Direktyvos 2014/59/ES 45i straipsnio 3 dalies b punkte nurodytą informaciją apie terminų struktūrą ir prioritetą įprastinės bankroto bylos atveju pagal šio reglamento V priedo EU TLAC3a formą ir atitinkamus šio reglamento VI priede pateiktus nurodymus. </w:t>
      </w:r>
    </w:p>
    <w:p w14:paraId="703B620D" w14:textId="18C45AB4" w:rsidR="00911C0D" w:rsidRPr="00103E2D" w:rsidRDefault="00911C0D" w:rsidP="00080A21">
      <w:pPr>
        <w:pStyle w:val="NumPar1"/>
        <w:numPr>
          <w:ilvl w:val="0"/>
          <w:numId w:val="25"/>
        </w:numPr>
        <w:rPr>
          <w:noProof/>
        </w:rPr>
      </w:pPr>
      <w:r w:rsidRPr="00103E2D">
        <w:lastRenderedPageBreak/>
        <w:t xml:space="preserve">Subjektai, nurodyti kaip pertvarkytini subjektai, kurie nėra nei G-SII, nei G-SII dalis, atskleidžia Direktyvos 2014/59/ES 45i straipsnio 3 dalies b punkte nurodytą informaciją apie terminų struktūrą ir prioritetą įprastinės bankroto bylos atveju pagal šio reglamento V priedo EU TLAC3b formą ir atitinkamus šio reglamento VI priede pateiktus nurodymus. </w:t>
      </w:r>
    </w:p>
    <w:p w14:paraId="312D7D45" w14:textId="0EC96E4F" w:rsidR="00911C0D" w:rsidRPr="00103E2D" w:rsidRDefault="00911C0D" w:rsidP="008E17B7">
      <w:pPr>
        <w:pStyle w:val="Text1"/>
        <w:rPr>
          <w:noProof/>
        </w:rPr>
      </w:pPr>
      <w:r w:rsidRPr="00103E2D">
        <w:t>Šios dalies pirmoje pastraipoje nurodyti subjektai gali pasirinkti naudoti EU TLAC3a, o ne EU TLAC3b formą, kad atskleistų Direktyvos 2014/59/ES 45i straipsnio 3 dalies b punkte reikalaujamą informaciją apie terminų struktūrą ir prioritetą įprastinės bankroto bylos atveju.</w:t>
      </w:r>
    </w:p>
    <w:bookmarkStart w:id="6" w:name="_Ref21087218"/>
    <w:p w14:paraId="392B83E1" w14:textId="0ED4F921" w:rsidR="00911C0D" w:rsidRPr="00103E2D" w:rsidRDefault="00911C0D" w:rsidP="00911C0D">
      <w:pPr>
        <w:pStyle w:val="Titrearticle"/>
      </w:pPr>
      <w:r w:rsidRPr="00103E2D">
        <w:fldChar w:fldCharType="begin"/>
      </w:r>
      <w:r w:rsidRPr="00103E2D">
        <w:instrText xml:space="preserve"> SEQ Figure \* ARABIC </w:instrText>
      </w:r>
      <w:r w:rsidRPr="00103E2D">
        <w:fldChar w:fldCharType="separate"/>
      </w:r>
      <w:r w:rsidRPr="00103E2D">
        <w:t>15</w:t>
      </w:r>
      <w:r w:rsidRPr="00103E2D">
        <w:fldChar w:fldCharType="end"/>
      </w:r>
      <w:r w:rsidRPr="00103E2D">
        <w:t xml:space="preserve"> straipsnis</w:t>
      </w:r>
      <w:bookmarkEnd w:id="6"/>
      <w:r w:rsidRPr="00103E2D">
        <w:t xml:space="preserve"> </w:t>
      </w:r>
      <w:r w:rsidRPr="00103E2D">
        <w:br/>
        <w:t>Atskleidžiama informacija apie nuosavų lėšų ir tinkamų įsipareigojimų pagrindines savybes</w:t>
      </w:r>
    </w:p>
    <w:p w14:paraId="556F10F9" w14:textId="77777777" w:rsidR="00911C0D" w:rsidRPr="00103E2D" w:rsidRDefault="00911C0D" w:rsidP="00911C0D">
      <w:pPr>
        <w:keepNext/>
        <w:keepLines/>
        <w:spacing w:before="360"/>
      </w:pPr>
      <w:r w:rsidRPr="00103E2D">
        <w:t xml:space="preserve">Subjektai, nurodyti kaip pertvarkytini subjektai, kurie yra G-SII arba G-SII dalis, ir subjektai, kurie yra ne ES G-SII reikšmingos patronuojamosios įmonės ir kurie patys nėra pertvarkytini subjektai, atskleidžia Reglamento (ES) Nr. 575/2013 437a straipsnio a punkte nurodytą informaciją pagal to reglamento 434a straipsnyje nurodytą įgyvendinimo aktą. </w:t>
      </w:r>
    </w:p>
    <w:p w14:paraId="20EB102D" w14:textId="77777777" w:rsidR="00911C0D" w:rsidRPr="00103E2D" w:rsidRDefault="006033A6" w:rsidP="00146633">
      <w:pPr>
        <w:pStyle w:val="Titrearticle"/>
      </w:pPr>
      <w:r>
        <w:fldChar w:fldCharType="begin"/>
      </w:r>
      <w:r>
        <w:instrText xml:space="preserve"> SEQ Figure \* ARABIC </w:instrText>
      </w:r>
      <w:r>
        <w:fldChar w:fldCharType="separate"/>
      </w:r>
      <w:r w:rsidR="00911C0D" w:rsidRPr="00103E2D">
        <w:t>16</w:t>
      </w:r>
      <w:r>
        <w:fldChar w:fldCharType="end"/>
      </w:r>
      <w:r w:rsidR="00911C0D" w:rsidRPr="00103E2D">
        <w:t xml:space="preserve"> straipsnis</w:t>
      </w:r>
      <w:r w:rsidR="00911C0D" w:rsidRPr="00103E2D">
        <w:br/>
        <w:t>Bendrosios informacijos atskleidimo taisyklės</w:t>
      </w:r>
    </w:p>
    <w:p w14:paraId="74D86184" w14:textId="77777777" w:rsidR="00911C0D" w:rsidRPr="00103E2D" w:rsidRDefault="00911C0D" w:rsidP="00080A21">
      <w:pPr>
        <w:pStyle w:val="NumPar1"/>
        <w:numPr>
          <w:ilvl w:val="0"/>
          <w:numId w:val="26"/>
        </w:numPr>
        <w:rPr>
          <w:noProof/>
        </w:rPr>
      </w:pPr>
      <w:r w:rsidRPr="00103E2D">
        <w:t xml:space="preserve">Kai informaciją atskleidžiantys subjektai gali neatskleisti vienos ar kelių rūšių informacijos pagal Reglamento (ES) Nr. 575/2013 432 straipsnį, šiame reglamente nustatytų formų arba lentelių atitinkamos eilutės ar skiltys gali būti paliktos tuščios nekeičiant tolesnių eilučių ar skilčių numeracijos. </w:t>
      </w:r>
    </w:p>
    <w:p w14:paraId="2C21F69F" w14:textId="77777777" w:rsidR="00911C0D" w:rsidRPr="00103E2D" w:rsidRDefault="00911C0D" w:rsidP="00080A21">
      <w:pPr>
        <w:pStyle w:val="NumPar1"/>
        <w:numPr>
          <w:ilvl w:val="0"/>
          <w:numId w:val="26"/>
        </w:numPr>
        <w:rPr>
          <w:noProof/>
        </w:rPr>
      </w:pPr>
      <w:r w:rsidRPr="00103E2D">
        <w:t xml:space="preserve">Informaciją atskleidžiantys subjektai atitinkamoje formoje arba lentelėje aiškiai nurodo tuščias eilutes ar skiltis ir priežastį, dėl kurios susijusi informacija neatskleidžiama. </w:t>
      </w:r>
    </w:p>
    <w:p w14:paraId="2DFEFA5E" w14:textId="77777777" w:rsidR="00911C0D" w:rsidRPr="00103E2D" w:rsidRDefault="00911C0D" w:rsidP="00080A21">
      <w:pPr>
        <w:pStyle w:val="NumPar1"/>
        <w:numPr>
          <w:ilvl w:val="0"/>
          <w:numId w:val="26"/>
        </w:numPr>
        <w:rPr>
          <w:noProof/>
        </w:rPr>
      </w:pPr>
      <w:r w:rsidRPr="00103E2D">
        <w:t>Kokybinis paaiškinimas ir bet kokia kita būtina papildoma informacija, pridedama prie atskleidžiamos kiekybinės informacijos pagal Reglamento (ES) Nr. 575/2013 431 straipsnį, turi būti pakankamai aiški ir išsami, kad informacijos naudotojai galėtų suprasti atskleidžiamą kiekybinę informaciją, ir turi būti pateikiama šalia aprašomų formų.</w:t>
      </w:r>
    </w:p>
    <w:p w14:paraId="29D7C25D" w14:textId="77777777" w:rsidR="00911C0D" w:rsidRPr="00103E2D" w:rsidRDefault="00911C0D" w:rsidP="00080A21">
      <w:pPr>
        <w:pStyle w:val="NumPar1"/>
        <w:numPr>
          <w:ilvl w:val="0"/>
          <w:numId w:val="26"/>
        </w:numPr>
        <w:rPr>
          <w:noProof/>
        </w:rPr>
      </w:pPr>
      <w:r w:rsidRPr="00103E2D">
        <w:t>Informaciją atskleidžiantys subjektai, atskleisdami skaitines reikšmes, laikosi šių reikalavimų:</w:t>
      </w:r>
    </w:p>
    <w:p w14:paraId="554837EF" w14:textId="77777777" w:rsidR="00911C0D" w:rsidRPr="00103E2D" w:rsidRDefault="00911C0D" w:rsidP="00B378A2">
      <w:pPr>
        <w:pStyle w:val="Point1letter"/>
        <w:numPr>
          <w:ilvl w:val="3"/>
          <w:numId w:val="38"/>
        </w:numPr>
        <w:rPr>
          <w:noProof/>
        </w:rPr>
      </w:pPr>
      <w:r w:rsidRPr="00103E2D">
        <w:t>kiekybiniai pinigų duomenys nurodomi mažiausiai milijonų vienetų tikslumu;</w:t>
      </w:r>
    </w:p>
    <w:p w14:paraId="4E96B6F9" w14:textId="77777777" w:rsidR="00911C0D" w:rsidRPr="00103E2D" w:rsidRDefault="00911C0D" w:rsidP="00B378A2">
      <w:pPr>
        <w:pStyle w:val="Point1letter"/>
        <w:numPr>
          <w:ilvl w:val="3"/>
          <w:numId w:val="38"/>
        </w:numPr>
        <w:rPr>
          <w:noProof/>
        </w:rPr>
      </w:pPr>
      <w:r w:rsidRPr="00103E2D">
        <w:t>kiekybiniai duomenys, atskleidžiami kaip procentinė dalis, nurodomi vienetais mažiausiai dešimttūkstantųjų tikslumu.</w:t>
      </w:r>
    </w:p>
    <w:p w14:paraId="06F63E8F" w14:textId="77777777" w:rsidR="00911C0D" w:rsidRPr="00103E2D" w:rsidRDefault="00911C0D" w:rsidP="00146633">
      <w:pPr>
        <w:pStyle w:val="NumPar1"/>
        <w:rPr>
          <w:noProof/>
        </w:rPr>
      </w:pPr>
      <w:r w:rsidRPr="00103E2D">
        <w:t>Informaciją atskleidžiantys subjektai kartu su atskleidžiama informacija nurodo:</w:t>
      </w:r>
    </w:p>
    <w:p w14:paraId="2FCAAE18" w14:textId="77777777" w:rsidR="00911C0D" w:rsidRPr="00103E2D" w:rsidRDefault="00911C0D" w:rsidP="00B378A2">
      <w:pPr>
        <w:pStyle w:val="Point1letter"/>
        <w:numPr>
          <w:ilvl w:val="3"/>
          <w:numId w:val="27"/>
        </w:numPr>
        <w:rPr>
          <w:noProof/>
        </w:rPr>
      </w:pPr>
      <w:r w:rsidRPr="00103E2D">
        <w:t xml:space="preserve">ataskaitinę datą ir ataskaitinį laikotarpį; </w:t>
      </w:r>
    </w:p>
    <w:p w14:paraId="0D85A6C3" w14:textId="77777777" w:rsidR="00911C0D" w:rsidRPr="00103E2D" w:rsidRDefault="00911C0D" w:rsidP="00146633">
      <w:pPr>
        <w:pStyle w:val="Point1letter"/>
        <w:rPr>
          <w:noProof/>
        </w:rPr>
      </w:pPr>
      <w:r w:rsidRPr="00103E2D">
        <w:t xml:space="preserve">atskleidžiamų sumų valiutą; </w:t>
      </w:r>
    </w:p>
    <w:p w14:paraId="5B5B4AB9" w14:textId="2A3BF35F" w:rsidR="00911C0D" w:rsidRPr="00103E2D" w:rsidRDefault="00911C0D" w:rsidP="00146633">
      <w:pPr>
        <w:pStyle w:val="Point1letter"/>
        <w:rPr>
          <w:noProof/>
        </w:rPr>
      </w:pPr>
      <w:r w:rsidRPr="00103E2D">
        <w:t>informaciją atskleidžiančio subjekto pavadinimą ir, jei taikytina, juridinio asmens identifikatorių (LEI);</w:t>
      </w:r>
    </w:p>
    <w:p w14:paraId="584E8AC6" w14:textId="77777777" w:rsidR="00911C0D" w:rsidRPr="00103E2D" w:rsidRDefault="00911C0D" w:rsidP="00146633">
      <w:pPr>
        <w:pStyle w:val="Point1letter"/>
        <w:rPr>
          <w:noProof/>
        </w:rPr>
      </w:pPr>
      <w:r w:rsidRPr="00103E2D">
        <w:t xml:space="preserve">jei taikytina, apskaitos standartą ir </w:t>
      </w:r>
    </w:p>
    <w:p w14:paraId="582EB987" w14:textId="77777777" w:rsidR="00911C0D" w:rsidRPr="00103E2D" w:rsidRDefault="00911C0D" w:rsidP="00146633">
      <w:pPr>
        <w:pStyle w:val="Point1letter"/>
        <w:rPr>
          <w:noProof/>
        </w:rPr>
      </w:pPr>
      <w:r w:rsidRPr="00103E2D">
        <w:t>jei taikytina, konsolidavimo apimtį.</w:t>
      </w:r>
    </w:p>
    <w:p w14:paraId="13904397" w14:textId="6E48D9B3" w:rsidR="00911C0D" w:rsidRPr="00103E2D" w:rsidRDefault="00911C0D" w:rsidP="00911C0D">
      <w:pPr>
        <w:pStyle w:val="SectionTitle"/>
        <w:rPr>
          <w:b w:val="0"/>
          <w:i/>
        </w:rPr>
      </w:pPr>
      <w:r w:rsidRPr="00103E2D">
        <w:rPr>
          <w:b w:val="0"/>
          <w:i/>
        </w:rPr>
        <w:lastRenderedPageBreak/>
        <w:t>III ANTRAŠTINĖ DALIS</w:t>
      </w:r>
      <w:r w:rsidRPr="00103E2D">
        <w:t xml:space="preserve"> </w:t>
      </w:r>
      <w:r w:rsidRPr="00103E2D">
        <w:br/>
      </w:r>
      <w:r w:rsidRPr="00103E2D">
        <w:rPr>
          <w:b w:val="0"/>
          <w:i/>
        </w:rPr>
        <w:t>BAIGIAMOSIOS NUOSTATOS</w:t>
      </w:r>
    </w:p>
    <w:p w14:paraId="207DBFA4" w14:textId="6A156BA8" w:rsidR="00911C0D" w:rsidRPr="00103E2D" w:rsidRDefault="006033A6" w:rsidP="00146633">
      <w:pPr>
        <w:pStyle w:val="Titrearticle"/>
      </w:pPr>
      <w:r>
        <w:fldChar w:fldCharType="begin"/>
      </w:r>
      <w:r>
        <w:instrText xml:space="preserve"> SEQ Figure \* ARABIC </w:instrText>
      </w:r>
      <w:r>
        <w:fldChar w:fldCharType="separate"/>
      </w:r>
      <w:r w:rsidR="00911C0D" w:rsidRPr="00103E2D">
        <w:t>17</w:t>
      </w:r>
      <w:r>
        <w:fldChar w:fldCharType="end"/>
      </w:r>
      <w:r w:rsidR="00911C0D" w:rsidRPr="00103E2D">
        <w:t xml:space="preserve"> straipsnis</w:t>
      </w:r>
      <w:r w:rsidR="00911C0D" w:rsidRPr="00103E2D">
        <w:br/>
        <w:t>Įsigaliojimas ir taikymas</w:t>
      </w:r>
    </w:p>
    <w:p w14:paraId="132DAA82" w14:textId="4F13BF1D" w:rsidR="00911C0D" w:rsidRPr="00103E2D" w:rsidRDefault="00911C0D" w:rsidP="00911C0D">
      <w:r w:rsidRPr="00103E2D">
        <w:t xml:space="preserve">Šis reglamentas įsigalioja dvidešimtą dieną po jo paskelbimo </w:t>
      </w:r>
      <w:r w:rsidRPr="00103E2D">
        <w:rPr>
          <w:i/>
        </w:rPr>
        <w:t>Europos Sąjungos oficialiajame leidinyje</w:t>
      </w:r>
      <w:r w:rsidRPr="00103E2D">
        <w:t>.</w:t>
      </w:r>
    </w:p>
    <w:p w14:paraId="59F2EBFB" w14:textId="5F28E1E6" w:rsidR="00911C0D" w:rsidRPr="00103E2D" w:rsidRDefault="00911C0D" w:rsidP="00911C0D">
      <w:pPr>
        <w:widowControl w:val="0"/>
        <w:autoSpaceDE w:val="0"/>
        <w:autoSpaceDN w:val="0"/>
        <w:rPr>
          <w:rFonts w:eastAsia="Times New Roman"/>
        </w:rPr>
      </w:pPr>
      <w:r w:rsidRPr="00103E2D">
        <w:t>I antraštinė dalis taikoma nuo 2021 m. birželio 28 d.</w:t>
      </w:r>
    </w:p>
    <w:p w14:paraId="2F7214D1" w14:textId="64BF67D1" w:rsidR="00F82D09" w:rsidRPr="00103E2D" w:rsidRDefault="00911C0D" w:rsidP="00911C0D">
      <w:pPr>
        <w:widowControl w:val="0"/>
        <w:autoSpaceDE w:val="0"/>
        <w:autoSpaceDN w:val="0"/>
        <w:rPr>
          <w:rFonts w:eastAsia="Times New Roman"/>
        </w:rPr>
      </w:pPr>
      <w:r w:rsidRPr="00103E2D">
        <w:t xml:space="preserve">II antraštinė dalis taikoma nuo </w:t>
      </w:r>
      <w:r w:rsidRPr="00103E2D">
        <w:rPr>
          <w:i/>
        </w:rPr>
        <w:t>[įrašyti šio reglamento įsigaliojimo datą]</w:t>
      </w:r>
      <w:r w:rsidRPr="00103E2D">
        <w:t>, kai tai susiję su informacijos atskleidimu pagal Reglamento (ES) Nr. 575/2013 437a straipsnį ir 447 straipsnio h punktą, ir nuo informacijos atskleidimo reikalavimų pagal Direktyvos (ES) 2019/879 3 straipsnio 1 dalies trečią pastraipą taikymo pradžios datos, kai tai susiję su informacijos atskleidimu pagal Direktyvos 2014/59/ES 45i straipsnio 3 dalį.</w:t>
      </w:r>
    </w:p>
    <w:p w14:paraId="48405F17" w14:textId="52DE1662" w:rsidR="00911C0D" w:rsidRPr="00103E2D" w:rsidRDefault="00911C0D" w:rsidP="00911C0D">
      <w:pPr>
        <w:pStyle w:val="Applicationdirecte"/>
        <w:keepNext/>
        <w:keepLines/>
      </w:pPr>
      <w:r w:rsidRPr="00103E2D">
        <w:t>Šis reglamentas privalomas visas ir tiesiogiai taikomas visose valstybėse narėse.</w:t>
      </w:r>
    </w:p>
    <w:p w14:paraId="688CD257" w14:textId="77777777" w:rsidR="00911C0D" w:rsidRPr="00103E2D" w:rsidRDefault="00DD5153" w:rsidP="00DD5153">
      <w:pPr>
        <w:pStyle w:val="Fait"/>
      </w:pPr>
      <w:r w:rsidRPr="00103E2D">
        <w:t xml:space="preserve">Priimta Briuselyje </w:t>
      </w:r>
    </w:p>
    <w:p w14:paraId="7D6E3D67" w14:textId="77777777" w:rsidR="00911C0D" w:rsidRPr="00103E2D" w:rsidRDefault="00911C0D" w:rsidP="00911C0D">
      <w:pPr>
        <w:pStyle w:val="Institutionquisigne"/>
      </w:pPr>
      <w:r w:rsidRPr="00103E2D">
        <w:tab/>
        <w:t>Komisijos vardu</w:t>
      </w:r>
    </w:p>
    <w:p w14:paraId="0936848B" w14:textId="77777777" w:rsidR="00911C0D" w:rsidRPr="00103E2D" w:rsidRDefault="00911C0D" w:rsidP="00911C0D">
      <w:pPr>
        <w:pStyle w:val="Personnequisigne"/>
      </w:pPr>
      <w:r w:rsidRPr="00103E2D">
        <w:tab/>
        <w:t xml:space="preserve">Pirmininkė </w:t>
      </w:r>
      <w:r w:rsidRPr="00103E2D">
        <w:br/>
      </w:r>
      <w:r w:rsidRPr="00103E2D">
        <w:tab/>
        <w:t>Ursula VON DER LEYEN</w:t>
      </w:r>
    </w:p>
    <w:sectPr w:rsidR="00911C0D" w:rsidRPr="00103E2D" w:rsidSect="00DD4418">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968E8" w14:textId="77777777" w:rsidR="00911C0D" w:rsidRDefault="00911C0D" w:rsidP="00911C0D">
      <w:pPr>
        <w:spacing w:before="0" w:after="0"/>
      </w:pPr>
      <w:r>
        <w:separator/>
      </w:r>
    </w:p>
  </w:endnote>
  <w:endnote w:type="continuationSeparator" w:id="0">
    <w:p w14:paraId="285C3A38" w14:textId="77777777" w:rsidR="00911C0D" w:rsidRDefault="00911C0D" w:rsidP="00911C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8EC46" w14:textId="5BCD5288" w:rsidR="00103E2D" w:rsidRPr="00DD4418" w:rsidRDefault="00DD4418" w:rsidP="00DD4418">
    <w:pPr>
      <w:pStyle w:val="Footer"/>
      <w:rPr>
        <w:rFonts w:ascii="Arial" w:hAnsi="Arial" w:cs="Arial"/>
        <w:b/>
        <w:sz w:val="48"/>
      </w:rPr>
    </w:pPr>
    <w:r w:rsidRPr="00DD4418">
      <w:rPr>
        <w:rFonts w:ascii="Arial" w:hAnsi="Arial" w:cs="Arial"/>
        <w:b/>
        <w:sz w:val="48"/>
      </w:rPr>
      <w:t>LT</w:t>
    </w:r>
    <w:r w:rsidRPr="00DD4418">
      <w:rPr>
        <w:rFonts w:ascii="Arial" w:hAnsi="Arial" w:cs="Arial"/>
        <w:b/>
        <w:sz w:val="48"/>
      </w:rPr>
      <w:tab/>
    </w:r>
    <w:r w:rsidRPr="00DD4418">
      <w:rPr>
        <w:rFonts w:ascii="Arial" w:hAnsi="Arial" w:cs="Arial"/>
        <w:b/>
        <w:sz w:val="48"/>
      </w:rPr>
      <w:tab/>
    </w:r>
    <w:r w:rsidRPr="00DD4418">
      <w:tab/>
    </w:r>
    <w:r w:rsidRPr="00DD4418">
      <w:rPr>
        <w:rFonts w:ascii="Arial" w:hAnsi="Arial" w:cs="Arial"/>
        <w:b/>
        <w:sz w:val="48"/>
      </w:rPr>
      <w:t>LT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D34B2" w14:textId="440EDC13" w:rsidR="00DD4418" w:rsidRPr="00DD4418" w:rsidRDefault="00DD4418" w:rsidP="00DD4418">
    <w:pPr>
      <w:pStyle w:val="Footer"/>
      <w:rPr>
        <w:rFonts w:ascii="Arial" w:hAnsi="Arial" w:cs="Arial"/>
        <w:b/>
        <w:sz w:val="48"/>
      </w:rPr>
    </w:pPr>
    <w:r w:rsidRPr="00DD4418">
      <w:rPr>
        <w:rFonts w:ascii="Arial" w:hAnsi="Arial" w:cs="Arial"/>
        <w:b/>
        <w:sz w:val="48"/>
      </w:rPr>
      <w:t>LT</w:t>
    </w:r>
    <w:r w:rsidRPr="00DD4418">
      <w:rPr>
        <w:rFonts w:ascii="Arial" w:hAnsi="Arial" w:cs="Arial"/>
        <w:b/>
        <w:sz w:val="48"/>
      </w:rPr>
      <w:tab/>
    </w:r>
    <w:r>
      <w:fldChar w:fldCharType="begin"/>
    </w:r>
    <w:r>
      <w:instrText xml:space="preserve"> PAGE  \* MERGEFORMAT </w:instrText>
    </w:r>
    <w:r>
      <w:fldChar w:fldCharType="separate"/>
    </w:r>
    <w:r w:rsidR="00640971">
      <w:rPr>
        <w:noProof/>
      </w:rPr>
      <w:t>12</w:t>
    </w:r>
    <w:r>
      <w:fldChar w:fldCharType="end"/>
    </w:r>
    <w:r>
      <w:tab/>
    </w:r>
    <w:r w:rsidRPr="00DD4418">
      <w:tab/>
    </w:r>
    <w:r w:rsidRPr="00DD4418">
      <w:rPr>
        <w:rFonts w:ascii="Arial" w:hAnsi="Arial" w:cs="Arial"/>
        <w:b/>
        <w:sz w:val="48"/>
      </w:rPr>
      <w:t>LT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761AD" w14:textId="77777777" w:rsidR="00DD4418" w:rsidRPr="00DD4418" w:rsidRDefault="00DD4418" w:rsidP="00DD44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0D0A5" w14:textId="77777777" w:rsidR="00911C0D" w:rsidRDefault="00911C0D" w:rsidP="00911C0D">
      <w:pPr>
        <w:spacing w:before="0" w:after="0"/>
      </w:pPr>
      <w:r>
        <w:separator/>
      </w:r>
    </w:p>
  </w:footnote>
  <w:footnote w:type="continuationSeparator" w:id="0">
    <w:p w14:paraId="21B25C16" w14:textId="77777777" w:rsidR="00911C0D" w:rsidRDefault="00911C0D" w:rsidP="00911C0D">
      <w:pPr>
        <w:spacing w:before="0" w:after="0"/>
      </w:pPr>
      <w:r>
        <w:continuationSeparator/>
      </w:r>
    </w:p>
  </w:footnote>
  <w:footnote w:id="1">
    <w:p w14:paraId="78DD0AC2" w14:textId="77777777" w:rsidR="00911C0D" w:rsidRPr="00464C90" w:rsidRDefault="00911C0D" w:rsidP="00911C0D">
      <w:pPr>
        <w:pStyle w:val="FootnoteText"/>
      </w:pPr>
      <w:r>
        <w:rPr>
          <w:rStyle w:val="FootnoteReference"/>
        </w:rPr>
        <w:footnoteRef/>
      </w:r>
      <w:r>
        <w:tab/>
        <w:t>OL L 176, 2013 6 27, p. 1.</w:t>
      </w:r>
    </w:p>
  </w:footnote>
  <w:footnote w:id="2">
    <w:p w14:paraId="52F29A01" w14:textId="77777777" w:rsidR="00911C0D" w:rsidRDefault="00911C0D" w:rsidP="00911C0D">
      <w:pPr>
        <w:pStyle w:val="FootnoteText"/>
      </w:pPr>
      <w:r>
        <w:rPr>
          <w:rStyle w:val="FootnoteReference"/>
        </w:rPr>
        <w:footnoteRef/>
      </w:r>
      <w:r>
        <w:tab/>
        <w:t>OL L 173, 2014 6 12, p. 190.</w:t>
      </w:r>
    </w:p>
  </w:footnote>
  <w:footnote w:id="3">
    <w:p w14:paraId="400AF6FF" w14:textId="77777777" w:rsidR="00911C0D" w:rsidRPr="007A7954" w:rsidRDefault="00911C0D" w:rsidP="00911C0D">
      <w:pPr>
        <w:pStyle w:val="FootnoteText"/>
      </w:pPr>
      <w:r>
        <w:rPr>
          <w:rStyle w:val="FootnoteReference"/>
        </w:rPr>
        <w:footnoteRef/>
      </w:r>
      <w:r>
        <w:tab/>
        <w:t>2019 m. gegužės 20 d. Europos Parlamento ir Tarybos reglamentas (ES) 2019/876, kuriuo iš dalies keičiamos Reglamento (ES) Nr. 575/2013 nuostatos, susijusios su sverto koeficientu, grynojo pastovaus finansavimo rodikliu, nuosavų lėšų ir tinkamų įsipareigojimų reikalavimais, sandorio šalies kredito rizika, rinkos rizika, pagrindinių sandorio šalių pozicijomis, kolektyvinio investavimo subjektų pozicijomis, didelėmis pozicijomis, ataskaitų teikimo ir informacijos atskleidimo reikalavimais, ir Reglamentas (ES) Nr. 648/2012 (OL L 150, 2019 6 7, p. 1).</w:t>
      </w:r>
    </w:p>
  </w:footnote>
  <w:footnote w:id="4">
    <w:p w14:paraId="7FB27E48" w14:textId="77777777" w:rsidR="00911C0D" w:rsidRPr="00520ABD" w:rsidRDefault="00911C0D" w:rsidP="00911C0D">
      <w:pPr>
        <w:pStyle w:val="FootnoteText"/>
      </w:pPr>
      <w:r>
        <w:rPr>
          <w:rStyle w:val="FootnoteReference"/>
        </w:rPr>
        <w:footnoteRef/>
      </w:r>
      <w:r>
        <w:tab/>
        <w:t>2019 m. gegužės 20 d. Europos Parlamento ir Tarybos direktyva (ES) 2019/879, kuria dėl kredito įstaigų ir investicinių įmonių nuostolių padengimo ir rekapitalizavimo pajėgumo iš dalies keičiama Direktyva 2014/59/ES ir iš dalies keičiama Direktyva 98/26/EB (OL L 150, 2019 6 7, p. 296).</w:t>
      </w:r>
    </w:p>
  </w:footnote>
  <w:footnote w:id="5">
    <w:p w14:paraId="7DA394B3" w14:textId="02D3CC85" w:rsidR="00911C0D" w:rsidRPr="006D7393" w:rsidRDefault="00911C0D" w:rsidP="00911C0D">
      <w:pPr>
        <w:pStyle w:val="FootnoteText"/>
      </w:pPr>
      <w:r>
        <w:rPr>
          <w:rStyle w:val="FootnoteReference"/>
        </w:rPr>
        <w:footnoteRef/>
      </w:r>
      <w:r>
        <w:tab/>
        <w:t>2010 m. lapkričio 24 d. Europos Parlamento ir Tarybos reglamentas (ES) Nr. 1093/2010, kuriuo įsteigiama Europos priežiūros institucija (Europos bankininkystės institucija), iš dalies keičiamas Sprendimas Nr. 716/2009/EB ir panaikinamas Komisijos sprendimas 2009/78/EB (OL L 331, 2010 12 15, p. 12).</w:t>
      </w:r>
    </w:p>
  </w:footnote>
  <w:footnote w:id="6">
    <w:p w14:paraId="078CA3AC" w14:textId="77777777" w:rsidR="00911C0D" w:rsidRDefault="00911C0D" w:rsidP="00911C0D">
      <w:pPr>
        <w:pStyle w:val="FootnoteText"/>
      </w:pPr>
      <w:r>
        <w:rPr>
          <w:rStyle w:val="FootnoteReference"/>
        </w:rPr>
        <w:footnoteRef/>
      </w:r>
      <w:r>
        <w:tab/>
        <w:t>2013 m. birželio 26 d. Europos Parlamento ir Tarybos direktyva 2013/36/ES dėl galimybės verstis kredito įstaigų veikla ir dėl riziką ribojančios kredito įstaigų ir investicinių įmonių priežiūros, kuria iš dalies keičiama Direktyva 2002/87/EB ir panaikinamos direktyvos 2006/48/EB bei 2006/49/EB (OL L 176, 2013 6 27, p. 338).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BAAEF0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2120D8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CFA453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91BA0BC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B64431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202532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61E0D2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8A72C0B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5"/>
  </w:num>
  <w:num w:numId="30">
    <w:abstractNumId w:val="4"/>
  </w:num>
  <w:num w:numId="31">
    <w:abstractNumId w:val="3"/>
  </w:num>
  <w:num w:numId="32">
    <w:abstractNumId w:val="6"/>
  </w:num>
  <w:num w:numId="33">
    <w:abstractNumId w:val="2"/>
  </w:num>
  <w:num w:numId="34">
    <w:abstractNumId w:val="1"/>
  </w:num>
  <w:num w:numId="35">
    <w:abstractNumId w:val="0"/>
  </w:num>
  <w:num w:numId="36">
    <w:abstractNumId w:val="21"/>
    <w:lvlOverride w:ilvl="0">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2"/>
  </w:num>
  <w:num w:numId="41">
    <w:abstractNumId w:val="20"/>
  </w:num>
  <w:num w:numId="42">
    <w:abstractNumId w:val="11"/>
  </w:num>
  <w:num w:numId="43">
    <w:abstractNumId w:val="13"/>
  </w:num>
  <w:num w:numId="44">
    <w:abstractNumId w:val="9"/>
  </w:num>
  <w:num w:numId="45">
    <w:abstractNumId w:val="19"/>
  </w:num>
  <w:num w:numId="46">
    <w:abstractNumId w:val="8"/>
  </w:num>
  <w:num w:numId="47">
    <w:abstractNumId w:val="14"/>
  </w:num>
  <w:num w:numId="48">
    <w:abstractNumId w:val="16"/>
  </w:num>
  <w:num w:numId="49">
    <w:abstractNumId w:val="17"/>
  </w:num>
  <w:num w:numId="50">
    <w:abstractNumId w:val="10"/>
  </w:num>
  <w:num w:numId="51">
    <w:abstractNumId w:val="15"/>
  </w:num>
  <w:num w:numId="52">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attachedTemplate r:id="rId1"/>
  <w:defaultTabStop w:val="720"/>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1-03-30 16:22:24"/>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A1B0D824-3226-4438-98CE-DACCBF725FFF"/>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iuselis, "/>
    <w:docVar w:name="LW_EMISSION_SUFFIX" w:val=" "/>
    <w:docVar w:name="LW_ID_DOCMODEL" w:val="SJ-004"/>
    <w:docVar w:name="LW_ID_DOCSIGNATURE" w:val="SJ-004"/>
    <w:docVar w:name="LW_ID_DOCSTRUCTURE" w:val="COM/AA"/>
    <w:docVar w:name="LW_ID_DOCTYPE" w:val="SJ-004"/>
    <w:docVar w:name="LW_INTERETEEE" w:val="(Tekstas svarbus EEE)"/>
    <w:docVar w:name="LW_INTERETEEE.CP" w:val="(Tekstas svarbus EEE)"/>
    <w:docVar w:name="LW_LANGUE" w:val="LT"/>
    <w:docVar w:name="LW_LANGUESFAISANTFOI.CP" w:val="&lt;UNUSED&gt;"/>
    <w:docVar w:name="LW_LEVEL_OF_SENSITIVITY" w:val="Standard treatment"/>
    <w:docVar w:name="LW_NOM.INST" w:val="EUROPOS KOMISIJ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lt;FMT:Bold&gt;kuriuo nustatomi Europos Parlamento ir Tarybos reglamento (ES) Nr. 575/2013 ir Europos Parlamento ir Tarybos direktyvos 2014/59/ES taikymo techniniai \u303?gyvendinimo standartai, susij\u281? su prie\u382?i\u363?ros ataskait\u371? teikimu ir vie\u353?u informacijos apie minimal\u371? nuosav\u371? l\u279?\u353?\u371? ir tinkam\u371? \u303?sipareigojim\u371? reikalavim\u261? atskleidimu&lt;/FMT&gt;"/>
    <w:docVar w:name="LW_TITRE.OBJ.CP" w:val="&lt;FMT:Bold&gt;kuriuo nustatomi Europos Parlamento ir Tarybos reglamento (ES) Nr. 575/2013 ir Europos Parlamento ir Tarybos direktyvos 2014/59/ES taikymo techniniai \u303?gyvendinimo standartai, susij\u281? su prie\u382?i\u363?ros ataskait\u371? teikimu ir vie\u353?u informacijos apie minimal\u371? nuosav\u371? l\u279?\u353?\u371? ir tinkam\u371? \u303?sipareigojim\u371? reikalavim\u261? atskleidimu&lt;/FMT&gt;"/>
    <w:docVar w:name="LW_TYPE.DOC" w:val="KOMISIJOS \u302?GYVENDINIMO REGLAMENTAS (ES) \u8230?/..."/>
    <w:docVar w:name="LW_TYPE.DOC.CP" w:val="KOMISIJOS \u302?GYVENDINIMO REGLAMENTAS (ES) \u8230?/..."/>
  </w:docVars>
  <w:rsids>
    <w:rsidRoot w:val="00911C0D"/>
    <w:rsid w:val="00022330"/>
    <w:rsid w:val="00050379"/>
    <w:rsid w:val="00080A21"/>
    <w:rsid w:val="000A7517"/>
    <w:rsid w:val="000E198E"/>
    <w:rsid w:val="000F730F"/>
    <w:rsid w:val="00103E2D"/>
    <w:rsid w:val="00114389"/>
    <w:rsid w:val="00144CAD"/>
    <w:rsid w:val="00146633"/>
    <w:rsid w:val="0017105F"/>
    <w:rsid w:val="001B26AE"/>
    <w:rsid w:val="001C2816"/>
    <w:rsid w:val="001D50FA"/>
    <w:rsid w:val="001E0321"/>
    <w:rsid w:val="001F6393"/>
    <w:rsid w:val="00213D10"/>
    <w:rsid w:val="00221C95"/>
    <w:rsid w:val="00223BDA"/>
    <w:rsid w:val="00232E98"/>
    <w:rsid w:val="00252F49"/>
    <w:rsid w:val="00273AFD"/>
    <w:rsid w:val="002A6E40"/>
    <w:rsid w:val="0038586F"/>
    <w:rsid w:val="003D1FF4"/>
    <w:rsid w:val="00403FFA"/>
    <w:rsid w:val="004D75CF"/>
    <w:rsid w:val="00501159"/>
    <w:rsid w:val="00515FD9"/>
    <w:rsid w:val="00534AD8"/>
    <w:rsid w:val="00576101"/>
    <w:rsid w:val="00595F73"/>
    <w:rsid w:val="005A470A"/>
    <w:rsid w:val="005F390A"/>
    <w:rsid w:val="006033A6"/>
    <w:rsid w:val="0060509B"/>
    <w:rsid w:val="006142ED"/>
    <w:rsid w:val="00640971"/>
    <w:rsid w:val="006601FC"/>
    <w:rsid w:val="00693D6D"/>
    <w:rsid w:val="0069401E"/>
    <w:rsid w:val="006E792A"/>
    <w:rsid w:val="0070128F"/>
    <w:rsid w:val="00786D48"/>
    <w:rsid w:val="007B47A6"/>
    <w:rsid w:val="007C06F6"/>
    <w:rsid w:val="007D06B9"/>
    <w:rsid w:val="007D3252"/>
    <w:rsid w:val="00867BAC"/>
    <w:rsid w:val="00870950"/>
    <w:rsid w:val="008B1550"/>
    <w:rsid w:val="008E0D6D"/>
    <w:rsid w:val="008E17B7"/>
    <w:rsid w:val="008F166D"/>
    <w:rsid w:val="00911C0D"/>
    <w:rsid w:val="00936C22"/>
    <w:rsid w:val="00947623"/>
    <w:rsid w:val="009606FE"/>
    <w:rsid w:val="00986B33"/>
    <w:rsid w:val="00987AD5"/>
    <w:rsid w:val="009B7138"/>
    <w:rsid w:val="009F1589"/>
    <w:rsid w:val="009F174E"/>
    <w:rsid w:val="00A242DE"/>
    <w:rsid w:val="00A25281"/>
    <w:rsid w:val="00A72CC5"/>
    <w:rsid w:val="00A92F78"/>
    <w:rsid w:val="00AA2E8A"/>
    <w:rsid w:val="00AC0214"/>
    <w:rsid w:val="00AD067C"/>
    <w:rsid w:val="00B076B3"/>
    <w:rsid w:val="00B1066F"/>
    <w:rsid w:val="00B129CF"/>
    <w:rsid w:val="00B15ABD"/>
    <w:rsid w:val="00B26F22"/>
    <w:rsid w:val="00B378A2"/>
    <w:rsid w:val="00B51552"/>
    <w:rsid w:val="00BE246D"/>
    <w:rsid w:val="00BF17AA"/>
    <w:rsid w:val="00C13087"/>
    <w:rsid w:val="00C20744"/>
    <w:rsid w:val="00C24556"/>
    <w:rsid w:val="00C86532"/>
    <w:rsid w:val="00C9260D"/>
    <w:rsid w:val="00C95437"/>
    <w:rsid w:val="00CD7950"/>
    <w:rsid w:val="00D05552"/>
    <w:rsid w:val="00D104BF"/>
    <w:rsid w:val="00D4070C"/>
    <w:rsid w:val="00D56ED7"/>
    <w:rsid w:val="00D653C4"/>
    <w:rsid w:val="00D80CBF"/>
    <w:rsid w:val="00DB7093"/>
    <w:rsid w:val="00DC0EF5"/>
    <w:rsid w:val="00DC7D9F"/>
    <w:rsid w:val="00DD4418"/>
    <w:rsid w:val="00DD5153"/>
    <w:rsid w:val="00E0465B"/>
    <w:rsid w:val="00E31F5B"/>
    <w:rsid w:val="00E34FF4"/>
    <w:rsid w:val="00E65C7F"/>
    <w:rsid w:val="00EA09E4"/>
    <w:rsid w:val="00EE12E2"/>
    <w:rsid w:val="00EF62B3"/>
    <w:rsid w:val="00F20062"/>
    <w:rsid w:val="00F45263"/>
    <w:rsid w:val="00F82D09"/>
    <w:rsid w:val="00FB396C"/>
    <w:rsid w:val="00FB639E"/>
    <w:rsid w:val="00FC5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D75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t-LT"/>
    </w:rPr>
  </w:style>
  <w:style w:type="paragraph" w:styleId="Heading1">
    <w:name w:val="heading 1"/>
    <w:basedOn w:val="Normal"/>
    <w:next w:val="Text1"/>
    <w:link w:val="Heading1Char"/>
    <w:uiPriority w:val="9"/>
    <w:qFormat/>
    <w:rsid w:val="009B7138"/>
    <w:pPr>
      <w:keepNext/>
      <w:numPr>
        <w:numId w:val="4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4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4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4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1B26AE"/>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B26AE"/>
    <w:pPr>
      <w:spacing w:after="0"/>
    </w:pPr>
  </w:style>
  <w:style w:type="paragraph" w:styleId="ListBullet">
    <w:name w:val="List Bullet"/>
    <w:basedOn w:val="Normal"/>
    <w:uiPriority w:val="99"/>
    <w:semiHidden/>
    <w:unhideWhenUsed/>
    <w:rsid w:val="001B26AE"/>
    <w:pPr>
      <w:numPr>
        <w:numId w:val="28"/>
      </w:numPr>
      <w:contextualSpacing/>
    </w:pPr>
  </w:style>
  <w:style w:type="paragraph" w:styleId="ListBullet2">
    <w:name w:val="List Bullet 2"/>
    <w:basedOn w:val="Normal"/>
    <w:uiPriority w:val="99"/>
    <w:semiHidden/>
    <w:unhideWhenUsed/>
    <w:rsid w:val="001B26AE"/>
    <w:pPr>
      <w:numPr>
        <w:numId w:val="29"/>
      </w:numPr>
      <w:contextualSpacing/>
    </w:pPr>
  </w:style>
  <w:style w:type="paragraph" w:styleId="ListBullet3">
    <w:name w:val="List Bullet 3"/>
    <w:basedOn w:val="Normal"/>
    <w:uiPriority w:val="99"/>
    <w:semiHidden/>
    <w:unhideWhenUsed/>
    <w:rsid w:val="001B26AE"/>
    <w:pPr>
      <w:numPr>
        <w:numId w:val="30"/>
      </w:numPr>
      <w:contextualSpacing/>
    </w:pPr>
  </w:style>
  <w:style w:type="paragraph" w:styleId="ListBullet4">
    <w:name w:val="List Bullet 4"/>
    <w:basedOn w:val="Normal"/>
    <w:uiPriority w:val="99"/>
    <w:semiHidden/>
    <w:unhideWhenUsed/>
    <w:rsid w:val="001B26AE"/>
    <w:pPr>
      <w:numPr>
        <w:numId w:val="31"/>
      </w:numPr>
      <w:contextualSpacing/>
    </w:pPr>
  </w:style>
  <w:style w:type="paragraph" w:styleId="ListNumber">
    <w:name w:val="List Number"/>
    <w:basedOn w:val="Normal"/>
    <w:uiPriority w:val="99"/>
    <w:semiHidden/>
    <w:unhideWhenUsed/>
    <w:rsid w:val="001B26AE"/>
    <w:pPr>
      <w:numPr>
        <w:numId w:val="32"/>
      </w:numPr>
      <w:contextualSpacing/>
    </w:pPr>
  </w:style>
  <w:style w:type="paragraph" w:styleId="ListNumber2">
    <w:name w:val="List Number 2"/>
    <w:basedOn w:val="Normal"/>
    <w:uiPriority w:val="99"/>
    <w:semiHidden/>
    <w:unhideWhenUsed/>
    <w:rsid w:val="001B26AE"/>
    <w:pPr>
      <w:numPr>
        <w:numId w:val="33"/>
      </w:numPr>
      <w:contextualSpacing/>
    </w:pPr>
  </w:style>
  <w:style w:type="paragraph" w:styleId="ListNumber3">
    <w:name w:val="List Number 3"/>
    <w:basedOn w:val="Normal"/>
    <w:uiPriority w:val="99"/>
    <w:semiHidden/>
    <w:unhideWhenUsed/>
    <w:rsid w:val="001B26AE"/>
    <w:pPr>
      <w:numPr>
        <w:numId w:val="34"/>
      </w:numPr>
      <w:contextualSpacing/>
    </w:pPr>
  </w:style>
  <w:style w:type="paragraph" w:styleId="ListNumber4">
    <w:name w:val="List Number 4"/>
    <w:basedOn w:val="Normal"/>
    <w:uiPriority w:val="99"/>
    <w:semiHidden/>
    <w:unhideWhenUsed/>
    <w:rsid w:val="001B26AE"/>
    <w:pPr>
      <w:numPr>
        <w:numId w:val="35"/>
      </w:numPr>
      <w:contextualSpacing/>
    </w:pPr>
  </w:style>
  <w:style w:type="character" w:styleId="CommentReference">
    <w:name w:val="annotation reference"/>
    <w:basedOn w:val="DefaultParagraphFont"/>
    <w:uiPriority w:val="99"/>
    <w:semiHidden/>
    <w:unhideWhenUsed/>
    <w:rsid w:val="00403FFA"/>
    <w:rPr>
      <w:sz w:val="16"/>
      <w:szCs w:val="16"/>
    </w:rPr>
  </w:style>
  <w:style w:type="paragraph" w:styleId="CommentText">
    <w:name w:val="annotation text"/>
    <w:basedOn w:val="Normal"/>
    <w:link w:val="CommentTextChar"/>
    <w:uiPriority w:val="99"/>
    <w:unhideWhenUsed/>
    <w:rsid w:val="00403FFA"/>
    <w:rPr>
      <w:sz w:val="20"/>
      <w:szCs w:val="20"/>
    </w:rPr>
  </w:style>
  <w:style w:type="character" w:customStyle="1" w:styleId="CommentTextChar">
    <w:name w:val="Comment Text Char"/>
    <w:basedOn w:val="DefaultParagraphFont"/>
    <w:link w:val="CommentText"/>
    <w:uiPriority w:val="99"/>
    <w:rsid w:val="00403FFA"/>
    <w:rPr>
      <w:rFonts w:ascii="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403FFA"/>
    <w:rPr>
      <w:b/>
      <w:bCs/>
    </w:rPr>
  </w:style>
  <w:style w:type="character" w:customStyle="1" w:styleId="CommentSubjectChar">
    <w:name w:val="Comment Subject Char"/>
    <w:basedOn w:val="CommentTextChar"/>
    <w:link w:val="CommentSubject"/>
    <w:uiPriority w:val="99"/>
    <w:semiHidden/>
    <w:rsid w:val="00403FFA"/>
    <w:rPr>
      <w:rFonts w:ascii="Times New Roman" w:hAnsi="Times New Roman" w:cs="Times New Roman"/>
      <w:b/>
      <w:bCs/>
      <w:sz w:val="20"/>
      <w:szCs w:val="20"/>
      <w:lang w:val="lt-LT"/>
    </w:rPr>
  </w:style>
  <w:style w:type="paragraph" w:styleId="BalloonText">
    <w:name w:val="Balloon Text"/>
    <w:basedOn w:val="Normal"/>
    <w:link w:val="BalloonTextChar"/>
    <w:uiPriority w:val="99"/>
    <w:semiHidden/>
    <w:unhideWhenUsed/>
    <w:rsid w:val="00403FF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FA"/>
    <w:rPr>
      <w:rFonts w:ascii="Segoe UI" w:hAnsi="Segoe UI" w:cs="Segoe UI"/>
      <w:sz w:val="18"/>
      <w:szCs w:val="18"/>
      <w:lang w:val="lt-LT"/>
    </w:rPr>
  </w:style>
  <w:style w:type="character" w:styleId="Hyperlink">
    <w:name w:val="Hyperlink"/>
    <w:basedOn w:val="DefaultParagraphFont"/>
    <w:uiPriority w:val="99"/>
    <w:unhideWhenUsed/>
    <w:rsid w:val="00403FFA"/>
    <w:rPr>
      <w:color w:val="0000FF" w:themeColor="hyperlink"/>
      <w:u w:val="single"/>
    </w:rPr>
  </w:style>
  <w:style w:type="paragraph" w:styleId="Revision">
    <w:name w:val="Revision"/>
    <w:hidden/>
    <w:uiPriority w:val="99"/>
    <w:semiHidden/>
    <w:rsid w:val="00DB7093"/>
    <w:pPr>
      <w:spacing w:after="0" w:line="240" w:lineRule="auto"/>
    </w:pPr>
    <w:rPr>
      <w:rFonts w:ascii="Times New Roman" w:hAnsi="Times New Roman" w:cs="Times New Roman"/>
      <w:sz w:val="24"/>
    </w:rPr>
  </w:style>
  <w:style w:type="paragraph" w:styleId="ListParagraph">
    <w:name w:val="List Paragraph"/>
    <w:basedOn w:val="Normal"/>
    <w:uiPriority w:val="34"/>
    <w:qFormat/>
    <w:rsid w:val="00B076B3"/>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39"/>
      </w:numPr>
    </w:pPr>
  </w:style>
  <w:style w:type="paragraph" w:customStyle="1" w:styleId="Tiret1">
    <w:name w:val="Tiret 1"/>
    <w:basedOn w:val="Point1"/>
    <w:rsid w:val="009B7138"/>
    <w:pPr>
      <w:numPr>
        <w:numId w:val="40"/>
      </w:numPr>
    </w:pPr>
  </w:style>
  <w:style w:type="paragraph" w:customStyle="1" w:styleId="Tiret2">
    <w:name w:val="Tiret 2"/>
    <w:basedOn w:val="Point2"/>
    <w:rsid w:val="009B7138"/>
    <w:pPr>
      <w:numPr>
        <w:numId w:val="41"/>
      </w:numPr>
    </w:pPr>
  </w:style>
  <w:style w:type="paragraph" w:customStyle="1" w:styleId="Tiret3">
    <w:name w:val="Tiret 3"/>
    <w:basedOn w:val="Point3"/>
    <w:rsid w:val="009B7138"/>
    <w:pPr>
      <w:numPr>
        <w:numId w:val="42"/>
      </w:numPr>
    </w:pPr>
  </w:style>
  <w:style w:type="paragraph" w:customStyle="1" w:styleId="Tiret4">
    <w:name w:val="Tiret 4"/>
    <w:basedOn w:val="Point4"/>
    <w:rsid w:val="009B7138"/>
    <w:pPr>
      <w:numPr>
        <w:numId w:val="4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44"/>
      </w:numPr>
    </w:pPr>
  </w:style>
  <w:style w:type="paragraph" w:customStyle="1" w:styleId="NumPar2">
    <w:name w:val="NumPar 2"/>
    <w:basedOn w:val="Normal"/>
    <w:next w:val="Text1"/>
    <w:rsid w:val="009B7138"/>
    <w:pPr>
      <w:numPr>
        <w:ilvl w:val="1"/>
        <w:numId w:val="44"/>
      </w:numPr>
    </w:pPr>
  </w:style>
  <w:style w:type="paragraph" w:customStyle="1" w:styleId="NumPar3">
    <w:name w:val="NumPar 3"/>
    <w:basedOn w:val="Normal"/>
    <w:next w:val="Text1"/>
    <w:rsid w:val="009B7138"/>
    <w:pPr>
      <w:numPr>
        <w:ilvl w:val="2"/>
        <w:numId w:val="44"/>
      </w:numPr>
    </w:pPr>
  </w:style>
  <w:style w:type="paragraph" w:customStyle="1" w:styleId="NumPar4">
    <w:name w:val="NumPar 4"/>
    <w:basedOn w:val="Normal"/>
    <w:next w:val="Text1"/>
    <w:rsid w:val="009B7138"/>
    <w:pPr>
      <w:numPr>
        <w:ilvl w:val="3"/>
        <w:numId w:val="4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46"/>
      </w:numPr>
    </w:pPr>
  </w:style>
  <w:style w:type="paragraph" w:customStyle="1" w:styleId="Point1number">
    <w:name w:val="Point 1 (number)"/>
    <w:basedOn w:val="Normal"/>
    <w:rsid w:val="009B7138"/>
    <w:pPr>
      <w:numPr>
        <w:ilvl w:val="2"/>
        <w:numId w:val="46"/>
      </w:numPr>
    </w:pPr>
  </w:style>
  <w:style w:type="paragraph" w:customStyle="1" w:styleId="Point2number">
    <w:name w:val="Point 2 (number)"/>
    <w:basedOn w:val="Normal"/>
    <w:rsid w:val="009B7138"/>
    <w:pPr>
      <w:numPr>
        <w:ilvl w:val="4"/>
        <w:numId w:val="46"/>
      </w:numPr>
    </w:pPr>
  </w:style>
  <w:style w:type="paragraph" w:customStyle="1" w:styleId="Point3number">
    <w:name w:val="Point 3 (number)"/>
    <w:basedOn w:val="Normal"/>
    <w:rsid w:val="009B7138"/>
    <w:pPr>
      <w:numPr>
        <w:ilvl w:val="6"/>
        <w:numId w:val="46"/>
      </w:numPr>
    </w:pPr>
  </w:style>
  <w:style w:type="paragraph" w:customStyle="1" w:styleId="Point0letter">
    <w:name w:val="Point 0 (letter)"/>
    <w:basedOn w:val="Normal"/>
    <w:rsid w:val="009B7138"/>
    <w:pPr>
      <w:numPr>
        <w:ilvl w:val="1"/>
        <w:numId w:val="46"/>
      </w:numPr>
    </w:pPr>
  </w:style>
  <w:style w:type="paragraph" w:customStyle="1" w:styleId="Point1letter">
    <w:name w:val="Point 1 (letter)"/>
    <w:basedOn w:val="Normal"/>
    <w:rsid w:val="009B7138"/>
    <w:pPr>
      <w:numPr>
        <w:ilvl w:val="3"/>
        <w:numId w:val="46"/>
      </w:numPr>
    </w:pPr>
  </w:style>
  <w:style w:type="paragraph" w:customStyle="1" w:styleId="Point2letter">
    <w:name w:val="Point 2 (letter)"/>
    <w:basedOn w:val="Normal"/>
    <w:rsid w:val="009B7138"/>
    <w:pPr>
      <w:numPr>
        <w:ilvl w:val="5"/>
        <w:numId w:val="46"/>
      </w:numPr>
    </w:pPr>
  </w:style>
  <w:style w:type="paragraph" w:customStyle="1" w:styleId="Point3letter">
    <w:name w:val="Point 3 (letter)"/>
    <w:basedOn w:val="Normal"/>
    <w:rsid w:val="009B7138"/>
    <w:pPr>
      <w:numPr>
        <w:ilvl w:val="7"/>
        <w:numId w:val="46"/>
      </w:numPr>
    </w:pPr>
  </w:style>
  <w:style w:type="paragraph" w:customStyle="1" w:styleId="Point4letter">
    <w:name w:val="Point 4 (letter)"/>
    <w:basedOn w:val="Normal"/>
    <w:rsid w:val="009B7138"/>
    <w:pPr>
      <w:numPr>
        <w:ilvl w:val="8"/>
        <w:numId w:val="46"/>
      </w:numPr>
    </w:pPr>
  </w:style>
  <w:style w:type="paragraph" w:customStyle="1" w:styleId="Bullet0">
    <w:name w:val="Bullet 0"/>
    <w:basedOn w:val="Normal"/>
    <w:rsid w:val="009B7138"/>
    <w:pPr>
      <w:numPr>
        <w:numId w:val="47"/>
      </w:numPr>
    </w:pPr>
  </w:style>
  <w:style w:type="paragraph" w:customStyle="1" w:styleId="Bullet1">
    <w:name w:val="Bullet 1"/>
    <w:basedOn w:val="Normal"/>
    <w:rsid w:val="009B7138"/>
    <w:pPr>
      <w:numPr>
        <w:numId w:val="48"/>
      </w:numPr>
    </w:pPr>
  </w:style>
  <w:style w:type="paragraph" w:customStyle="1" w:styleId="Bullet2">
    <w:name w:val="Bullet 2"/>
    <w:basedOn w:val="Normal"/>
    <w:rsid w:val="009B7138"/>
    <w:pPr>
      <w:numPr>
        <w:numId w:val="49"/>
      </w:numPr>
    </w:pPr>
  </w:style>
  <w:style w:type="paragraph" w:customStyle="1" w:styleId="Bullet3">
    <w:name w:val="Bullet 3"/>
    <w:basedOn w:val="Normal"/>
    <w:rsid w:val="009B7138"/>
    <w:pPr>
      <w:numPr>
        <w:numId w:val="50"/>
      </w:numPr>
    </w:pPr>
  </w:style>
  <w:style w:type="paragraph" w:customStyle="1" w:styleId="Bullet4">
    <w:name w:val="Bullet 4"/>
    <w:basedOn w:val="Normal"/>
    <w:rsid w:val="009B7138"/>
    <w:pPr>
      <w:numPr>
        <w:numId w:val="5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5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441092">
      <w:bodyDiv w:val="1"/>
      <w:marLeft w:val="0"/>
      <w:marRight w:val="0"/>
      <w:marTop w:val="0"/>
      <w:marBottom w:val="0"/>
      <w:divBdr>
        <w:top w:val="none" w:sz="0" w:space="0" w:color="auto"/>
        <w:left w:val="none" w:sz="0" w:space="0" w:color="auto"/>
        <w:bottom w:val="none" w:sz="0" w:space="0" w:color="auto"/>
        <w:right w:val="none" w:sz="0" w:space="0" w:color="auto"/>
      </w:divBdr>
      <w:divsChild>
        <w:div w:id="337930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13</Pages>
  <Words>4036</Words>
  <Characters>27327</Characters>
  <Application>Microsoft Office Word</Application>
  <DocSecurity>0</DocSecurity>
  <Lines>479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2021-05-18T12:09:00Z</dcterms:created>
  <dcterms:modified xsi:type="dcterms:W3CDTF">2021-05-18T12:09:00Z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SJ-004</vt:lpwstr>
  </property>
  <property fmtid="{D5CDD505-2E9C-101B-9397-08002B2CF9AE}" pid="7" name="DQCStatus">
    <vt:lpwstr>Green (DQC version 03)</vt:lpwstr>
  </property>
</Properties>
</file>