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DA0A03" w14:textId="5DD6DA3A" w:rsidR="001C2816" w:rsidRPr="002715E8" w:rsidRDefault="000B7034" w:rsidP="00C44A36">
      <w:pPr>
        <w:pStyle w:val="Pagedecouverture"/>
      </w:pPr>
      <w:bookmarkStart w:id="0" w:name="_GoBack"/>
      <w:bookmarkEnd w:id="0"/>
      <w:r>
        <w:pict w14:anchorId="3E5C7E3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A027A604-D854-4D37-B357-47E0E3384617" style="width:450pt;height:423.6pt">
            <v:imagedata r:id="rId8" o:title=""/>
          </v:shape>
        </w:pict>
      </w:r>
    </w:p>
    <w:p w14:paraId="42BED65A" w14:textId="77777777" w:rsidR="00911C0D" w:rsidRPr="002715E8" w:rsidRDefault="00911C0D">
      <w:pPr>
        <w:sectPr w:rsidR="00911C0D" w:rsidRPr="002715E8" w:rsidSect="00BA2EBA">
          <w:footerReference w:type="default" r:id="rId9"/>
          <w:pgSz w:w="11907" w:h="16839"/>
          <w:pgMar w:top="1134" w:right="1417" w:bottom="1134" w:left="1417" w:header="709" w:footer="709" w:gutter="0"/>
          <w:pgNumType w:start="0"/>
          <w:cols w:space="720"/>
          <w:docGrid w:linePitch="360"/>
        </w:sectPr>
      </w:pPr>
    </w:p>
    <w:p w14:paraId="267BADDC" w14:textId="77777777" w:rsidR="002715E8" w:rsidRPr="002715E8" w:rsidRDefault="002715E8" w:rsidP="002715E8">
      <w:pPr>
        <w:pStyle w:val="Typedudocument"/>
      </w:pPr>
      <w:r w:rsidRPr="002715E8">
        <w:lastRenderedPageBreak/>
        <w:t>KOMISIJAS ĪSTENOŠANAS REGULA (ES) …/..</w:t>
      </w:r>
    </w:p>
    <w:p w14:paraId="71C9891E" w14:textId="7A74F588" w:rsidR="002715E8" w:rsidRPr="002715E8" w:rsidRDefault="002715E8" w:rsidP="002715E8">
      <w:pPr>
        <w:pStyle w:val="Datedadoption"/>
      </w:pPr>
      <w:r>
        <w:rPr>
          <w:rStyle w:val="Marker2"/>
        </w:rPr>
        <w:t>(XXX)</w:t>
      </w:r>
    </w:p>
    <w:p w14:paraId="5B9E2694" w14:textId="77777777" w:rsidR="002715E8" w:rsidRPr="002715E8" w:rsidRDefault="002715E8" w:rsidP="002715E8">
      <w:pPr>
        <w:pStyle w:val="Titreobjet"/>
      </w:pPr>
      <w:r w:rsidRPr="002715E8">
        <w:t>ar ko nosaka īstenošanas tehniskos standartus Eiropas Parlamenta un Padomes Regulas (ES) Nr. 575/2013 un Eiropas Parlamenta un Padomes Direktīvas 2014/59/ES piemērošanai attiecībā uz uzraudzības pārskatu sniegšanu un ācijas publiskošanu par minimuma prasību pašu kapitālam un atbilstīgajām saistībām</w:t>
      </w:r>
    </w:p>
    <w:p w14:paraId="5D3ADE25" w14:textId="77777777" w:rsidR="002715E8" w:rsidRPr="002715E8" w:rsidRDefault="002715E8" w:rsidP="002715E8">
      <w:pPr>
        <w:pStyle w:val="IntrtEEE"/>
      </w:pPr>
      <w:r w:rsidRPr="002715E8">
        <w:t>(Dokuments attiecas uz EEZ)</w:t>
      </w:r>
    </w:p>
    <w:p w14:paraId="36691E3D" w14:textId="77777777" w:rsidR="002715E8" w:rsidRPr="002715E8" w:rsidRDefault="002715E8" w:rsidP="002715E8">
      <w:pPr>
        <w:pStyle w:val="Institutionquiagit"/>
      </w:pPr>
      <w:r w:rsidRPr="002715E8">
        <w:t>EIROPAS KOMISIJA,</w:t>
      </w:r>
    </w:p>
    <w:p w14:paraId="79B9DA1B" w14:textId="77777777" w:rsidR="002715E8" w:rsidRPr="002715E8" w:rsidRDefault="002715E8" w:rsidP="002715E8">
      <w:r w:rsidRPr="002715E8">
        <w:t>ņemot vērā Eiropas Parlamenta un Padomes Regulu (ES) Nr. 575/2013 (2013. gada 26. jūnijs) par prudenciālajām prasībām attiecībā uz kredītiestādēm un ieguldījumu brokeru sabiedrībām, un ar ko groza Regulu (ES) Nr. 648/2012</w:t>
      </w:r>
      <w:r w:rsidRPr="002715E8">
        <w:rPr>
          <w:rStyle w:val="FootnoteReference"/>
        </w:rPr>
        <w:footnoteReference w:id="1"/>
      </w:r>
      <w:r w:rsidRPr="002715E8">
        <w:t>, un jo īpaši tās 430. panta 7. punkta piekto daļu un 434.a panta piekto daļu,</w:t>
      </w:r>
    </w:p>
    <w:p w14:paraId="69F136BE" w14:textId="77777777" w:rsidR="002715E8" w:rsidRPr="002715E8" w:rsidRDefault="002715E8" w:rsidP="002715E8">
      <w:r w:rsidRPr="002715E8">
        <w:t>ņemot vērā Eiropas Parlamenta un Padomes Direktīvu 2014/59/ES (2014. gada 15. maijs), ar ko izveido kredītiestāžu un ieguldījumu brokeru sabiedrību atveseļošanas un noregulējuma režīmu un groza Padomes Direktīvu 82/891/EEK un Eiropas Parlamenta un Padomes Direktīvas 2001/24/EK, 2002/47/EK, 2004/25/EK, 2005/56/EK, 2007/36/EK, 2011/35/ES, 2012/30/ES un 2013/36/ES, un Eiropas Parlamenta un Padomes Regulas (ES) Nr. 1093/2010 un (ES) Nr. 648/2012</w:t>
      </w:r>
      <w:r w:rsidRPr="002715E8">
        <w:rPr>
          <w:rStyle w:val="FootnoteReference"/>
        </w:rPr>
        <w:footnoteReference w:id="2"/>
      </w:r>
      <w:r w:rsidRPr="002715E8">
        <w:t>, un jo īpaši tās 45.i panta 5. un 6. punktu,</w:t>
      </w:r>
    </w:p>
    <w:p w14:paraId="65CDF774" w14:textId="77777777" w:rsidR="002715E8" w:rsidRPr="002715E8" w:rsidRDefault="002715E8" w:rsidP="002715E8">
      <w:r w:rsidRPr="002715E8">
        <w:t>tā kā:</w:t>
      </w:r>
    </w:p>
    <w:p w14:paraId="299B1494" w14:textId="77777777" w:rsidR="002715E8" w:rsidRPr="002715E8" w:rsidRDefault="002715E8" w:rsidP="000E7934">
      <w:pPr>
        <w:pStyle w:val="Considrant"/>
        <w:numPr>
          <w:ilvl w:val="0"/>
          <w:numId w:val="11"/>
        </w:numPr>
      </w:pPr>
      <w:r w:rsidRPr="002715E8">
        <w:t>Globālo sistēmiski nozīmīgo iestāžu (G-SNI) kopējās zaudējumu absorbcijas spējas (</w:t>
      </w:r>
      <w:r w:rsidRPr="002715E8">
        <w:rPr>
          <w:i/>
        </w:rPr>
        <w:t>TLAC</w:t>
      </w:r>
      <w:r w:rsidRPr="002715E8">
        <w:t>) noteikumu (“</w:t>
      </w:r>
      <w:r w:rsidRPr="002715E8">
        <w:rPr>
          <w:i/>
        </w:rPr>
        <w:t>TLAC</w:t>
      </w:r>
      <w:r w:rsidRPr="002715E8">
        <w:t xml:space="preserve"> standarts”) saskaņotais minimālais līmenis (“</w:t>
      </w:r>
      <w:r w:rsidRPr="002715E8">
        <w:rPr>
          <w:i/>
        </w:rPr>
        <w:t>TLAC</w:t>
      </w:r>
      <w:r w:rsidRPr="002715E8">
        <w:t xml:space="preserve"> prasība”) Savienības tiesību aktos ir ieviests ar Eiropas Parlamenta un Padomes Regulu (ES) 2019/876</w:t>
      </w:r>
      <w:r w:rsidRPr="002715E8">
        <w:rPr>
          <w:rStyle w:val="FootnoteReference"/>
        </w:rPr>
        <w:footnoteReference w:id="3"/>
      </w:r>
      <w:r w:rsidRPr="002715E8">
        <w:t>, ar ko groza Regulu (ES) Nr. 575/2013.</w:t>
      </w:r>
      <w:r w:rsidRPr="002715E8">
        <w:rPr>
          <w:sz w:val="23"/>
          <w:szCs w:val="23"/>
        </w:rPr>
        <w:t xml:space="preserve"> </w:t>
      </w:r>
      <w:r w:rsidRPr="002715E8">
        <w:t>Iestādei specifiskais palielinājums attiecībā uz G-SNI un iestādei specifiskā prasība attiecībā uz iestādēm, kas nav G-SNI, ko dēvē par minimuma prasību pašu kapitālam un atbilstīgajām saistībām (</w:t>
      </w:r>
      <w:r w:rsidRPr="002715E8">
        <w:rPr>
          <w:i/>
        </w:rPr>
        <w:t>MREL</w:t>
      </w:r>
      <w:r w:rsidRPr="002715E8">
        <w:t>), ir noteikta, veicot mērķtiecīgus grozījumus Direktīvā 2014/59/ES, kas ieviesti ar Eiropas Parlamenta un Padomes Direktīvu (ES) 2019/879</w:t>
      </w:r>
      <w:r w:rsidRPr="002715E8">
        <w:rPr>
          <w:rStyle w:val="FootnoteReference"/>
        </w:rPr>
        <w:footnoteReference w:id="4"/>
      </w:r>
      <w:r w:rsidRPr="002715E8">
        <w:t xml:space="preserve">. Ziņošanas un informācijas atklāšanas prasības gan attiecībā uz </w:t>
      </w:r>
      <w:r w:rsidRPr="002715E8">
        <w:rPr>
          <w:i/>
        </w:rPr>
        <w:t>TLAC</w:t>
      </w:r>
      <w:r w:rsidRPr="002715E8">
        <w:t xml:space="preserve"> standartu, gan </w:t>
      </w:r>
      <w:r w:rsidRPr="002715E8">
        <w:rPr>
          <w:i/>
        </w:rPr>
        <w:t>MREL</w:t>
      </w:r>
      <w:r w:rsidRPr="002715E8">
        <w:t xml:space="preserve"> tagad ir iekļautas attiecīgi Regulā (ES) Nr. 575/2013 un Direktīvā 2014/59/ES.</w:t>
      </w:r>
    </w:p>
    <w:p w14:paraId="3D7139C6" w14:textId="77777777" w:rsidR="002715E8" w:rsidRPr="002715E8" w:rsidRDefault="002715E8" w:rsidP="002715E8">
      <w:pPr>
        <w:pStyle w:val="Considrant"/>
      </w:pPr>
      <w:r w:rsidRPr="002715E8">
        <w:t xml:space="preserve">Tā kā </w:t>
      </w:r>
      <w:r w:rsidRPr="002715E8">
        <w:rPr>
          <w:i/>
        </w:rPr>
        <w:t>TLAC</w:t>
      </w:r>
      <w:r w:rsidRPr="002715E8">
        <w:t xml:space="preserve"> standartam un </w:t>
      </w:r>
      <w:r w:rsidRPr="002715E8">
        <w:rPr>
          <w:i/>
        </w:rPr>
        <w:t>MREL</w:t>
      </w:r>
      <w:r w:rsidRPr="002715E8">
        <w:t xml:space="preserve"> ir viens un tas pats mērķis – nodrošināt, ka iestādēm un vienībām, kas veic uzņēmējdarbību Savienībā, ir pietiekama zaudējumu absorbcijas </w:t>
      </w:r>
      <w:r w:rsidRPr="002715E8">
        <w:lastRenderedPageBreak/>
        <w:t>un rekapitalizācijas spēja, abām prasībām vajadzētu būt vienota regulējuma papildinošiem elementiem. Tāpēc ir lietderīgi izveidot veidņu kopumu saskaņotas informācijas sniegšanai un publiskošanai par prasību pašu kapitālam un atbilstīgajām saistībām attiecībā uz G-SNI un ārpussavienības G-SNI (</w:t>
      </w:r>
      <w:r w:rsidRPr="002715E8">
        <w:rPr>
          <w:i/>
        </w:rPr>
        <w:t>TLAC</w:t>
      </w:r>
      <w:r w:rsidRPr="002715E8">
        <w:t xml:space="preserve">) būtiskiem meitasuzņēmumiem un iestādei specifisko </w:t>
      </w:r>
      <w:r w:rsidRPr="002715E8">
        <w:rPr>
          <w:i/>
        </w:rPr>
        <w:t>MREL</w:t>
      </w:r>
      <w:r w:rsidRPr="002715E8">
        <w:t>, kas piemērojama visām iestādēm.</w:t>
      </w:r>
    </w:p>
    <w:p w14:paraId="3BC229C3" w14:textId="77777777" w:rsidR="002715E8" w:rsidRPr="002715E8" w:rsidRDefault="002715E8" w:rsidP="002715E8">
      <w:pPr>
        <w:pStyle w:val="Considrant"/>
      </w:pPr>
      <w:r w:rsidRPr="002715E8">
        <w:t>Saskaņā ar Regulas (ES) Nr. 575/2013 434.a pantu īstenošanas tehnisko standartu projektos, kas jāizstrādā Eiropas Banku iestādei (EBI), lai izveidotu vienotus informācijas atklāšanas formātus, jācenšas saglabāt informācijas atklāšanas formātu atbilstību starptautiskajiem standartiem par informācijas atklāšanu, lai atvieglotu informācijas salīdzināmību. Bāzeles Banku uzraudzības komiteja (</w:t>
      </w:r>
      <w:r w:rsidRPr="002715E8">
        <w:rPr>
          <w:i/>
        </w:rPr>
        <w:t>BCBS</w:t>
      </w:r>
      <w:r w:rsidRPr="002715E8">
        <w:t xml:space="preserve">) 2018. gada decembrī publicēja atjauninātas 3. pīlāra informācijas atklāšanas prasības, tostarp prasības par </w:t>
      </w:r>
      <w:r w:rsidRPr="002715E8">
        <w:rPr>
          <w:i/>
        </w:rPr>
        <w:t>TLAC</w:t>
      </w:r>
      <w:r w:rsidRPr="002715E8">
        <w:t xml:space="preserve"> informācijas atklāšanu. Tāpēc šajā regulā izklāstītajiem informācijas atklāšanas formātiem un saistītajiem norādījumiem būtu jāatbilst minētajām atjauninātajām </w:t>
      </w:r>
      <w:r w:rsidRPr="002715E8">
        <w:rPr>
          <w:i/>
        </w:rPr>
        <w:t>BCBS</w:t>
      </w:r>
      <w:r w:rsidRPr="002715E8">
        <w:t xml:space="preserve"> informācijas atklāšanas prasībām.</w:t>
      </w:r>
    </w:p>
    <w:p w14:paraId="22C8E699" w14:textId="77777777" w:rsidR="002715E8" w:rsidRPr="002715E8" w:rsidRDefault="002715E8" w:rsidP="002715E8">
      <w:pPr>
        <w:pStyle w:val="Considrant"/>
      </w:pPr>
      <w:r w:rsidRPr="002715E8">
        <w:t xml:space="preserve">Lai nodrošinātu, ka iestāžu atbilstības nodrošināšanas izmaksas netiek nepamatoti palielinātas un ka tiek saglabāta datu kvalitāte, ziņošanas un informācijas atklāšanas pienākumi pēc būtības būtu pēc iespējas jāsaskaņo savā starpā, tostarp attiecībā uz to biežumu. Turklāt īstenošanas tehnisko standartu saskaņošana attiecībā uz ziņošanas un informācijas atklāšanas pienākumiem attiecībā uz </w:t>
      </w:r>
      <w:r w:rsidRPr="002715E8">
        <w:rPr>
          <w:i/>
        </w:rPr>
        <w:t>TLAC</w:t>
      </w:r>
      <w:r w:rsidRPr="002715E8">
        <w:t xml:space="preserve"> un </w:t>
      </w:r>
      <w:r w:rsidRPr="002715E8">
        <w:rPr>
          <w:i/>
        </w:rPr>
        <w:t>MREL</w:t>
      </w:r>
      <w:r w:rsidRPr="002715E8">
        <w:t xml:space="preserve"> ir skaidri pieprasīta Direktīvas 2014/59/ES 45.i panta 5. punkta trešajā daļā un 45.i panta 6. punkta trešajā daļā. Tāpēc ir lietderīgi vienā regulā noteikt standartus, kas piemērojami gan ziņošanai, gan informācijas sniegšanai par </w:t>
      </w:r>
      <w:r w:rsidRPr="002715E8">
        <w:rPr>
          <w:i/>
        </w:rPr>
        <w:t>TLAC</w:t>
      </w:r>
      <w:r w:rsidRPr="002715E8">
        <w:t xml:space="preserve"> un </w:t>
      </w:r>
      <w:r w:rsidRPr="002715E8">
        <w:rPr>
          <w:i/>
        </w:rPr>
        <w:t>MREL</w:t>
      </w:r>
      <w:r w:rsidRPr="002715E8">
        <w:t xml:space="preserve">. Tajā pašā laikā gan pārskatu sniegšanas, gan informācijas atklāšanas granularitāte un biežums būtu attiecīgi jāpielāgo, ņemot vērā attiecīgi Regulā (ES) Nr. 575/2013 un Direktīvā 2014/59/ES noteiktās prasības un nepieciešamību nodrošināt, ka iestādes vienmēr izpilda minētās prasības. </w:t>
      </w:r>
    </w:p>
    <w:p w14:paraId="10433D5F" w14:textId="77777777" w:rsidR="002715E8" w:rsidRPr="002715E8" w:rsidRDefault="002715E8" w:rsidP="002715E8">
      <w:pPr>
        <w:pStyle w:val="Considrant"/>
        <w:rPr>
          <w:noProof/>
        </w:rPr>
      </w:pPr>
      <w:r w:rsidRPr="002715E8">
        <w:t xml:space="preserve">Direktīvā 2014/59/ES ir noteikts, ka informācija par </w:t>
      </w:r>
      <w:r w:rsidRPr="002715E8">
        <w:rPr>
          <w:i/>
        </w:rPr>
        <w:t>MREL</w:t>
      </w:r>
      <w:r w:rsidRPr="002715E8">
        <w:t xml:space="preserve"> ir jāsniedz gan kompetentajām, gan noregulējuma iestādēm. Regulā (ES) Nr. 575/2013 noteikts, ka informācija par </w:t>
      </w:r>
      <w:r w:rsidRPr="002715E8">
        <w:rPr>
          <w:i/>
        </w:rPr>
        <w:t>TLAC</w:t>
      </w:r>
      <w:r w:rsidRPr="002715E8">
        <w:t xml:space="preserve"> ir jāsniedz tikai kompetentajām iestādēm. Tomēr saskaņā ar Direktīvas 2014/59/ES 45.d panta 1. punktu noregulējuma vienības, kas ir G-SNI vai G-SNI daļa, </w:t>
      </w:r>
      <w:r w:rsidRPr="002715E8">
        <w:rPr>
          <w:i/>
        </w:rPr>
        <w:t>MREL</w:t>
      </w:r>
      <w:r w:rsidRPr="002715E8">
        <w:t xml:space="preserve"> veido </w:t>
      </w:r>
      <w:r w:rsidRPr="002715E8">
        <w:rPr>
          <w:i/>
        </w:rPr>
        <w:t>TLAC</w:t>
      </w:r>
      <w:r w:rsidRPr="002715E8">
        <w:t xml:space="preserve"> prasība un jebkāds papildu palielinājums. Tāpēc ir lietderīgi nodrošināt, ka noregulējuma iestādes ziņojumā par </w:t>
      </w:r>
      <w:r w:rsidRPr="002715E8">
        <w:rPr>
          <w:i/>
        </w:rPr>
        <w:t>MREL</w:t>
      </w:r>
      <w:r w:rsidRPr="002715E8">
        <w:t xml:space="preserve"> no G-SNI iegūst informāciju par </w:t>
      </w:r>
      <w:r w:rsidRPr="002715E8">
        <w:rPr>
          <w:i/>
        </w:rPr>
        <w:t>TLAC</w:t>
      </w:r>
      <w:r w:rsidRPr="002715E8">
        <w:t>. Tam nebūtu jāskar vienošanās, ko kompetentās iestādes un noregulējuma iestādes noslēgušas, lai līdz minimumam samazinātu datu plūsmas.</w:t>
      </w:r>
    </w:p>
    <w:p w14:paraId="7E962B6B" w14:textId="77777777" w:rsidR="002715E8" w:rsidRPr="002715E8" w:rsidRDefault="002715E8" w:rsidP="002715E8">
      <w:pPr>
        <w:pStyle w:val="Considrant"/>
      </w:pPr>
      <w:r w:rsidRPr="002715E8">
        <w:t>Direktīvas 2014/59/ES 45.i panta 5. punktā ir noteikts, ka EBI jāizstrādā īstenošanas tehnisko standartu projekts, lai salīdzināmības un juridiskās noteiktības labad precizētu standartizētu veidu, kā sniegt informāciju par pašu kapitāla un iekšēji rekapitalizējamo saistību prioritāti, kas piemērojama valsts maksātnespējas procedūrās katrā dalībvalstī. Tāpēc attiecīgajām noregulējuma iestādēm būtu jādara pieejama standartizēta informācija to jurisdikcijā esošām iestādēm par maksātnespējas hierarhiju katrā dalībvalstī un tā laikus jāatjaunina. Minētajā informācijā būtu standartizēti jāizklāsta maksātnespējas hierarhija.</w:t>
      </w:r>
    </w:p>
    <w:p w14:paraId="620C93C4" w14:textId="77777777" w:rsidR="002715E8" w:rsidRPr="002715E8" w:rsidRDefault="002715E8" w:rsidP="002715E8">
      <w:pPr>
        <w:pStyle w:val="Considrant"/>
      </w:pPr>
      <w:r w:rsidRPr="002715E8">
        <w:t xml:space="preserve">Attiecībā uz iekšēji rekapitalizējamām saistībām, ko reglamentē trešās valsts tiesību akti, Direktīvas 2014/59/ES 45.i panta 5. punktā arī noteikts, ka EBI ir jāizstrādā īstenošanas tehnisko standartu projekts, lai precizētu standartizētu informācijas sniegšanas veidu, kurā norādītas trešās valstis, kuru tiesību akti reglamentē šādas saistības, un – attiecībā uz katru identificēto trešo valsti – vai šādas saistības ietver līguma noteikumu, ar ko atzīst, ka uz tām saskaņā ar minēto direktīvu var attiekties </w:t>
      </w:r>
      <w:r w:rsidRPr="002715E8">
        <w:lastRenderedPageBreak/>
        <w:t>norakstīšanas un konvertācijas pilnvaras. Tā kā jāturpina novērtēt šo elementu pārskatu sniegšanas detalizācijas pakāpi, EBI laikus izstrādās un iesniegs Komisijai attiecīgos norādījumus un veidnes, lai gan kompetentās iestādes, gan noregulējuma iestādes varētu regulāri piekļūt šai informācijai. Šo ierobežoto papildu elementu trūkums neietekmēs un neaizkavēs šajā regulā paredzēto ziņošanas prasību piemērošanu.</w:t>
      </w:r>
    </w:p>
    <w:p w14:paraId="178DB5A0" w14:textId="77777777" w:rsidR="002715E8" w:rsidRPr="002715E8" w:rsidRDefault="002715E8" w:rsidP="002715E8">
      <w:pPr>
        <w:pStyle w:val="Considrant"/>
      </w:pPr>
      <w:r w:rsidRPr="002715E8">
        <w:t xml:space="preserve">Vienībām, kas atklāj informāciju, būtu jāņem vērā attiecīgās EBI izdotas pamatnostādnes, novērtējot, vai informācija ir būtiska, aizsargājama vai konfidenciāla saskaņā ar Regulas (ES) Nr. 575/2013 432. pantu. </w:t>
      </w:r>
    </w:p>
    <w:p w14:paraId="327D726C" w14:textId="77777777" w:rsidR="002715E8" w:rsidRPr="002715E8" w:rsidRDefault="002715E8" w:rsidP="002715E8">
      <w:pPr>
        <w:pStyle w:val="Considrant"/>
        <w:rPr>
          <w:noProof/>
        </w:rPr>
      </w:pPr>
      <w:r w:rsidRPr="002715E8">
        <w:t xml:space="preserve">Regulas (ES) Nr. 575/2013 430. panta 1. punkta b) apakšpunktā, 437.a pantā un 447. panta h) punktā noteiktais pienākums ziņot un atklāt informāciju par </w:t>
      </w:r>
      <w:r w:rsidRPr="002715E8">
        <w:rPr>
          <w:i/>
        </w:rPr>
        <w:t>TLAC</w:t>
      </w:r>
      <w:r w:rsidRPr="002715E8">
        <w:t xml:space="preserve"> tiek piemērots no 2019. gada 27. jūnija saskaņā ar Regulas (ES) 2019/876 3. panta 3. punkta otro daļu. Tādējādi, tiklīdz šī regula būs stājusies spēkā, G-SNI un ārpussavienības G-SNI būtiskajiem meitasuzņēmumiem būtu nekavējoties jāatklāj informācija par </w:t>
      </w:r>
      <w:r w:rsidRPr="002715E8">
        <w:rPr>
          <w:i/>
        </w:rPr>
        <w:t>TLAC</w:t>
      </w:r>
      <w:r w:rsidRPr="002715E8">
        <w:t xml:space="preserve">, izmantojot veidnes un ievērojot šajā regulā sniegtos norādījumus. Savukārt ziņošanu par </w:t>
      </w:r>
      <w:r w:rsidRPr="002715E8">
        <w:rPr>
          <w:i/>
        </w:rPr>
        <w:t>TLAC</w:t>
      </w:r>
      <w:r w:rsidRPr="002715E8">
        <w:t xml:space="preserve"> prasību saskaņā ar šo regulu būtu jāsāk piemērot tikai no 2021. gada 28. jūnija, lai iestādēm un kompetentajām iestādēm dotu pietiekami daudz laika attiecīgo prasību īstenošanai.</w:t>
      </w:r>
    </w:p>
    <w:p w14:paraId="119B7506" w14:textId="77777777" w:rsidR="002715E8" w:rsidRPr="002715E8" w:rsidRDefault="002715E8" w:rsidP="002715E8">
      <w:pPr>
        <w:pStyle w:val="Considrant"/>
        <w:rPr>
          <w:noProof/>
        </w:rPr>
      </w:pPr>
      <w:r w:rsidRPr="002715E8">
        <w:rPr>
          <w:color w:val="000000"/>
        </w:rPr>
        <w:t xml:space="preserve">Attiecībā uz </w:t>
      </w:r>
      <w:r w:rsidRPr="002715E8">
        <w:rPr>
          <w:i/>
          <w:color w:val="000000"/>
        </w:rPr>
        <w:t>MREL</w:t>
      </w:r>
      <w:r w:rsidRPr="002715E8">
        <w:rPr>
          <w:color w:val="000000"/>
        </w:rPr>
        <w:t xml:space="preserve"> Direktīvā 2014/59/ES noteiktie ziņošanas pienākumi ir jāpiemēro vēlākais no 2020. gada 28. decembra. Tomēr tādu pašu iemeslu dēļ kā attiecībā uz </w:t>
      </w:r>
      <w:r w:rsidRPr="002715E8">
        <w:rPr>
          <w:i/>
          <w:color w:val="000000"/>
        </w:rPr>
        <w:t>TLAC</w:t>
      </w:r>
      <w:r w:rsidRPr="002715E8">
        <w:rPr>
          <w:color w:val="000000"/>
        </w:rPr>
        <w:t xml:space="preserve"> visām iestādēm no 2021. gada 28. jūnija būtu jāsniedz informācija par </w:t>
      </w:r>
      <w:r w:rsidRPr="002715E8">
        <w:rPr>
          <w:i/>
          <w:color w:val="000000"/>
        </w:rPr>
        <w:t>MREL</w:t>
      </w:r>
      <w:r w:rsidRPr="002715E8">
        <w:rPr>
          <w:color w:val="000000"/>
        </w:rPr>
        <w:t xml:space="preserve">, izmantojot veidnes un ievērojot šajā regulā sniegtos norādījumus. Turpretī </w:t>
      </w:r>
      <w:r w:rsidRPr="002715E8">
        <w:rPr>
          <w:i/>
          <w:color w:val="000000"/>
        </w:rPr>
        <w:t>MREL</w:t>
      </w:r>
      <w:r w:rsidRPr="002715E8">
        <w:rPr>
          <w:color w:val="000000"/>
        </w:rPr>
        <w:t xml:space="preserve"> atklāšanas pienākumu piemērošanas datumam būtu jāsakrīt ar pārejas perioda beigām saskaņā ar Direktīvas 2014/59/ES 45.m panta 1. punkta trešo daļu, t. i., ne agrāk kā 2024. gada 1. janvārī.</w:t>
      </w:r>
      <w:r w:rsidRPr="002715E8">
        <w:t xml:space="preserve"> </w:t>
      </w:r>
    </w:p>
    <w:p w14:paraId="13E52E37" w14:textId="77777777" w:rsidR="002715E8" w:rsidRPr="002715E8" w:rsidRDefault="002715E8" w:rsidP="002715E8">
      <w:pPr>
        <w:pStyle w:val="Considrant"/>
        <w:rPr>
          <w:noProof/>
        </w:rPr>
      </w:pPr>
      <w:r w:rsidRPr="002715E8">
        <w:t xml:space="preserve">Ņemot vērā to, ka iestādēm, kompetentajām iestādēm un noregulējuma iestādēm ir jāpielāgo savas pārskatu sniegšanas un elektroniskās sistēmas šajā regulā noteiktajām prasībām, ceturkšņa pārskatu nosūtīšanas datumam attiecībā uz datiem, kas attiecas uz atsauces datumu 2021. gada 30. jūnijā, vajadzētu būt ne vēlāk kā 2021. gada 30. septembrim. </w:t>
      </w:r>
    </w:p>
    <w:p w14:paraId="5A2AAEF3" w14:textId="77777777" w:rsidR="002715E8" w:rsidRPr="002715E8" w:rsidRDefault="002715E8" w:rsidP="002715E8">
      <w:pPr>
        <w:pStyle w:val="Considrant"/>
        <w:rPr>
          <w:noProof/>
        </w:rPr>
      </w:pPr>
      <w:r w:rsidRPr="002715E8">
        <w:t>Šī regula ir balstīta uz īstenošanas tehnisko standartu projektu, ko Komisijai iesniegusi EBI.</w:t>
      </w:r>
    </w:p>
    <w:p w14:paraId="3286783F" w14:textId="77777777" w:rsidR="002715E8" w:rsidRPr="002715E8" w:rsidRDefault="002715E8" w:rsidP="002715E8">
      <w:pPr>
        <w:pStyle w:val="Considrant"/>
        <w:rPr>
          <w:noProof/>
          <w:color w:val="000000"/>
        </w:rPr>
      </w:pPr>
      <w:r w:rsidRPr="002715E8">
        <w:t>EBI ir īstenojusi atklātu sabiedrisko apspriešanu par īstenošanas tehnisko standartu projektu, kurš ir šīs regulas pamatā, analizējusi iespējamās saistītās izmaksas un ieguvumus un lūgusi atzinumu Banku nozares ieinteresēto personu grupai, kas izveidota saskaņā ar Eiropas Parlamenta un Padomes Regulas (ES) Nr. 1093/2010</w:t>
      </w:r>
      <w:r w:rsidRPr="002715E8">
        <w:rPr>
          <w:rStyle w:val="FootnoteReference"/>
        </w:rPr>
        <w:footnoteReference w:id="5"/>
      </w:r>
      <w:r w:rsidRPr="002715E8">
        <w:t xml:space="preserve"> 37. pantu,</w:t>
      </w:r>
    </w:p>
    <w:p w14:paraId="6BBFC5CD" w14:textId="77777777" w:rsidR="002715E8" w:rsidRPr="002715E8" w:rsidRDefault="002715E8" w:rsidP="002715E8">
      <w:pPr>
        <w:pStyle w:val="Formuledadoption"/>
      </w:pPr>
      <w:r w:rsidRPr="002715E8">
        <w:lastRenderedPageBreak/>
        <w:t>IR PIEŅĒMUSI ŠO REGULU.</w:t>
      </w:r>
    </w:p>
    <w:p w14:paraId="37143D2A" w14:textId="77777777" w:rsidR="002715E8" w:rsidRPr="002715E8" w:rsidRDefault="002715E8" w:rsidP="002715E8">
      <w:pPr>
        <w:pStyle w:val="SectionTitle"/>
        <w:rPr>
          <w:b w:val="0"/>
          <w:i/>
        </w:rPr>
      </w:pPr>
      <w:r w:rsidRPr="002715E8">
        <w:rPr>
          <w:b w:val="0"/>
          <w:i/>
        </w:rPr>
        <w:t>I SADAĻA</w:t>
      </w:r>
      <w:r w:rsidRPr="002715E8">
        <w:t xml:space="preserve"> </w:t>
      </w:r>
      <w:r w:rsidRPr="002715E8">
        <w:br/>
      </w:r>
      <w:r w:rsidRPr="002715E8">
        <w:rPr>
          <w:b w:val="0"/>
          <w:i/>
        </w:rPr>
        <w:t>UZRAUDZĪBAS PĀRSKATU SNIEGŠANA</w:t>
      </w:r>
    </w:p>
    <w:p w14:paraId="1E7B391F" w14:textId="77777777" w:rsidR="002715E8" w:rsidRPr="002715E8" w:rsidRDefault="002715E8" w:rsidP="002715E8">
      <w:pPr>
        <w:pStyle w:val="Titrearticle"/>
      </w:pPr>
      <w:r w:rsidRPr="002715E8">
        <w:fldChar w:fldCharType="begin"/>
      </w:r>
      <w:r w:rsidRPr="002715E8">
        <w:instrText xml:space="preserve"> SEQ Figure \* ARABIC </w:instrText>
      </w:r>
      <w:r w:rsidRPr="002715E8">
        <w:fldChar w:fldCharType="separate"/>
      </w:r>
      <w:r w:rsidRPr="002715E8">
        <w:t>1</w:t>
      </w:r>
      <w:r w:rsidRPr="002715E8">
        <w:fldChar w:fldCharType="end"/>
      </w:r>
      <w:r w:rsidRPr="002715E8">
        <w:t xml:space="preserve">. pants </w:t>
      </w:r>
      <w:r w:rsidRPr="002715E8">
        <w:br/>
        <w:t>Pārskatu atsauces datumi</w:t>
      </w:r>
    </w:p>
    <w:p w14:paraId="784B0AF6" w14:textId="77777777" w:rsidR="002715E8" w:rsidRPr="002715E8" w:rsidRDefault="002715E8" w:rsidP="002715E8">
      <w:pPr>
        <w:keepNext/>
        <w:keepLines/>
        <w:spacing w:before="360"/>
        <w:rPr>
          <w:noProof/>
        </w:rPr>
      </w:pPr>
      <w:r w:rsidRPr="002715E8">
        <w:t>Vienības, uz kurām attiecas pārskatu sniegšanas prasības attiecībā uz kopējo zaudējumu absorbcijas spēju (</w:t>
      </w:r>
      <w:r w:rsidRPr="002715E8">
        <w:rPr>
          <w:i/>
        </w:rPr>
        <w:t>TLAC</w:t>
      </w:r>
      <w:r w:rsidRPr="002715E8">
        <w:t>) un minimuma prasību pašu kapitālam un atbilstīgajām saistībām (</w:t>
      </w:r>
      <w:r w:rsidRPr="002715E8">
        <w:rPr>
          <w:i/>
        </w:rPr>
        <w:t>MREL</w:t>
      </w:r>
      <w:r w:rsidRPr="002715E8">
        <w:t>) individuālā vai konsolidētā līmenī (pārskatu sniedzējas vienības), iesniedz kompetentajām iestādēm un noregulējuma iestādēm informāciju, kāda tā ir, šādos pārskatu atsauces datumos:</w:t>
      </w:r>
    </w:p>
    <w:p w14:paraId="71F0821D" w14:textId="77777777" w:rsidR="002715E8" w:rsidRPr="002715E8" w:rsidRDefault="002715E8" w:rsidP="002715E8">
      <w:pPr>
        <w:pStyle w:val="Point0"/>
        <w:rPr>
          <w:noProof/>
        </w:rPr>
      </w:pPr>
      <w:r w:rsidRPr="002715E8">
        <w:t>a)</w:t>
      </w:r>
      <w:r w:rsidRPr="002715E8">
        <w:tab/>
        <w:t>ceturkšņa pārskatus – 31. martā, 30. jūnijā, 30. septembrī un 31. decembrī;</w:t>
      </w:r>
    </w:p>
    <w:p w14:paraId="32BC9164" w14:textId="77777777" w:rsidR="002715E8" w:rsidRPr="002715E8" w:rsidRDefault="002715E8" w:rsidP="002715E8">
      <w:pPr>
        <w:pStyle w:val="Point0"/>
        <w:rPr>
          <w:noProof/>
        </w:rPr>
      </w:pPr>
      <w:r w:rsidRPr="002715E8">
        <w:t>b)</w:t>
      </w:r>
      <w:r w:rsidRPr="002715E8">
        <w:tab/>
        <w:t>pusgada pārskatus – 30. jūnijā un 31. decembrī;</w:t>
      </w:r>
    </w:p>
    <w:p w14:paraId="072270BD" w14:textId="77777777" w:rsidR="002715E8" w:rsidRPr="002715E8" w:rsidRDefault="002715E8" w:rsidP="002715E8">
      <w:pPr>
        <w:pStyle w:val="Point0"/>
        <w:rPr>
          <w:noProof/>
        </w:rPr>
      </w:pPr>
      <w:r w:rsidRPr="002715E8">
        <w:t>c)</w:t>
      </w:r>
      <w:r w:rsidRPr="002715E8">
        <w:tab/>
        <w:t>gada pārskatus – 31. decembrī.</w:t>
      </w:r>
    </w:p>
    <w:p w14:paraId="4F4BBA1B" w14:textId="77777777" w:rsidR="002715E8" w:rsidRPr="002715E8" w:rsidRDefault="002715E8" w:rsidP="002715E8">
      <w:pPr>
        <w:pStyle w:val="Titrearticle"/>
      </w:pPr>
      <w:r w:rsidRPr="002715E8">
        <w:fldChar w:fldCharType="begin"/>
      </w:r>
      <w:r w:rsidRPr="002715E8">
        <w:instrText xml:space="preserve"> SEQ Figure \* ARABIC </w:instrText>
      </w:r>
      <w:r w:rsidRPr="002715E8">
        <w:fldChar w:fldCharType="separate"/>
      </w:r>
      <w:r w:rsidRPr="002715E8">
        <w:t>2</w:t>
      </w:r>
      <w:r w:rsidRPr="002715E8">
        <w:fldChar w:fldCharType="end"/>
      </w:r>
      <w:r w:rsidRPr="002715E8">
        <w:t>. pants</w:t>
      </w:r>
      <w:r w:rsidRPr="002715E8">
        <w:br/>
        <w:t>Pārskatu nosūtīšanas datumi</w:t>
      </w:r>
    </w:p>
    <w:p w14:paraId="272F8789" w14:textId="77777777" w:rsidR="002715E8" w:rsidRPr="002715E8" w:rsidRDefault="002715E8" w:rsidP="002715E8">
      <w:pPr>
        <w:pStyle w:val="NumPar1"/>
        <w:numPr>
          <w:ilvl w:val="0"/>
          <w:numId w:val="1"/>
        </w:numPr>
        <w:rPr>
          <w:noProof/>
        </w:rPr>
      </w:pPr>
      <w:r w:rsidRPr="002715E8">
        <w:t>Pārskatu sniedzējas vienības sniedz kompetentajām iestādēm un noregulējuma iestādēm informāciju līdz darbdienas beigām šādos nosūtīšanas datumos:</w:t>
      </w:r>
    </w:p>
    <w:p w14:paraId="656F518F" w14:textId="77777777" w:rsidR="002715E8" w:rsidRPr="002715E8" w:rsidRDefault="002715E8" w:rsidP="000E7934">
      <w:pPr>
        <w:pStyle w:val="Point1letter"/>
        <w:numPr>
          <w:ilvl w:val="3"/>
          <w:numId w:val="2"/>
        </w:numPr>
        <w:rPr>
          <w:noProof/>
        </w:rPr>
      </w:pPr>
      <w:r w:rsidRPr="002715E8">
        <w:t>ceturkšņa pārskatus – 19. maijā, 18. augustā, 18. novembrī un 18. februārī, izņemot datus, kas attiecas uz atsauces datumu 2021. gada 30. jūnijā, kuru nosūtīšanas datums ir ne vēlāk kā 2021. gada 30. septembrī.</w:t>
      </w:r>
    </w:p>
    <w:p w14:paraId="7A98BD07" w14:textId="77777777" w:rsidR="002715E8" w:rsidRPr="002715E8" w:rsidRDefault="002715E8" w:rsidP="002715E8">
      <w:pPr>
        <w:pStyle w:val="Point1letter"/>
        <w:rPr>
          <w:noProof/>
        </w:rPr>
      </w:pPr>
      <w:r w:rsidRPr="002715E8">
        <w:t>pusgada pārskatus – 18. augustā un 18. februārī;</w:t>
      </w:r>
    </w:p>
    <w:p w14:paraId="5098ACD4" w14:textId="77777777" w:rsidR="002715E8" w:rsidRPr="002715E8" w:rsidRDefault="002715E8" w:rsidP="002715E8">
      <w:pPr>
        <w:pStyle w:val="Point1letter"/>
        <w:rPr>
          <w:noProof/>
        </w:rPr>
      </w:pPr>
      <w:r w:rsidRPr="002715E8">
        <w:t>gada pārskatus – 18. februārī.</w:t>
      </w:r>
    </w:p>
    <w:p w14:paraId="0C2B2174" w14:textId="77777777" w:rsidR="002715E8" w:rsidRPr="002715E8" w:rsidRDefault="002715E8" w:rsidP="002715E8">
      <w:pPr>
        <w:pStyle w:val="NumPar1"/>
        <w:rPr>
          <w:noProof/>
        </w:rPr>
      </w:pPr>
      <w:r w:rsidRPr="002715E8">
        <w:t>Ja nosūtīšanas datums ir brīvdiena tās kompetentās iestādes vai noregulējuma iestādes dalībvalstī, kurā jāiesniedz 1. punktā minētā informācija, vai arī sestdiena vai svētdiena, minēto informāciju iesniedz līdz nākamās darbdienas beigām.</w:t>
      </w:r>
    </w:p>
    <w:p w14:paraId="6DAF09D9" w14:textId="77777777" w:rsidR="002715E8" w:rsidRPr="002715E8" w:rsidRDefault="002715E8" w:rsidP="002715E8">
      <w:pPr>
        <w:pStyle w:val="NumPar1"/>
        <w:rPr>
          <w:noProof/>
        </w:rPr>
      </w:pPr>
      <w:r w:rsidRPr="002715E8">
        <w:t xml:space="preserve">Pārskatu sniedzējas vienības var iesniegt datus, par kuriem tās nav saņēmušas ārējā revidenta atzinumu (nerevidēti dati). Ja dati, kurus revidējis ārējais revidents, paužot revīzijas atzinumu (revidētie dati) novirzās no iesniegtajiem nerevidētajiem datiem, pārskatu sniedzējas vienības bez liekas kavēšanās iesniedz pārskatītos revidētos datus. </w:t>
      </w:r>
    </w:p>
    <w:p w14:paraId="6F19B833" w14:textId="77777777" w:rsidR="002715E8" w:rsidRPr="002715E8" w:rsidRDefault="002715E8" w:rsidP="002715E8">
      <w:pPr>
        <w:pStyle w:val="NumPar1"/>
        <w:rPr>
          <w:noProof/>
        </w:rPr>
      </w:pPr>
      <w:r w:rsidRPr="002715E8">
        <w:t>Pārskatu sniedzējas vienības visus citus labojumus bez liekas kavēšanās iesniedz kompetentajām iestādēm un noregulējuma iestādēm.</w:t>
      </w:r>
    </w:p>
    <w:p w14:paraId="48BC6BCC" w14:textId="77777777" w:rsidR="002715E8" w:rsidRPr="002715E8" w:rsidRDefault="002715E8" w:rsidP="002715E8">
      <w:pPr>
        <w:pStyle w:val="Titrearticle"/>
      </w:pPr>
      <w:r w:rsidRPr="002715E8">
        <w:fldChar w:fldCharType="begin"/>
      </w:r>
      <w:r w:rsidRPr="002715E8">
        <w:instrText xml:space="preserve"> SEQ Figure \* ARABIC </w:instrText>
      </w:r>
      <w:r w:rsidRPr="002715E8">
        <w:fldChar w:fldCharType="separate"/>
      </w:r>
      <w:r w:rsidRPr="002715E8">
        <w:t>3</w:t>
      </w:r>
      <w:r w:rsidRPr="002715E8">
        <w:fldChar w:fldCharType="end"/>
      </w:r>
      <w:r w:rsidRPr="002715E8">
        <w:t>. pants</w:t>
      </w:r>
      <w:r w:rsidRPr="002715E8">
        <w:br/>
        <w:t>Noregulējuma vienību individuālās ziņošanas formāts un biežums</w:t>
      </w:r>
    </w:p>
    <w:p w14:paraId="7F8040E8" w14:textId="77777777" w:rsidR="002715E8" w:rsidRPr="002715E8" w:rsidRDefault="002715E8" w:rsidP="00D444EA">
      <w:pPr>
        <w:pStyle w:val="NumPar1"/>
        <w:numPr>
          <w:ilvl w:val="0"/>
          <w:numId w:val="16"/>
        </w:numPr>
        <w:rPr>
          <w:noProof/>
        </w:rPr>
      </w:pPr>
      <w:r w:rsidRPr="002715E8">
        <w:t>Noregulējuma vienības bez meitasuzņēmumiem, uz kurām saskaņā ar Direktīvas 2014/59/ES 45.e pantu attiecas minētās direktīvas 45. pantā noteiktās prasības, kompetentajām iestādēm un noregulējuma iestādēm individuāli iesniedz šādu informāciju:</w:t>
      </w:r>
    </w:p>
    <w:p w14:paraId="7646EF47" w14:textId="77777777" w:rsidR="002715E8" w:rsidRPr="002715E8" w:rsidRDefault="002715E8" w:rsidP="00D444EA">
      <w:pPr>
        <w:pStyle w:val="Point1letter"/>
        <w:numPr>
          <w:ilvl w:val="3"/>
          <w:numId w:val="12"/>
        </w:numPr>
        <w:rPr>
          <w:noProof/>
        </w:rPr>
      </w:pPr>
      <w:r w:rsidRPr="002715E8">
        <w:lastRenderedPageBreak/>
        <w:t>informāciju par galvenajiem rādītājiem, kas norādīti šīs regulas I pielikuma 1. veidnes 0010. slejā, sniedz reizi ceturksnī saskaņā ar norādījumiem šīs regulas II pielikuma II daļas 1. punktā;</w:t>
      </w:r>
    </w:p>
    <w:p w14:paraId="1A565F52" w14:textId="77777777" w:rsidR="002715E8" w:rsidRPr="002715E8" w:rsidRDefault="002715E8" w:rsidP="002715E8">
      <w:pPr>
        <w:pStyle w:val="Point1letter"/>
        <w:rPr>
          <w:noProof/>
        </w:rPr>
      </w:pPr>
      <w:r w:rsidRPr="002715E8">
        <w:t>informāciju par pašu kapitāla un atbilstīgo saistību sastāvu, kā norādīts šīs regulas I pielikuma 2. veidnes 0010. slejā, sniedz reizi ceturksnī saskaņā ar norādījumiem šīs regulas II pielikuma II daļas 2.1. punktā;</w:t>
      </w:r>
    </w:p>
    <w:p w14:paraId="7E938F3F" w14:textId="77777777" w:rsidR="002715E8" w:rsidRPr="002715E8" w:rsidRDefault="002715E8" w:rsidP="002715E8">
      <w:pPr>
        <w:pStyle w:val="Point1letter"/>
        <w:rPr>
          <w:noProof/>
        </w:rPr>
      </w:pPr>
      <w:r w:rsidRPr="002715E8">
        <w:t>informāciju par atbilstīgo saistību finansējuma struktūru, kā noteikts šīs regulas I pielikuma 4. veidnē, sniedz reizi ceturksnī saskaņā ar norādījumiem šīs regulas II pielikuma II daļas 2.3. punktā;</w:t>
      </w:r>
    </w:p>
    <w:p w14:paraId="7DEB6882" w14:textId="77777777" w:rsidR="002715E8" w:rsidRPr="002715E8" w:rsidRDefault="002715E8" w:rsidP="002715E8">
      <w:pPr>
        <w:pStyle w:val="Point1letter"/>
        <w:rPr>
          <w:noProof/>
        </w:rPr>
      </w:pPr>
      <w:r w:rsidRPr="002715E8">
        <w:t>informāciju par instrumentiem, ko reglamentē trešās valsts tiesību akti, kā norādīts šīs regulas I pielikuma 7. veidnē, sniedz reizi ceturksnī saskaņā ar norādījumiem šīs regulas II pielikuma II daļas 4.punktā.</w:t>
      </w:r>
    </w:p>
    <w:p w14:paraId="4B15308C" w14:textId="77777777" w:rsidR="002715E8" w:rsidRPr="002715E8" w:rsidRDefault="002715E8" w:rsidP="002715E8">
      <w:pPr>
        <w:pStyle w:val="NumPar1"/>
        <w:numPr>
          <w:ilvl w:val="0"/>
          <w:numId w:val="1"/>
        </w:numPr>
        <w:rPr>
          <w:noProof/>
        </w:rPr>
      </w:pPr>
      <w:r w:rsidRPr="002715E8">
        <w:t>Noregulējuma vienības kompetentajām iestādēm un noregulējuma iestādēm individuāli sniedz informāciju par pašu kapitāla un saistību sadalījumu pēc maksātnespējas pakāpes, kā noteikts I pielikuma 6. veidnē, reizi ceturksnī saskaņā ar norādījumiem II pielikuma II daļas 3.2. punktā.</w:t>
      </w:r>
    </w:p>
    <w:p w14:paraId="06F4454D" w14:textId="77777777" w:rsidR="002715E8" w:rsidRPr="002715E8" w:rsidRDefault="002715E8" w:rsidP="002715E8">
      <w:pPr>
        <w:pStyle w:val="NumPar1"/>
        <w:numPr>
          <w:ilvl w:val="0"/>
          <w:numId w:val="1"/>
        </w:numPr>
        <w:rPr>
          <w:noProof/>
        </w:rPr>
      </w:pPr>
      <w:r w:rsidRPr="002715E8">
        <w:t>Papildus 1. un 2. punktā minētajai informācijai noregulējuma vienības, uz kurām individuāli attiecas Regulas (ES) Nr. 575/2013 92.a pantā noteiktā prasība saskaņā ar minētās regulas 6. panta 1.a punktu, noregulējuma iestādēm un kompetentajām iestādēm individuāli iesniedz šādu informāciju:</w:t>
      </w:r>
    </w:p>
    <w:p w14:paraId="641357AA" w14:textId="77777777" w:rsidR="002715E8" w:rsidRPr="002715E8" w:rsidRDefault="002715E8" w:rsidP="00D444EA">
      <w:pPr>
        <w:pStyle w:val="Point1letter"/>
        <w:numPr>
          <w:ilvl w:val="3"/>
          <w:numId w:val="13"/>
        </w:numPr>
        <w:rPr>
          <w:noProof/>
        </w:rPr>
      </w:pPr>
      <w:r w:rsidRPr="002715E8">
        <w:t>informāciju par galvenajiem rādītājiem, kas norādīti šīs regulas I pielikuma 1. veidnes 0020. slejā, sniedz reizi ceturksnī saskaņā ar norādījumiem šīs regulas II pielikuma II daļas 1. punktā;</w:t>
      </w:r>
    </w:p>
    <w:p w14:paraId="5516F38B" w14:textId="77777777" w:rsidR="002715E8" w:rsidRPr="002715E8" w:rsidRDefault="002715E8" w:rsidP="002715E8">
      <w:pPr>
        <w:pStyle w:val="Point1letter"/>
        <w:rPr>
          <w:noProof/>
        </w:rPr>
      </w:pPr>
      <w:r w:rsidRPr="002715E8">
        <w:t>informāciju par pašu kapitāla un atbilstīgo saistību sastāvu, kā norādīts šīs regulas I pielikuma 2. veidnes 0020. un 0030. slejā, uzrāda reizi ceturksnī saskaņā ar norādījumiem šīs regulas II pielikuma II daļas 2.1. punktā.</w:t>
      </w:r>
    </w:p>
    <w:p w14:paraId="6C89ECB7" w14:textId="77777777" w:rsidR="002715E8" w:rsidRPr="002715E8" w:rsidRDefault="002715E8" w:rsidP="002715E8">
      <w:pPr>
        <w:pStyle w:val="Titrearticle"/>
      </w:pPr>
      <w:r w:rsidRPr="002715E8">
        <w:fldChar w:fldCharType="begin"/>
      </w:r>
      <w:r w:rsidRPr="002715E8">
        <w:instrText xml:space="preserve"> SEQ Figure \* ARABIC </w:instrText>
      </w:r>
      <w:r w:rsidRPr="002715E8">
        <w:fldChar w:fldCharType="separate"/>
      </w:r>
      <w:r w:rsidRPr="002715E8">
        <w:t>4</w:t>
      </w:r>
      <w:r w:rsidRPr="002715E8">
        <w:fldChar w:fldCharType="end"/>
      </w:r>
      <w:r w:rsidRPr="002715E8">
        <w:t>. pants</w:t>
      </w:r>
      <w:r w:rsidRPr="002715E8">
        <w:br/>
        <w:t>Noregulējuma vienību konsolidētās pārskatu sniegšanas formāts un biežums</w:t>
      </w:r>
    </w:p>
    <w:p w14:paraId="024B24CA" w14:textId="77777777" w:rsidR="002715E8" w:rsidRPr="002715E8" w:rsidRDefault="002715E8" w:rsidP="00D444EA">
      <w:pPr>
        <w:pStyle w:val="NumPar1"/>
        <w:numPr>
          <w:ilvl w:val="0"/>
          <w:numId w:val="17"/>
        </w:numPr>
        <w:rPr>
          <w:noProof/>
        </w:rPr>
      </w:pPr>
      <w:r w:rsidRPr="002715E8">
        <w:t>Noregulējuma vienības, uz kurām saskaņā ar Direktīvas 2014/59/ES 45.e pantu attiecas minētās direktīvas 45. pantā noteiktās prasības, kompetentajām iestādēm un noregulējuma iestādēm konsolidētā veidā iesniedz šādu informāciju:</w:t>
      </w:r>
    </w:p>
    <w:p w14:paraId="17CF1A0C" w14:textId="77777777" w:rsidR="002715E8" w:rsidRPr="002715E8" w:rsidRDefault="002715E8" w:rsidP="00D444EA">
      <w:pPr>
        <w:pStyle w:val="Point1letter"/>
        <w:numPr>
          <w:ilvl w:val="3"/>
          <w:numId w:val="14"/>
        </w:numPr>
        <w:rPr>
          <w:noProof/>
        </w:rPr>
      </w:pPr>
      <w:r w:rsidRPr="002715E8">
        <w:t>informāciju par galvenajiem rādītājiem, kas norādīti šīs regulas I pielikuma 1. veidnes 0010. slejā, sniedz reizi ceturksnī saskaņā ar norādījumiem šīs regulas II pielikuma II daļas 1. punktā;</w:t>
      </w:r>
    </w:p>
    <w:p w14:paraId="7F270ED5" w14:textId="77777777" w:rsidR="002715E8" w:rsidRPr="002715E8" w:rsidRDefault="002715E8" w:rsidP="000E7934">
      <w:pPr>
        <w:pStyle w:val="Point1letter"/>
        <w:numPr>
          <w:ilvl w:val="3"/>
          <w:numId w:val="2"/>
        </w:numPr>
        <w:rPr>
          <w:noProof/>
        </w:rPr>
      </w:pPr>
      <w:r w:rsidRPr="002715E8">
        <w:t>informāciju par pašu kapitāla un atbilstīgo saistību sastāvu, kā norādīts šīs regulas I pielikuma 2. veidnes 0010. slejā, sniedz reizi ceturksnī saskaņā ar norādījumiem šīs regulas II pielikuma II daļas 2.1. punktā;</w:t>
      </w:r>
    </w:p>
    <w:p w14:paraId="1870F55F" w14:textId="77777777" w:rsidR="002715E8" w:rsidRPr="002715E8" w:rsidRDefault="002715E8" w:rsidP="000E7934">
      <w:pPr>
        <w:pStyle w:val="Point1letter"/>
        <w:numPr>
          <w:ilvl w:val="3"/>
          <w:numId w:val="2"/>
        </w:numPr>
        <w:rPr>
          <w:noProof/>
        </w:rPr>
      </w:pPr>
      <w:r w:rsidRPr="002715E8">
        <w:t>informāciju par atbilstīgo saistību finansējuma struktūru, kā noteikts šīs regulas I pielikuma 4. veidnē, sniedz reizi ceturksnī saskaņā ar norādījumiem šīs regulas II pielikuma II daļas 2.3. punktā;</w:t>
      </w:r>
    </w:p>
    <w:p w14:paraId="4081F7E2" w14:textId="77777777" w:rsidR="002715E8" w:rsidRPr="002715E8" w:rsidRDefault="002715E8" w:rsidP="000E7934">
      <w:pPr>
        <w:pStyle w:val="Point1letter"/>
        <w:numPr>
          <w:ilvl w:val="3"/>
          <w:numId w:val="2"/>
        </w:numPr>
        <w:rPr>
          <w:noProof/>
        </w:rPr>
      </w:pPr>
      <w:r w:rsidRPr="002715E8">
        <w:t>informāciju par instrumentiem, ko reglamentē trešās valsts tiesību akti, kā norādīts šīs regulas I pielikuma 7. veidnē, sniedz reizi ceturksnī saskaņā ar norādījumiem šīs regulas II pielikuma II daļas 4.punktā.</w:t>
      </w:r>
    </w:p>
    <w:p w14:paraId="550F5FAF" w14:textId="77777777" w:rsidR="002715E8" w:rsidRPr="002715E8" w:rsidRDefault="002715E8" w:rsidP="002715E8">
      <w:pPr>
        <w:pStyle w:val="NumPar1"/>
        <w:numPr>
          <w:ilvl w:val="0"/>
          <w:numId w:val="1"/>
        </w:numPr>
        <w:rPr>
          <w:noProof/>
        </w:rPr>
      </w:pPr>
      <w:r w:rsidRPr="002715E8">
        <w:lastRenderedPageBreak/>
        <w:t>Papildus 1. punktā minētajai informācijai noregulējuma vienības, uz kurām saskaņā ar Regulas (ES) Nr. 575/2013 11. panta 3.a punktu konsolidēti attiecas minētās regulas 92.a pantā noteiktā prasība, kompetentajām iestādēm un noregulējuma iestādēm konsolidētā veidā iesniedz šādu informāciju:</w:t>
      </w:r>
    </w:p>
    <w:p w14:paraId="49D69A76" w14:textId="77777777" w:rsidR="002715E8" w:rsidRPr="002715E8" w:rsidRDefault="002715E8" w:rsidP="00D444EA">
      <w:pPr>
        <w:pStyle w:val="Point1letter"/>
        <w:numPr>
          <w:ilvl w:val="3"/>
          <w:numId w:val="15"/>
        </w:numPr>
        <w:rPr>
          <w:noProof/>
        </w:rPr>
      </w:pPr>
      <w:r w:rsidRPr="002715E8">
        <w:t>informāciju par galvenajiem rādītājiem, kas norādīti šīs regulas I pielikuma 1. veidnes 0020. slejā, sniedz reizi ceturksnī saskaņā ar norādījumiem šīs regulas II pielikuma II daļas 1. punktā;</w:t>
      </w:r>
    </w:p>
    <w:p w14:paraId="48F06B32" w14:textId="77777777" w:rsidR="002715E8" w:rsidRPr="002715E8" w:rsidRDefault="002715E8" w:rsidP="002715E8">
      <w:pPr>
        <w:pStyle w:val="Point1letter"/>
        <w:rPr>
          <w:noProof/>
        </w:rPr>
      </w:pPr>
      <w:r w:rsidRPr="002715E8">
        <w:t>informāciju par pašu kapitāla un atbilstīgo saistību sastāvu, kā norādīts šīs regulas I pielikuma 2. veidnes 0020. un 0030. slejā, uzrāda reizi ceturksnī saskaņā ar norādījumiem šīs regulas II pielikuma II daļas 2.1. punktā.</w:t>
      </w:r>
    </w:p>
    <w:p w14:paraId="4A4D3E32" w14:textId="77777777" w:rsidR="002715E8" w:rsidRPr="002715E8" w:rsidRDefault="002715E8" w:rsidP="002715E8">
      <w:pPr>
        <w:pStyle w:val="Titrearticle"/>
      </w:pPr>
      <w:r w:rsidRPr="002715E8">
        <w:fldChar w:fldCharType="begin"/>
      </w:r>
      <w:r w:rsidRPr="002715E8">
        <w:instrText xml:space="preserve"> SEQ Figure \* ARABIC </w:instrText>
      </w:r>
      <w:r w:rsidRPr="002715E8">
        <w:fldChar w:fldCharType="separate"/>
      </w:r>
      <w:r w:rsidRPr="002715E8">
        <w:t>5</w:t>
      </w:r>
      <w:r w:rsidRPr="002715E8">
        <w:fldChar w:fldCharType="end"/>
      </w:r>
      <w:r w:rsidRPr="002715E8">
        <w:t>. pants</w:t>
      </w:r>
      <w:r w:rsidRPr="002715E8">
        <w:br/>
        <w:t>Individuālas pārskatu sniegšanas formāts un biežums vienībām, kas pašas nav noregulējuma vienības, un ārpussavienības globāli sistēmiski nozīmīgu iestāžu būtiskiem meitasuzņēmumiem</w:t>
      </w:r>
    </w:p>
    <w:p w14:paraId="1057E6A0" w14:textId="77777777" w:rsidR="002715E8" w:rsidRPr="002715E8" w:rsidRDefault="002715E8" w:rsidP="00D444EA">
      <w:pPr>
        <w:pStyle w:val="NumPar1"/>
        <w:numPr>
          <w:ilvl w:val="0"/>
          <w:numId w:val="18"/>
        </w:numPr>
        <w:rPr>
          <w:noProof/>
        </w:rPr>
      </w:pPr>
      <w:r w:rsidRPr="002715E8">
        <w:t>Vienības, kas pašas nav noregulējuma vienības un uz kurām individuāli attiecas Direktīvas 2014/59/ES 45. pantā noteiktās prasības saskaņā ar minētās direktīvas 45.f pantu, kompetentajām iestādēm un noregulējuma iestādēm individuāli iesniedz šādu informāciju:</w:t>
      </w:r>
    </w:p>
    <w:p w14:paraId="17372F2A" w14:textId="77777777" w:rsidR="002715E8" w:rsidRPr="002715E8" w:rsidRDefault="002715E8" w:rsidP="00D444EA">
      <w:pPr>
        <w:pStyle w:val="Point1letter"/>
        <w:numPr>
          <w:ilvl w:val="3"/>
          <w:numId w:val="19"/>
        </w:numPr>
        <w:rPr>
          <w:noProof/>
        </w:rPr>
      </w:pPr>
      <w:r w:rsidRPr="002715E8">
        <w:t>informāciju par pašu kapitāla un atbilstīgo saistību summu un sastāvu, kā norādīts šīs regulas I pielikuma 3. veidnes 0010. slejā, sniedz reizi ceturksnī saskaņā ar norādījumiem šīs regulas II pielikuma II daļas 2.2. punktā;</w:t>
      </w:r>
    </w:p>
    <w:p w14:paraId="3B192A16" w14:textId="77777777" w:rsidR="002715E8" w:rsidRPr="002715E8" w:rsidRDefault="002715E8" w:rsidP="000E7934">
      <w:pPr>
        <w:pStyle w:val="Point1letter"/>
        <w:numPr>
          <w:ilvl w:val="3"/>
          <w:numId w:val="2"/>
        </w:numPr>
        <w:rPr>
          <w:noProof/>
        </w:rPr>
      </w:pPr>
      <w:r w:rsidRPr="002715E8">
        <w:t>informāciju par atbilstīgo saistību finansējuma struktūru, kā noteikts šīs regulas I pielikuma 4. veidnē, sniedz reizi ceturksnī saskaņā ar norādījumiem šīs regulas II pielikuma II daļas 2.3. punktā;</w:t>
      </w:r>
    </w:p>
    <w:p w14:paraId="4F7060F0" w14:textId="77777777" w:rsidR="002715E8" w:rsidRPr="002715E8" w:rsidRDefault="002715E8" w:rsidP="000E7934">
      <w:pPr>
        <w:pStyle w:val="Point1letter"/>
        <w:numPr>
          <w:ilvl w:val="3"/>
          <w:numId w:val="2"/>
        </w:numPr>
        <w:rPr>
          <w:noProof/>
        </w:rPr>
      </w:pPr>
      <w:r w:rsidRPr="002715E8">
        <w:t>informāciju par instrumentiem, ko reglamentē trešās valsts tiesību akti, kā norādīts šīs regulas I pielikuma 7. veidnē, sniedz reizi ceturksnī saskaņā ar norādījumiem šīs regulas II pielikuma II daļas 4.punktā.</w:t>
      </w:r>
    </w:p>
    <w:p w14:paraId="2543B3F3" w14:textId="77777777" w:rsidR="002715E8" w:rsidRPr="002715E8" w:rsidRDefault="002715E8" w:rsidP="002715E8">
      <w:pPr>
        <w:pStyle w:val="NumPar1"/>
        <w:numPr>
          <w:ilvl w:val="0"/>
          <w:numId w:val="1"/>
        </w:numPr>
        <w:rPr>
          <w:noProof/>
        </w:rPr>
      </w:pPr>
      <w:r w:rsidRPr="002715E8">
        <w:t>Vienības, kas pašas nav noregulējuma vienības, kompetentajām iestādēm un noregulējuma iestādēm individuāli iesniedz informāciju par pašu kapitāla un saistību sadalījumu pēc maksātnespējas pakāpes, kā noteikts I pielikuma 5. veidnē, reizi ceturksnī saskaņā ar norādījumiem II pielikuma II daļas 3.1. punktā.</w:t>
      </w:r>
    </w:p>
    <w:p w14:paraId="315B462C" w14:textId="77777777" w:rsidR="002715E8" w:rsidRPr="002715E8" w:rsidRDefault="002715E8" w:rsidP="002715E8">
      <w:pPr>
        <w:pStyle w:val="NumPar1"/>
        <w:numPr>
          <w:ilvl w:val="0"/>
          <w:numId w:val="1"/>
        </w:numPr>
        <w:rPr>
          <w:noProof/>
        </w:rPr>
      </w:pPr>
      <w:r w:rsidRPr="002715E8">
        <w:t>Papildus informācijai, kas minēta 1. un 2. punktā, vienības, kas ir ārpussavienības globālu sistēmiski nozīmīgu iestāžu (G-SNI) būtiski meitasuzņēmumi un uz kurām individuāli attiecas Regulas (ES) Nr. 575/2013 92.b pantā noteiktā prasība saskaņā ar minētās regulas 6. panta 1.a punktu, kompetentajām iestādēm un noregulējuma iestādēm individuāli iesniedz informāciju par pašu kapitāla un atbilstīgo saistību summu un sastāvu, kā norādīts šīs regulas II pielikuma 3. veidnes 0020. slejā, reizi ceturksnī saskaņā ar norādījumiem šīs regulas II pielikuma II daļas 2.2. punktā.</w:t>
      </w:r>
    </w:p>
    <w:p w14:paraId="159FD81C" w14:textId="77777777" w:rsidR="002715E8" w:rsidRPr="002715E8" w:rsidRDefault="002715E8" w:rsidP="002715E8">
      <w:pPr>
        <w:pStyle w:val="Titrearticle"/>
      </w:pPr>
      <w:r w:rsidRPr="002715E8">
        <w:fldChar w:fldCharType="begin"/>
      </w:r>
      <w:r w:rsidRPr="002715E8">
        <w:instrText xml:space="preserve"> SEQ Figure \* ARABIC </w:instrText>
      </w:r>
      <w:r w:rsidRPr="002715E8">
        <w:fldChar w:fldCharType="separate"/>
      </w:r>
      <w:r w:rsidRPr="002715E8">
        <w:t>6</w:t>
      </w:r>
      <w:r w:rsidRPr="002715E8">
        <w:fldChar w:fldCharType="end"/>
      </w:r>
      <w:r w:rsidRPr="002715E8">
        <w:t>. pants</w:t>
      </w:r>
      <w:r w:rsidRPr="002715E8">
        <w:br/>
        <w:t xml:space="preserve">Vienību, kas pašas nav noregulējuma vienības, un ārpussavienības globālu sistēmiski nozīmīgu iestāžu būtisku meitasuzņēmumu konsolidētas pārskatu sniegšanas formāts un biežums </w:t>
      </w:r>
    </w:p>
    <w:p w14:paraId="303260A5" w14:textId="77777777" w:rsidR="002715E8" w:rsidRPr="002715E8" w:rsidRDefault="002715E8" w:rsidP="00D444EA">
      <w:pPr>
        <w:pStyle w:val="NumPar1"/>
        <w:numPr>
          <w:ilvl w:val="0"/>
          <w:numId w:val="20"/>
        </w:numPr>
        <w:rPr>
          <w:noProof/>
        </w:rPr>
      </w:pPr>
      <w:r w:rsidRPr="002715E8">
        <w:t xml:space="preserve">Vienības, kas pašas nav noregulējuma vienības un uz kurām konsolidēti attiecas Direktīvas 2014/59/ES 45. pantā noteiktās prasības saskaņā ar minētās direktīvas 45.f </w:t>
      </w:r>
      <w:r w:rsidRPr="002715E8">
        <w:lastRenderedPageBreak/>
        <w:t>pantu, kompetentajām iestādēm un noregulējuma iestādēm konsolidētā veidā iesniedz šādu informāciju:</w:t>
      </w:r>
    </w:p>
    <w:p w14:paraId="17B275CE" w14:textId="77777777" w:rsidR="002715E8" w:rsidRPr="002715E8" w:rsidRDefault="002715E8" w:rsidP="00D444EA">
      <w:pPr>
        <w:pStyle w:val="Point1letter"/>
        <w:numPr>
          <w:ilvl w:val="3"/>
          <w:numId w:val="21"/>
        </w:numPr>
        <w:rPr>
          <w:noProof/>
        </w:rPr>
      </w:pPr>
      <w:r w:rsidRPr="002715E8">
        <w:t>informāciju par pašu kapitāla un atbilstīgo saistību summu un sastāvu, kā norādīts šīs regulas I pielikuma 3. veidnes 0010. slejā, sniedz reizi ceturksnī saskaņā ar norādījumiem šīs regulas II pielikuma II daļas 2.2. punktā;</w:t>
      </w:r>
    </w:p>
    <w:p w14:paraId="345E2DD6" w14:textId="77777777" w:rsidR="002715E8" w:rsidRPr="002715E8" w:rsidRDefault="002715E8" w:rsidP="002715E8">
      <w:pPr>
        <w:pStyle w:val="Point1letter"/>
        <w:rPr>
          <w:noProof/>
        </w:rPr>
      </w:pPr>
      <w:r w:rsidRPr="002715E8">
        <w:t>informāciju par atbilstīgo saistību finansējuma struktūru, kā noteikts šīs regulas I pielikuma 4. veidnē, sniedz reizi ceturksnī saskaņā ar norādījumiem šīs regulas II pielikuma II daļas 2.3. punktā;</w:t>
      </w:r>
    </w:p>
    <w:p w14:paraId="1C1147F5" w14:textId="77777777" w:rsidR="002715E8" w:rsidRPr="002715E8" w:rsidRDefault="002715E8" w:rsidP="002715E8">
      <w:pPr>
        <w:pStyle w:val="Point1letter"/>
        <w:rPr>
          <w:noProof/>
        </w:rPr>
      </w:pPr>
      <w:r w:rsidRPr="002715E8">
        <w:t>informāciju par instrumentiem, ko reglamentē trešās valsts tiesību akti, kā norādīts šīs regulas I pielikuma 7. veidnē, sniedz reizi ceturksnī saskaņā ar norādījumiem šīs regulas II pielikuma II daļas 4.punktā.</w:t>
      </w:r>
    </w:p>
    <w:p w14:paraId="5E0233FB" w14:textId="77777777" w:rsidR="002715E8" w:rsidRPr="002715E8" w:rsidRDefault="002715E8" w:rsidP="002715E8">
      <w:pPr>
        <w:pStyle w:val="NumPar1"/>
        <w:numPr>
          <w:ilvl w:val="0"/>
          <w:numId w:val="1"/>
        </w:numPr>
        <w:rPr>
          <w:noProof/>
        </w:rPr>
      </w:pPr>
      <w:r w:rsidRPr="002715E8">
        <w:t>Papildus 1. punktā minētajai informācijai vienības, kas ir ārpussavienības G-SNI būtiski meitasuzņēmumi un uz kurām konsolidēti attiecas Regulas (ES) Nr. 575/2013 92.b pantā noteiktā prasība saskaņā ar minētās regulas 11. panta 3.a punktu, kompetentajām iestādēm un noregulējuma iestādēm konsolidēti iesniedz informāciju par pašu kapitāla un atbilstīgo saistību summu un sastāvu, kā noteikts šīs regulas I pielikuma 3. veidnes 0020. slejā, reizi ceturksnī saskaņā ar šīs regulas II pielikuma II daļas 2.2. punktu.</w:t>
      </w:r>
    </w:p>
    <w:p w14:paraId="159103F2" w14:textId="77777777" w:rsidR="002715E8" w:rsidRPr="002715E8" w:rsidRDefault="002715E8" w:rsidP="002715E8">
      <w:pPr>
        <w:pStyle w:val="Titrearticle"/>
        <w:rPr>
          <w:i w:val="0"/>
        </w:rPr>
      </w:pPr>
      <w:r w:rsidRPr="002715E8">
        <w:t xml:space="preserve"> </w:t>
      </w:r>
      <w:r w:rsidRPr="002715E8">
        <w:fldChar w:fldCharType="begin"/>
      </w:r>
      <w:r w:rsidRPr="002715E8">
        <w:instrText xml:space="preserve"> SEQ Figure \* ARABIC </w:instrText>
      </w:r>
      <w:r w:rsidRPr="002715E8">
        <w:fldChar w:fldCharType="separate"/>
      </w:r>
      <w:r w:rsidRPr="002715E8">
        <w:t>7</w:t>
      </w:r>
      <w:r w:rsidRPr="002715E8">
        <w:fldChar w:fldCharType="end"/>
      </w:r>
      <w:r w:rsidRPr="002715E8">
        <w:t xml:space="preserve"> pants</w:t>
      </w:r>
      <w:r w:rsidRPr="002715E8">
        <w:br/>
        <w:t>Datu apmaiņas formāti un kopā ar pārskatiem norādāmā informācija</w:t>
      </w:r>
    </w:p>
    <w:p w14:paraId="775113A2" w14:textId="77777777" w:rsidR="002715E8" w:rsidRPr="002715E8" w:rsidRDefault="002715E8" w:rsidP="00D444EA">
      <w:pPr>
        <w:pStyle w:val="NumPar1"/>
        <w:numPr>
          <w:ilvl w:val="0"/>
          <w:numId w:val="22"/>
        </w:numPr>
        <w:rPr>
          <w:noProof/>
        </w:rPr>
      </w:pPr>
      <w:r w:rsidRPr="002715E8">
        <w:t>Pārskatu sniedzējas vienības iesniedz informāciju saskaņā ar šo regulu datu apmaiņas formātos un atveidojumos, ko noteikušas to kompetentās iestādes vai noregulējuma iestādes, un saskaņā ar datu punktu definīcijām, kas iekļautas datu punktu modelī, un validācijas noteikumiem, kas izklāstīti šīs regulas III pielikumā.</w:t>
      </w:r>
    </w:p>
    <w:p w14:paraId="7C6B1AF2" w14:textId="77777777" w:rsidR="002715E8" w:rsidRPr="002715E8" w:rsidRDefault="002715E8" w:rsidP="002715E8">
      <w:pPr>
        <w:pStyle w:val="NumPar1"/>
        <w:numPr>
          <w:ilvl w:val="0"/>
          <w:numId w:val="1"/>
        </w:numPr>
        <w:rPr>
          <w:noProof/>
        </w:rPr>
      </w:pPr>
      <w:r w:rsidRPr="002715E8">
        <w:t>Iesniedzot informāciju saskaņā ar šo regulu, pārskatu sniedzējas vienības ievēro šādus nosacījumus:</w:t>
      </w:r>
    </w:p>
    <w:p w14:paraId="33F5A1BD" w14:textId="77777777" w:rsidR="002715E8" w:rsidRPr="002715E8" w:rsidRDefault="002715E8" w:rsidP="00D444EA">
      <w:pPr>
        <w:pStyle w:val="Point1letter"/>
        <w:numPr>
          <w:ilvl w:val="3"/>
          <w:numId w:val="23"/>
        </w:numPr>
        <w:rPr>
          <w:noProof/>
        </w:rPr>
      </w:pPr>
      <w:r w:rsidRPr="002715E8">
        <w:t xml:space="preserve">informāciju, kas nav prasīta vai uz konkrēto iestādi neattiecas, nosūtamajos datos neiekļauj; </w:t>
      </w:r>
    </w:p>
    <w:p w14:paraId="714A91D2" w14:textId="77777777" w:rsidR="002715E8" w:rsidRPr="002715E8" w:rsidRDefault="002715E8" w:rsidP="002715E8">
      <w:pPr>
        <w:pStyle w:val="Point1letter"/>
        <w:rPr>
          <w:noProof/>
        </w:rPr>
      </w:pPr>
      <w:r w:rsidRPr="002715E8">
        <w:t>skaitliskās vērtības iesniedz šādi:</w:t>
      </w:r>
    </w:p>
    <w:p w14:paraId="54C90E0A" w14:textId="77777777" w:rsidR="002715E8" w:rsidRPr="002715E8" w:rsidRDefault="002715E8" w:rsidP="002715E8">
      <w:pPr>
        <w:pStyle w:val="Point2"/>
      </w:pPr>
      <w:r w:rsidRPr="002715E8">
        <w:t>i)</w:t>
      </w:r>
      <w:r w:rsidRPr="002715E8">
        <w:tab/>
        <w:t xml:space="preserve">datu punktus ar datu tipu “monetārs” uzrāda, izmantojot minimuma precizitāti, kas ir tūkstoš vienību; </w:t>
      </w:r>
    </w:p>
    <w:p w14:paraId="402C6D13" w14:textId="77777777" w:rsidR="002715E8" w:rsidRPr="002715E8" w:rsidRDefault="002715E8" w:rsidP="002715E8">
      <w:pPr>
        <w:pStyle w:val="Point2"/>
      </w:pPr>
      <w:r w:rsidRPr="002715E8">
        <w:t>ii)</w:t>
      </w:r>
      <w:r w:rsidRPr="002715E8">
        <w:tab/>
        <w:t xml:space="preserve">datu punktus ar datu tipu “procenti” izsaka relatīvajās vienībās ar minimuma precizitāti, kas izteikta ar četriem cipariem aiz komata; </w:t>
      </w:r>
    </w:p>
    <w:p w14:paraId="03614AC5" w14:textId="77777777" w:rsidR="002715E8" w:rsidRPr="002715E8" w:rsidRDefault="002715E8" w:rsidP="002715E8">
      <w:pPr>
        <w:pStyle w:val="Point2"/>
      </w:pPr>
      <w:r w:rsidRPr="002715E8">
        <w:t>iii)</w:t>
      </w:r>
      <w:r w:rsidRPr="002715E8">
        <w:tab/>
        <w:t>datu punktus ar datu tipu “vesels skaitlis” uzrāda bez cipariem aiz komata un ar precizitāti, kas ir viens;</w:t>
      </w:r>
    </w:p>
    <w:p w14:paraId="467E2B60" w14:textId="77777777" w:rsidR="002715E8" w:rsidRPr="002715E8" w:rsidRDefault="002715E8" w:rsidP="002715E8">
      <w:pPr>
        <w:pStyle w:val="Point1letter"/>
        <w:rPr>
          <w:noProof/>
        </w:rPr>
      </w:pPr>
      <w:r w:rsidRPr="002715E8">
        <w:t>iestādes identificē tikai pēc to juridiskās personas identifikatora (</w:t>
      </w:r>
      <w:r w:rsidRPr="002715E8">
        <w:rPr>
          <w:i/>
        </w:rPr>
        <w:t>LEI</w:t>
      </w:r>
      <w:r w:rsidRPr="002715E8">
        <w:t>). Juridiskās personas un darījumu partnerus, kas nav iestādes, identificē pēc to</w:t>
      </w:r>
      <w:r w:rsidRPr="002715E8">
        <w:rPr>
          <w:i/>
        </w:rPr>
        <w:t xml:space="preserve"> LEI</w:t>
      </w:r>
      <w:r w:rsidRPr="002715E8">
        <w:t>, ja tas ir pieejams.</w:t>
      </w:r>
    </w:p>
    <w:p w14:paraId="7152EA79" w14:textId="77777777" w:rsidR="002715E8" w:rsidRPr="002715E8" w:rsidRDefault="002715E8" w:rsidP="002715E8">
      <w:pPr>
        <w:pStyle w:val="NumPar1"/>
        <w:numPr>
          <w:ilvl w:val="0"/>
          <w:numId w:val="1"/>
        </w:numPr>
        <w:rPr>
          <w:noProof/>
        </w:rPr>
      </w:pPr>
      <w:r w:rsidRPr="002715E8">
        <w:t>Informācijai, ko saskaņā ar šo regulu iesniegušas pārskatu sniedzējas vienības, pievieno šādu informāciju:</w:t>
      </w:r>
    </w:p>
    <w:p w14:paraId="14FA13AE" w14:textId="77777777" w:rsidR="002715E8" w:rsidRPr="002715E8" w:rsidRDefault="002715E8" w:rsidP="00D444EA">
      <w:pPr>
        <w:pStyle w:val="Point1letter"/>
        <w:numPr>
          <w:ilvl w:val="3"/>
          <w:numId w:val="24"/>
        </w:numPr>
        <w:rPr>
          <w:noProof/>
        </w:rPr>
      </w:pPr>
      <w:r w:rsidRPr="002715E8">
        <w:t>pārskatu atsauces datums un atsauces periods;</w:t>
      </w:r>
    </w:p>
    <w:p w14:paraId="214E322C" w14:textId="0923CD03" w:rsidR="00562575" w:rsidRPr="002715E8" w:rsidRDefault="002715E8" w:rsidP="000F6C97">
      <w:pPr>
        <w:pStyle w:val="Point1letter"/>
        <w:rPr>
          <w:noProof/>
        </w:rPr>
      </w:pPr>
      <w:r w:rsidRPr="002715E8">
        <w:t>pārskatu sniegšanas valūta;</w:t>
      </w:r>
    </w:p>
    <w:p w14:paraId="7E0415FD" w14:textId="77777777" w:rsidR="002715E8" w:rsidRPr="002715E8" w:rsidRDefault="002715E8" w:rsidP="002715E8">
      <w:pPr>
        <w:pStyle w:val="Point1letter"/>
        <w:rPr>
          <w:noProof/>
        </w:rPr>
      </w:pPr>
      <w:r w:rsidRPr="002715E8">
        <w:lastRenderedPageBreak/>
        <w:t>grāmatvedības standarts;</w:t>
      </w:r>
    </w:p>
    <w:p w14:paraId="7DCC75AE" w14:textId="77777777" w:rsidR="002715E8" w:rsidRPr="002715E8" w:rsidRDefault="002715E8" w:rsidP="002715E8">
      <w:pPr>
        <w:pStyle w:val="Point1letter"/>
        <w:rPr>
          <w:noProof/>
        </w:rPr>
      </w:pPr>
      <w:r w:rsidRPr="002715E8">
        <w:t>pārskatus sniedzošās iestādes juridiskās personas identifikators (</w:t>
      </w:r>
      <w:r w:rsidRPr="002715E8">
        <w:rPr>
          <w:i/>
        </w:rPr>
        <w:t>LEI</w:t>
      </w:r>
      <w:r w:rsidRPr="002715E8">
        <w:t>);</w:t>
      </w:r>
    </w:p>
    <w:p w14:paraId="27CB8E45" w14:textId="77777777" w:rsidR="002715E8" w:rsidRPr="002715E8" w:rsidRDefault="002715E8" w:rsidP="002715E8">
      <w:pPr>
        <w:pStyle w:val="Point1letter"/>
        <w:rPr>
          <w:noProof/>
        </w:rPr>
      </w:pPr>
      <w:r w:rsidRPr="002715E8">
        <w:tab/>
        <w:t>konsolidācijas tvērums.</w:t>
      </w:r>
    </w:p>
    <w:p w14:paraId="471DC2DC" w14:textId="77777777" w:rsidR="002715E8" w:rsidRPr="002715E8" w:rsidRDefault="002715E8" w:rsidP="002715E8">
      <w:pPr>
        <w:pStyle w:val="Titrearticle"/>
      </w:pPr>
      <w:r w:rsidRPr="002715E8">
        <w:fldChar w:fldCharType="begin"/>
      </w:r>
      <w:r w:rsidRPr="002715E8">
        <w:instrText xml:space="preserve"> SEQ Figure \* ARABIC </w:instrText>
      </w:r>
      <w:r w:rsidRPr="002715E8">
        <w:fldChar w:fldCharType="separate"/>
      </w:r>
      <w:r w:rsidRPr="002715E8">
        <w:t>8</w:t>
      </w:r>
      <w:r w:rsidRPr="002715E8">
        <w:fldChar w:fldCharType="end"/>
      </w:r>
      <w:r w:rsidRPr="002715E8">
        <w:t>. pants</w:t>
      </w:r>
      <w:r w:rsidRPr="002715E8">
        <w:br/>
        <w:t>Maksātnespējas pakāpju standartizēts izklāsts</w:t>
      </w:r>
    </w:p>
    <w:p w14:paraId="5BC94AEF" w14:textId="77777777" w:rsidR="002715E8" w:rsidRPr="002715E8" w:rsidRDefault="002715E8" w:rsidP="00D444EA">
      <w:pPr>
        <w:pStyle w:val="NumPar1"/>
        <w:numPr>
          <w:ilvl w:val="0"/>
          <w:numId w:val="25"/>
        </w:numPr>
        <w:rPr>
          <w:noProof/>
        </w:rPr>
      </w:pPr>
      <w:r w:rsidRPr="002715E8">
        <w:t>Noregulējuma iestādes IV pielikumā noteiktajā standartizētajā formātā apkopo informāciju par posteņu prioritāti valsts maksātnespējas procedūrās. Ja izmaiņas notiek bez liekas kavēšanās, tās atjaunina minēto informāciju.</w:t>
      </w:r>
    </w:p>
    <w:p w14:paraId="544CAAEF" w14:textId="77777777" w:rsidR="002715E8" w:rsidRPr="002715E8" w:rsidRDefault="002715E8" w:rsidP="002715E8">
      <w:pPr>
        <w:pStyle w:val="NumPar1"/>
        <w:numPr>
          <w:ilvl w:val="0"/>
          <w:numId w:val="1"/>
        </w:numPr>
        <w:rPr>
          <w:noProof/>
        </w:rPr>
      </w:pPr>
      <w:r w:rsidRPr="002715E8">
        <w:t>Noregulējuma iestādes publicē 1. punktā minēto informāciju, lai to darītu pieejamu iestādēm, uz kurām attiecas to uzraudzība.</w:t>
      </w:r>
    </w:p>
    <w:p w14:paraId="1C46732F" w14:textId="77777777" w:rsidR="002715E8" w:rsidRPr="002715E8" w:rsidRDefault="002715E8" w:rsidP="002715E8">
      <w:pPr>
        <w:pStyle w:val="SectionTitle"/>
        <w:rPr>
          <w:b w:val="0"/>
          <w:i/>
        </w:rPr>
      </w:pPr>
      <w:r w:rsidRPr="002715E8">
        <w:rPr>
          <w:b w:val="0"/>
          <w:i/>
        </w:rPr>
        <w:t>II SADAĻA</w:t>
      </w:r>
      <w:r w:rsidRPr="002715E8">
        <w:t xml:space="preserve"> </w:t>
      </w:r>
      <w:r w:rsidRPr="002715E8">
        <w:br/>
      </w:r>
      <w:r w:rsidRPr="002715E8">
        <w:rPr>
          <w:b w:val="0"/>
          <w:i/>
        </w:rPr>
        <w:t>IESTĀŽU VEIKTA PUBLISKA INFORMĀCIJAS ATKLĀŠANA</w:t>
      </w:r>
    </w:p>
    <w:p w14:paraId="55BD9C2D" w14:textId="77777777" w:rsidR="002715E8" w:rsidRPr="002715E8" w:rsidRDefault="002715E8" w:rsidP="002715E8">
      <w:pPr>
        <w:pStyle w:val="Titrearticle"/>
      </w:pPr>
      <w:r w:rsidRPr="002715E8">
        <w:fldChar w:fldCharType="begin"/>
      </w:r>
      <w:r w:rsidRPr="002715E8">
        <w:instrText xml:space="preserve"> SEQ Figure \* ARABIC </w:instrText>
      </w:r>
      <w:r w:rsidRPr="002715E8">
        <w:fldChar w:fldCharType="separate"/>
      </w:r>
      <w:r w:rsidRPr="002715E8">
        <w:t>9</w:t>
      </w:r>
      <w:r w:rsidRPr="002715E8">
        <w:fldChar w:fldCharType="end"/>
      </w:r>
      <w:r w:rsidRPr="002715E8">
        <w:t>. pants</w:t>
      </w:r>
      <w:r w:rsidRPr="002715E8">
        <w:br/>
        <w:t>Informācijas atklāšanas biežums un atklāšanas datumi</w:t>
      </w:r>
    </w:p>
    <w:p w14:paraId="661D5CD6" w14:textId="77777777" w:rsidR="002715E8" w:rsidRPr="002715E8" w:rsidRDefault="002715E8" w:rsidP="00D444EA">
      <w:pPr>
        <w:pStyle w:val="NumPar1"/>
        <w:numPr>
          <w:ilvl w:val="0"/>
          <w:numId w:val="26"/>
        </w:numPr>
        <w:rPr>
          <w:noProof/>
        </w:rPr>
      </w:pPr>
      <w:r w:rsidRPr="002715E8">
        <w:t>Informāciju, kas minēta 10. panta 1. punktā, atklāj reizi ceturksnī. Informāciju, kas minēta 10. panta 2. punktā, atklāj reizi pusgadā.</w:t>
      </w:r>
    </w:p>
    <w:p w14:paraId="0F7F6C90" w14:textId="77777777" w:rsidR="002715E8" w:rsidRPr="002715E8" w:rsidRDefault="002715E8" w:rsidP="002715E8">
      <w:pPr>
        <w:pStyle w:val="NumPar1"/>
        <w:rPr>
          <w:noProof/>
        </w:rPr>
      </w:pPr>
      <w:r w:rsidRPr="002715E8">
        <w:t xml:space="preserve">Informāciju, kas minēta </w:t>
      </w:r>
      <w:r w:rsidRPr="002715E8">
        <w:fldChar w:fldCharType="begin"/>
      </w:r>
      <w:r w:rsidRPr="002715E8">
        <w:instrText xml:space="preserve"> REF _Ref21450145 \# 0 \h  \* MERGEFORMAT </w:instrText>
      </w:r>
      <w:r w:rsidRPr="002715E8">
        <w:fldChar w:fldCharType="separate"/>
      </w:r>
      <w:r w:rsidRPr="002715E8">
        <w:t>11</w:t>
      </w:r>
      <w:r w:rsidRPr="002715E8">
        <w:fldChar w:fldCharType="end"/>
      </w:r>
      <w:r w:rsidRPr="002715E8">
        <w:t xml:space="preserve">. panta 1. punktā un </w:t>
      </w:r>
      <w:r w:rsidRPr="002715E8">
        <w:fldChar w:fldCharType="begin"/>
      </w:r>
      <w:r w:rsidRPr="002715E8">
        <w:instrText xml:space="preserve"> REF _Ref21087242 \# 0 \h  \* MERGEFORMAT </w:instrText>
      </w:r>
      <w:r w:rsidRPr="002715E8">
        <w:fldChar w:fldCharType="separate"/>
      </w:r>
      <w:r w:rsidRPr="002715E8">
        <w:t>14</w:t>
      </w:r>
      <w:r w:rsidRPr="002715E8">
        <w:fldChar w:fldCharType="end"/>
      </w:r>
      <w:r w:rsidRPr="002715E8">
        <w:t xml:space="preserve">. panta 1. punktā, atklāj reizi pusgadā. Informāciju, kas minēta </w:t>
      </w:r>
      <w:r w:rsidRPr="002715E8">
        <w:fldChar w:fldCharType="begin"/>
      </w:r>
      <w:r w:rsidRPr="002715E8">
        <w:instrText xml:space="preserve"> REF _Ref21450145 \# 0 \h  \* MERGEFORMAT </w:instrText>
      </w:r>
      <w:r w:rsidRPr="002715E8">
        <w:fldChar w:fldCharType="separate"/>
      </w:r>
      <w:r w:rsidRPr="002715E8">
        <w:t>11</w:t>
      </w:r>
      <w:r w:rsidRPr="002715E8">
        <w:fldChar w:fldCharType="end"/>
      </w:r>
      <w:r w:rsidRPr="002715E8">
        <w:t>. panta 2. punktā un 14. panta 2. punktā, atklāj katru gadu.</w:t>
      </w:r>
    </w:p>
    <w:p w14:paraId="26749C97" w14:textId="77777777" w:rsidR="002715E8" w:rsidRPr="002715E8" w:rsidRDefault="002715E8" w:rsidP="002715E8">
      <w:pPr>
        <w:pStyle w:val="NumPar1"/>
        <w:rPr>
          <w:noProof/>
        </w:rPr>
      </w:pPr>
      <w:r w:rsidRPr="002715E8">
        <w:t>Informāciju, kas minēta 12. panta 1. punktā, atklāj reizi ceturksnī. Informāciju, kas minēta 12. panta 2. punktā, atklāj reizi pusgadā.</w:t>
      </w:r>
    </w:p>
    <w:p w14:paraId="62A8233F" w14:textId="77777777" w:rsidR="002715E8" w:rsidRPr="002715E8" w:rsidRDefault="002715E8" w:rsidP="002715E8">
      <w:pPr>
        <w:pStyle w:val="NumPar1"/>
        <w:rPr>
          <w:noProof/>
        </w:rPr>
      </w:pPr>
      <w:r w:rsidRPr="002715E8">
        <w:t>Informāciju, kas minēta 13. panta 1. punktā, atklāj reizi pusgadā. Informāciju, kas minēta 13. panta 2. punktā, atklāj katru gadu.</w:t>
      </w:r>
    </w:p>
    <w:p w14:paraId="675D1248" w14:textId="77777777" w:rsidR="002715E8" w:rsidRPr="002715E8" w:rsidRDefault="002715E8" w:rsidP="002715E8">
      <w:pPr>
        <w:pStyle w:val="NumPar1"/>
        <w:rPr>
          <w:noProof/>
        </w:rPr>
      </w:pPr>
      <w:r w:rsidRPr="002715E8">
        <w:t xml:space="preserve">Informāciju, kas minēta </w:t>
      </w:r>
      <w:r w:rsidRPr="002715E8">
        <w:fldChar w:fldCharType="begin"/>
      </w:r>
      <w:r w:rsidRPr="002715E8">
        <w:instrText xml:space="preserve"> REF _Ref21087218 \# 0 \h  \* MERGEFORMAT </w:instrText>
      </w:r>
      <w:r w:rsidRPr="002715E8">
        <w:fldChar w:fldCharType="separate"/>
      </w:r>
      <w:r w:rsidRPr="002715E8">
        <w:t>15</w:t>
      </w:r>
      <w:r w:rsidRPr="002715E8">
        <w:fldChar w:fldCharType="end"/>
      </w:r>
      <w:r w:rsidRPr="002715E8">
        <w:t>. pantā, atklāj šādi:</w:t>
      </w:r>
    </w:p>
    <w:p w14:paraId="789351A8" w14:textId="77777777" w:rsidR="002715E8" w:rsidRPr="002715E8" w:rsidRDefault="002715E8" w:rsidP="00D444EA">
      <w:pPr>
        <w:pStyle w:val="Point1letter"/>
        <w:numPr>
          <w:ilvl w:val="3"/>
          <w:numId w:val="27"/>
        </w:numPr>
        <w:rPr>
          <w:noProof/>
        </w:rPr>
      </w:pPr>
      <w:r w:rsidRPr="002715E8">
        <w:t>reizi pusgadā, ja vienība, kas atklāj informāciju, ir liela iestāde;</w:t>
      </w:r>
    </w:p>
    <w:p w14:paraId="46B0A3C0" w14:textId="77777777" w:rsidR="002715E8" w:rsidRPr="002715E8" w:rsidRDefault="002715E8" w:rsidP="000E7934">
      <w:pPr>
        <w:pStyle w:val="Point1letter"/>
        <w:numPr>
          <w:ilvl w:val="3"/>
          <w:numId w:val="2"/>
        </w:numPr>
        <w:rPr>
          <w:noProof/>
        </w:rPr>
      </w:pPr>
      <w:r w:rsidRPr="002715E8">
        <w:t xml:space="preserve">reizi gadā, ja vienība, kas atklāj informāciju, nav ne liela iestāde, ne maza un nesarežģīta iestāde. </w:t>
      </w:r>
    </w:p>
    <w:p w14:paraId="0186D133" w14:textId="77777777" w:rsidR="002715E8" w:rsidRPr="002715E8" w:rsidRDefault="002715E8" w:rsidP="002715E8">
      <w:pPr>
        <w:pStyle w:val="Point0"/>
        <w:rPr>
          <w:noProof/>
        </w:rPr>
      </w:pPr>
      <w:r w:rsidRPr="002715E8">
        <w:t>6.</w:t>
      </w:r>
      <w:r w:rsidRPr="002715E8">
        <w:tab/>
        <w:t>Vienības, kas atklāj informāciju, informācijas publiskošanas nolūkā ievēro šādus principus:</w:t>
      </w:r>
    </w:p>
    <w:p w14:paraId="2C1439D7" w14:textId="77777777" w:rsidR="002715E8" w:rsidRPr="002715E8" w:rsidRDefault="002715E8" w:rsidP="00D444EA">
      <w:pPr>
        <w:pStyle w:val="Point1letter"/>
        <w:numPr>
          <w:ilvl w:val="3"/>
          <w:numId w:val="28"/>
        </w:numPr>
        <w:rPr>
          <w:noProof/>
        </w:rPr>
      </w:pPr>
      <w:r w:rsidRPr="002715E8">
        <w:t xml:space="preserve">ikgadējo atklāto informāciju publicē tajā pašā dienā, kad iestādes publicē savus finanšu pārskatus, vai cik drīz vien iespējams pēc tam; </w:t>
      </w:r>
    </w:p>
    <w:p w14:paraId="1EFBBC4F" w14:textId="77777777" w:rsidR="002715E8" w:rsidRPr="002715E8" w:rsidRDefault="002715E8" w:rsidP="000E7934">
      <w:pPr>
        <w:pStyle w:val="Point1letter"/>
        <w:numPr>
          <w:ilvl w:val="3"/>
          <w:numId w:val="2"/>
        </w:numPr>
        <w:rPr>
          <w:noProof/>
        </w:rPr>
      </w:pPr>
      <w:r w:rsidRPr="002715E8">
        <w:t xml:space="preserve">pusgadā un ceturksnī atklājamo informāciju publicē tajā pašā dienā, kad iestādes attiecīgā gadījumā publicē savus finanšu pārskatus par attiecīgo periodu, vai, cik drīz vien iespējams pēc tam; </w:t>
      </w:r>
    </w:p>
    <w:p w14:paraId="3A73E174" w14:textId="77777777" w:rsidR="002715E8" w:rsidRPr="002715E8" w:rsidRDefault="002715E8" w:rsidP="000E7934">
      <w:pPr>
        <w:pStyle w:val="Point1letter"/>
        <w:numPr>
          <w:ilvl w:val="3"/>
          <w:numId w:val="2"/>
        </w:numPr>
        <w:rPr>
          <w:noProof/>
        </w:rPr>
      </w:pPr>
      <w:r w:rsidRPr="002715E8">
        <w:t>jebkura kavēšanās starp šajā sadaļā prasītās informācijas atklāšanas datumu un attiecīgajiem finanšu pārskatiem ir saprātīga un nekādā gadījumā nepārsniedz laikposmu, ko kompetentās iestādes noteikušas saskaņā ar Eiropas Parlamenta un Padomes Direktīvas 2013/36/ES</w:t>
      </w:r>
      <w:r w:rsidRPr="002715E8">
        <w:rPr>
          <w:rStyle w:val="FootnoteReference"/>
          <w:noProof/>
        </w:rPr>
        <w:footnoteReference w:id="6"/>
      </w:r>
      <w:r w:rsidRPr="002715E8">
        <w:t xml:space="preserve"> 106. pantu.</w:t>
      </w:r>
    </w:p>
    <w:bookmarkStart w:id="1" w:name="_Ref21085297"/>
    <w:p w14:paraId="0A9CEA8F" w14:textId="77777777" w:rsidR="002715E8" w:rsidRPr="002715E8" w:rsidRDefault="002715E8" w:rsidP="002715E8">
      <w:pPr>
        <w:pStyle w:val="Titrearticle"/>
      </w:pPr>
      <w:r w:rsidRPr="002715E8">
        <w:lastRenderedPageBreak/>
        <w:fldChar w:fldCharType="begin"/>
      </w:r>
      <w:r w:rsidRPr="002715E8">
        <w:instrText xml:space="preserve"> SEQ Figure \* ARABIC </w:instrText>
      </w:r>
      <w:r w:rsidRPr="002715E8">
        <w:fldChar w:fldCharType="separate"/>
      </w:r>
      <w:r w:rsidRPr="002715E8">
        <w:t>10</w:t>
      </w:r>
      <w:r w:rsidRPr="002715E8">
        <w:fldChar w:fldCharType="end"/>
      </w:r>
      <w:r w:rsidRPr="002715E8">
        <w:t>. pants</w:t>
      </w:r>
      <w:bookmarkEnd w:id="1"/>
      <w:r w:rsidRPr="002715E8">
        <w:t xml:space="preserve"> </w:t>
      </w:r>
      <w:r w:rsidRPr="002715E8">
        <w:br/>
        <w:t>Informācijas atklāšana par galvenajiem rādītājiem attiecībā uz pašu kapitālu un atbilstīgajām saistībām un prasībām pašu kapitālam un atbilstīgajām saistībām, ko veic noregulējuma vienības</w:t>
      </w:r>
    </w:p>
    <w:p w14:paraId="40DF2FCA" w14:textId="77777777" w:rsidR="002715E8" w:rsidRPr="002715E8" w:rsidRDefault="002715E8" w:rsidP="00D444EA">
      <w:pPr>
        <w:pStyle w:val="NumPar1"/>
        <w:numPr>
          <w:ilvl w:val="0"/>
          <w:numId w:val="29"/>
        </w:numPr>
        <w:rPr>
          <w:noProof/>
        </w:rPr>
      </w:pPr>
      <w:r w:rsidRPr="002715E8">
        <w:t xml:space="preserve">Vienības, kas identificētas kā noregulējuma vienības, kuras ir G-SNI vai daļa no G-SNI, atklāj Regulas (ES) Nr. 575/2013 447. panta h) punktā un Direktīvas 2014/59/ES 45.i panta 3. punkta a) un c) apakšpunktā prasīto informāciju saskaņā ar šīs regulas V pielikuma veidni EU KM2 un šīs regulas VI pielikumā izklāstītajiem attiecīgajiem norādījumiem. </w:t>
      </w:r>
    </w:p>
    <w:p w14:paraId="4D3928EE" w14:textId="77777777" w:rsidR="002715E8" w:rsidRPr="002715E8" w:rsidRDefault="002715E8" w:rsidP="002715E8">
      <w:pPr>
        <w:pStyle w:val="NumPar1"/>
        <w:numPr>
          <w:ilvl w:val="0"/>
          <w:numId w:val="1"/>
        </w:numPr>
        <w:rPr>
          <w:noProof/>
        </w:rPr>
      </w:pPr>
      <w:r w:rsidRPr="002715E8">
        <w:t>Vienības, kas identificētas kā noregulējuma vienības, kuras nav ne G-SNI, ne daļa no G-SNI, atklāj Direktīvas 2014/59/ES 45.i panta 3. punkta a) un c) apakšpunktā prasīto informāciju saskaņā ar šīs regulas V pielikuma veidni EU KM2 un šīs regulas VI pielikumā izklāstītajiem attiecīgajiem norādījumiem.</w:t>
      </w:r>
    </w:p>
    <w:bookmarkStart w:id="2" w:name="_Ref21450145"/>
    <w:p w14:paraId="24E4166B" w14:textId="77777777" w:rsidR="002715E8" w:rsidRPr="002715E8" w:rsidRDefault="002715E8" w:rsidP="002715E8">
      <w:pPr>
        <w:pStyle w:val="Titrearticle"/>
      </w:pPr>
      <w:r w:rsidRPr="002715E8">
        <w:fldChar w:fldCharType="begin"/>
      </w:r>
      <w:r w:rsidRPr="002715E8">
        <w:instrText xml:space="preserve"> SEQ Figure \* ARABIC </w:instrText>
      </w:r>
      <w:r w:rsidRPr="002715E8">
        <w:fldChar w:fldCharType="separate"/>
      </w:r>
      <w:r w:rsidRPr="002715E8">
        <w:t>11</w:t>
      </w:r>
      <w:r w:rsidRPr="002715E8">
        <w:fldChar w:fldCharType="end"/>
      </w:r>
      <w:r w:rsidRPr="002715E8">
        <w:t>. pants</w:t>
      </w:r>
      <w:bookmarkEnd w:id="2"/>
      <w:r w:rsidRPr="002715E8">
        <w:t xml:space="preserve"> </w:t>
      </w:r>
      <w:r w:rsidRPr="002715E8">
        <w:br/>
        <w:t>Informācijas atklāšana par pašu kapitāla un atbilstīgo saistību sastāvu, ko veic noregulējuma vienības</w:t>
      </w:r>
    </w:p>
    <w:p w14:paraId="5D3CC62F" w14:textId="77777777" w:rsidR="002715E8" w:rsidRPr="002715E8" w:rsidRDefault="002715E8" w:rsidP="00D444EA">
      <w:pPr>
        <w:pStyle w:val="NumPar1"/>
        <w:numPr>
          <w:ilvl w:val="0"/>
          <w:numId w:val="30"/>
        </w:numPr>
        <w:rPr>
          <w:noProof/>
        </w:rPr>
      </w:pPr>
      <w:r w:rsidRPr="002715E8">
        <w:t>Vienības, kas identificētas kā noregulējuma vienības, kuras ir G-SNI vai daļa no G-SNI, atklāj informāciju, kas prasīta saskaņā ar Regulas (ES) Nr. 575/2013 437.a panta a), c) un d) punktu, un informāciju par pašu kapitāla un atbilstīgo saistību sastāvu, kā prasīts Direktīvas 2014/59/ES 45.i panta 3. punkta b) apakšpunktā, saskaņā ar šīs regulas V pielikuma veidni EU TLAC1 un attiecīgajiem norādījumiem, kas izklāstīti šīs regulas VI pielikumā.</w:t>
      </w:r>
    </w:p>
    <w:p w14:paraId="7F8BE591" w14:textId="77777777" w:rsidR="002715E8" w:rsidRPr="002715E8" w:rsidRDefault="002715E8" w:rsidP="002715E8">
      <w:pPr>
        <w:pStyle w:val="NumPar1"/>
        <w:numPr>
          <w:ilvl w:val="0"/>
          <w:numId w:val="1"/>
        </w:numPr>
        <w:rPr>
          <w:noProof/>
        </w:rPr>
      </w:pPr>
      <w:r w:rsidRPr="002715E8">
        <w:t>Vienības, kas identificētas kā noregulējuma vienības, kuras nav ne G-SNI, ne daļa no G-SNI, atklāj informāciju par pašu kapitāla un atbilstīgo saistību sastāvu, kā prasīts Direktīvas 2014/59/ES 45.i panta 3. punkta b) apakšpunktā, saskaņā ar šīs regulas V pielikuma veidni EU TLAC1 un attiecīgajiem norādījumiem, kas izklāstīti šīs regulas VI pielikumā.</w:t>
      </w:r>
    </w:p>
    <w:bookmarkStart w:id="3" w:name="_Ref21087987"/>
    <w:p w14:paraId="34F2EC7B" w14:textId="77777777" w:rsidR="002715E8" w:rsidRPr="002715E8" w:rsidRDefault="002715E8" w:rsidP="002715E8">
      <w:pPr>
        <w:pStyle w:val="Titrearticle"/>
      </w:pPr>
      <w:r w:rsidRPr="002715E8">
        <w:fldChar w:fldCharType="begin"/>
      </w:r>
      <w:r w:rsidRPr="002715E8">
        <w:instrText xml:space="preserve"> SEQ Figure \* ARABIC </w:instrText>
      </w:r>
      <w:r w:rsidRPr="002715E8">
        <w:fldChar w:fldCharType="separate"/>
      </w:r>
      <w:r w:rsidRPr="002715E8">
        <w:t>12</w:t>
      </w:r>
      <w:r w:rsidRPr="002715E8">
        <w:fldChar w:fldCharType="end"/>
      </w:r>
      <w:r w:rsidRPr="002715E8">
        <w:t>. pants</w:t>
      </w:r>
      <w:bookmarkEnd w:id="3"/>
      <w:r w:rsidRPr="002715E8">
        <w:t xml:space="preserve"> </w:t>
      </w:r>
      <w:r w:rsidRPr="002715E8">
        <w:br/>
        <w:t>Informācijas atklāšana par galvenajiem rādītājiem un iekšējo zaudējumu absorbcijas spēju, ko veic vienības, kas pašas nav noregulējuma vienības</w:t>
      </w:r>
    </w:p>
    <w:p w14:paraId="6666E773" w14:textId="77777777" w:rsidR="002715E8" w:rsidRPr="002715E8" w:rsidRDefault="002715E8" w:rsidP="00D444EA">
      <w:pPr>
        <w:pStyle w:val="NumPar1"/>
        <w:numPr>
          <w:ilvl w:val="0"/>
          <w:numId w:val="31"/>
        </w:numPr>
        <w:rPr>
          <w:noProof/>
        </w:rPr>
      </w:pPr>
      <w:r w:rsidRPr="002715E8">
        <w:t>Vienības, kas ir ārpussavienības G-SNI būtiski meitasuzņēmumi un kas pašas nav noregulējuma vienības, saskaņā ar šīs regulas V pielikumā norādīto veidni EU ILAC un attiecīgajiem norādījumiem, kas izklāstīti šīs regulas VI pielikumā, atklāj šādu informāciju:</w:t>
      </w:r>
    </w:p>
    <w:p w14:paraId="14CA0C88" w14:textId="77777777" w:rsidR="002715E8" w:rsidRPr="002715E8" w:rsidRDefault="002715E8" w:rsidP="00D444EA">
      <w:pPr>
        <w:pStyle w:val="Point1letter"/>
        <w:numPr>
          <w:ilvl w:val="3"/>
          <w:numId w:val="32"/>
        </w:numPr>
        <w:rPr>
          <w:noProof/>
        </w:rPr>
      </w:pPr>
      <w:r w:rsidRPr="002715E8">
        <w:t>informāciju, kas prasīta saskaņā ar Regulas (ES) Nr. 575/2013 437.a panta a), c) un d) punktu;</w:t>
      </w:r>
    </w:p>
    <w:p w14:paraId="264F8A82" w14:textId="77777777" w:rsidR="002715E8" w:rsidRPr="002715E8" w:rsidRDefault="002715E8" w:rsidP="000E7934">
      <w:pPr>
        <w:pStyle w:val="Point1letter"/>
        <w:numPr>
          <w:ilvl w:val="3"/>
          <w:numId w:val="2"/>
        </w:numPr>
        <w:rPr>
          <w:noProof/>
        </w:rPr>
      </w:pPr>
      <w:r w:rsidRPr="002715E8">
        <w:t>informāciju, kas prasīta saskaņā ar Regulas (ES) Nr. 575/2013 447. panta h) punktu;</w:t>
      </w:r>
    </w:p>
    <w:p w14:paraId="016A72BA" w14:textId="77777777" w:rsidR="00562575" w:rsidRDefault="002715E8" w:rsidP="00F379F0">
      <w:pPr>
        <w:pStyle w:val="Point1letter"/>
        <w:numPr>
          <w:ilvl w:val="3"/>
          <w:numId w:val="2"/>
        </w:numPr>
        <w:rPr>
          <w:noProof/>
        </w:rPr>
      </w:pPr>
      <w:r w:rsidRPr="002715E8">
        <w:t>informāciju, kas prasīta saskaņā ar Direktīvas 2014/59/ES 45.i panta 3. punkta a) un c) apakšpunktu;</w:t>
      </w:r>
    </w:p>
    <w:p w14:paraId="053A7EEE" w14:textId="41DE1F7A" w:rsidR="002715E8" w:rsidRPr="002715E8" w:rsidRDefault="002715E8" w:rsidP="00F379F0">
      <w:pPr>
        <w:pStyle w:val="Point1letter"/>
        <w:numPr>
          <w:ilvl w:val="3"/>
          <w:numId w:val="2"/>
        </w:numPr>
        <w:rPr>
          <w:noProof/>
        </w:rPr>
      </w:pPr>
      <w:r w:rsidRPr="002715E8">
        <w:lastRenderedPageBreak/>
        <w:t>informāciju par pašu kapitāla un atbilstīgo saistību sastāvu, kas prasīta saskaņā ar Direktīvas 2014/59/ES 45.i panta 3. punkta b) apakšpunktu.</w:t>
      </w:r>
    </w:p>
    <w:p w14:paraId="3024255D" w14:textId="77777777" w:rsidR="002715E8" w:rsidRPr="002715E8" w:rsidRDefault="002715E8" w:rsidP="002715E8">
      <w:pPr>
        <w:pStyle w:val="Point0"/>
        <w:rPr>
          <w:noProof/>
        </w:rPr>
      </w:pPr>
      <w:r w:rsidRPr="002715E8">
        <w:t>2.</w:t>
      </w:r>
      <w:r w:rsidRPr="002715E8">
        <w:tab/>
        <w:t>Vienības, kas nav ārpussavienības G-SNI būtiski meitasuzņēmumi un kas pašas nav noregulējuma vienības, saskaņā ar šīs regulas V pielikumā norādīto veidni EU ILAC un attiecīgajiem norādījumiem, kas izklāstīti šīs regulas VI pielikumā, atklāj šādu informāciju:</w:t>
      </w:r>
    </w:p>
    <w:p w14:paraId="75BA1D66" w14:textId="77777777" w:rsidR="002715E8" w:rsidRPr="002715E8" w:rsidRDefault="002715E8" w:rsidP="00D444EA">
      <w:pPr>
        <w:pStyle w:val="Point1letter"/>
        <w:numPr>
          <w:ilvl w:val="3"/>
          <w:numId w:val="33"/>
        </w:numPr>
        <w:rPr>
          <w:noProof/>
        </w:rPr>
      </w:pPr>
      <w:r w:rsidRPr="002715E8">
        <w:t>informāciju, kas prasīta saskaņā ar Direktīvas 2014/59/ES 45.i panta 3. punkta a) un c) apakšpunktu;</w:t>
      </w:r>
    </w:p>
    <w:p w14:paraId="0006D03D" w14:textId="77777777" w:rsidR="002715E8" w:rsidRPr="002715E8" w:rsidRDefault="002715E8" w:rsidP="000E7934">
      <w:pPr>
        <w:pStyle w:val="Point1letter"/>
        <w:numPr>
          <w:ilvl w:val="3"/>
          <w:numId w:val="2"/>
        </w:numPr>
        <w:rPr>
          <w:noProof/>
        </w:rPr>
      </w:pPr>
      <w:r w:rsidRPr="002715E8">
        <w:t>informāciju par pašu kapitāla un atbilstīgo saistību sastāvu, kas prasīta saskaņā ar Direktīvas 2014/59/ES 45.i panta 3. punkta b) apakšpunktu.</w:t>
      </w:r>
    </w:p>
    <w:bookmarkStart w:id="4" w:name="_Ref21088028"/>
    <w:bookmarkEnd w:id="4"/>
    <w:p w14:paraId="206F6324" w14:textId="77777777" w:rsidR="002715E8" w:rsidRPr="002715E8" w:rsidRDefault="002715E8" w:rsidP="002715E8">
      <w:pPr>
        <w:pStyle w:val="Titrearticle"/>
      </w:pPr>
      <w:r w:rsidRPr="002715E8">
        <w:fldChar w:fldCharType="begin"/>
      </w:r>
      <w:r w:rsidRPr="002715E8">
        <w:instrText xml:space="preserve"> SEQ Figure \* ARABIC </w:instrText>
      </w:r>
      <w:r w:rsidRPr="002715E8">
        <w:fldChar w:fldCharType="separate"/>
      </w:r>
      <w:r w:rsidRPr="002715E8">
        <w:t>13</w:t>
      </w:r>
      <w:r w:rsidRPr="002715E8">
        <w:fldChar w:fldCharType="end"/>
      </w:r>
      <w:r w:rsidRPr="002715E8">
        <w:t xml:space="preserve">. pants </w:t>
      </w:r>
      <w:r w:rsidRPr="002715E8">
        <w:br/>
        <w:t>Informācijas atklāšana par kreditoru prioritāti, ko veic vienības, kas nav noregulējuma vienības</w:t>
      </w:r>
    </w:p>
    <w:p w14:paraId="6C3B31A5" w14:textId="77777777" w:rsidR="002715E8" w:rsidRPr="002715E8" w:rsidRDefault="002715E8" w:rsidP="00D444EA">
      <w:pPr>
        <w:pStyle w:val="NumPar1"/>
        <w:numPr>
          <w:ilvl w:val="0"/>
          <w:numId w:val="34"/>
        </w:numPr>
        <w:rPr>
          <w:noProof/>
        </w:rPr>
      </w:pPr>
      <w:r w:rsidRPr="002715E8">
        <w:t xml:space="preserve">Vienības, kas ir ārpussavienības G-SNI būtiski meitasuzņēmumi un kas pašas nav noregulējuma vienības, atklāj informāciju par termiņa profilu un prioritāti parastajā maksātnespējas procedūrā, kā noteikts Regulas (ES) Nr. 575/2013 437.a panta a) un b) punktā un Direktīvas 2014/59/ES 45.i panta 3. punkta b) apakšpunktā, saskaņā ar šīs regulas V pielikuma veidni EU TLAC2a un attiecīgajiem norādījumiem, kas izklāstīti šīs regulas VI pielikumā. </w:t>
      </w:r>
    </w:p>
    <w:p w14:paraId="35EC7F0D" w14:textId="77777777" w:rsidR="002715E8" w:rsidRPr="002715E8" w:rsidRDefault="002715E8" w:rsidP="002715E8">
      <w:pPr>
        <w:pStyle w:val="NumPar1"/>
        <w:numPr>
          <w:ilvl w:val="0"/>
          <w:numId w:val="1"/>
        </w:numPr>
        <w:rPr>
          <w:noProof/>
        </w:rPr>
      </w:pPr>
      <w:r w:rsidRPr="002715E8">
        <w:t xml:space="preserve">Vienības, kas nav ārpussavienības G-SNI būtiski meitasuzņēmumi un kas pašas nav noregulējuma vienības, atklāj informāciju par termiņa profilu un prioritāti parastajā maksātnespējas procedūrā, kā noteikts Direktīvas 2014/59/ES 45.i panta 3. punkta b) apakšpunktā, saskaņā ar šīs regulas V pielikuma veidni EU TLAC2a un attiecīgajiem norādījumiem, kas izklāstīti šīs regulas VI pielikumā. </w:t>
      </w:r>
    </w:p>
    <w:p w14:paraId="4CD2F628" w14:textId="77777777" w:rsidR="002715E8" w:rsidRPr="002715E8" w:rsidRDefault="002715E8" w:rsidP="002715E8">
      <w:pPr>
        <w:pStyle w:val="Text1"/>
        <w:rPr>
          <w:noProof/>
        </w:rPr>
      </w:pPr>
      <w:r w:rsidRPr="002715E8">
        <w:t>Šā punkta pirmajā daļā minētās vienības var izvēlēties EU TLAC2b veidnes vietā izmantot EU TLAC2a, lai atklātu informāciju par termiņu profilu un prioritāti parastajā maksātnespējas procedūrā, kas prasīta saskaņā ar Direktīvas 2014/59/ES 45.i panta 3. punkta b) apakšpunktu.</w:t>
      </w:r>
    </w:p>
    <w:bookmarkStart w:id="5" w:name="_Ref21087242"/>
    <w:bookmarkEnd w:id="5"/>
    <w:p w14:paraId="543A2D9A" w14:textId="77777777" w:rsidR="002715E8" w:rsidRPr="002715E8" w:rsidRDefault="002715E8" w:rsidP="002715E8">
      <w:pPr>
        <w:pStyle w:val="Titrearticle"/>
      </w:pPr>
      <w:r w:rsidRPr="002715E8">
        <w:fldChar w:fldCharType="begin"/>
      </w:r>
      <w:r w:rsidRPr="002715E8">
        <w:instrText xml:space="preserve"> SEQ Figure \* ARABIC </w:instrText>
      </w:r>
      <w:r w:rsidRPr="002715E8">
        <w:fldChar w:fldCharType="separate"/>
      </w:r>
      <w:r w:rsidRPr="002715E8">
        <w:t>14</w:t>
      </w:r>
      <w:r w:rsidRPr="002715E8">
        <w:fldChar w:fldCharType="end"/>
      </w:r>
      <w:r w:rsidRPr="002715E8">
        <w:t xml:space="preserve">. pants </w:t>
      </w:r>
      <w:r w:rsidRPr="002715E8">
        <w:br/>
        <w:t>Informācijas atklāšana par kreditoru prioritāti, ko veic noregulējuma vienības</w:t>
      </w:r>
    </w:p>
    <w:p w14:paraId="56F45B50" w14:textId="77777777" w:rsidR="002715E8" w:rsidRPr="002715E8" w:rsidRDefault="002715E8" w:rsidP="00D444EA">
      <w:pPr>
        <w:pStyle w:val="NumPar1"/>
        <w:numPr>
          <w:ilvl w:val="0"/>
          <w:numId w:val="35"/>
        </w:numPr>
        <w:rPr>
          <w:noProof/>
        </w:rPr>
      </w:pPr>
      <w:r w:rsidRPr="002715E8">
        <w:t xml:space="preserve">Vienības, kas identificētas kā noregulējuma vienības, kuras ir G-SNI vai daļa no G-SNI, atklāj informāciju par termiņu profilu un parasto maksātnespējas procedūru prioritāti, kā noteikts Regulas (ES) Nr. 575/2013 437.a panta a) un b) punktā un Direktīvas 2014/59/ES 45.i panta 3. punkta b) apakšpunktā, saskaņā ar šīs regulas V pielikuma veidni EU TLAC3a un attiecīgajiem norādījumiem, kas izklāstīti šīs regulas VI pielikumā. </w:t>
      </w:r>
    </w:p>
    <w:p w14:paraId="775FFB41" w14:textId="77777777" w:rsidR="002715E8" w:rsidRPr="002715E8" w:rsidRDefault="002715E8" w:rsidP="002715E8">
      <w:pPr>
        <w:pStyle w:val="NumPar1"/>
        <w:numPr>
          <w:ilvl w:val="0"/>
          <w:numId w:val="1"/>
        </w:numPr>
        <w:rPr>
          <w:noProof/>
        </w:rPr>
      </w:pPr>
      <w:r w:rsidRPr="002715E8">
        <w:t xml:space="preserve">Vienības, kas identificētas kā noregulējuma vienības, kuras nav ne G-SNI, ne daļa no G-SNI, atklāj informāciju par Direktīvas 2014/59/ES 45.i panta 3. punkta b) apakšpunktā noteikto termiņu profilu un prioritāti parastajā maksātnespējas procedūrā saskaņā ar šīs regulas V pielikuma veidni EU TLAC3b un attiecīgajiem norādījumiem, kas izklāstīti šīs regulas VI pielikumā. </w:t>
      </w:r>
    </w:p>
    <w:p w14:paraId="3836DBBC" w14:textId="77777777" w:rsidR="002715E8" w:rsidRPr="002715E8" w:rsidRDefault="002715E8" w:rsidP="002715E8">
      <w:pPr>
        <w:pStyle w:val="Text1"/>
        <w:rPr>
          <w:noProof/>
        </w:rPr>
      </w:pPr>
      <w:r w:rsidRPr="002715E8">
        <w:t xml:space="preserve">Šā punkta pirmajā daļā minētās vienības var izvēlēties EU TLAC3b veidnes vietā izmantot EU TLAC3a, lai atklātu informāciju par termiņu profilu un prioritāti </w:t>
      </w:r>
      <w:r w:rsidRPr="002715E8">
        <w:lastRenderedPageBreak/>
        <w:t>parastajā maksātnespējas procedūrā, kas prasīta saskaņā ar Direktīvas 2014/59/ES 45.i panta 3. punkta b) apakšpunktu.</w:t>
      </w:r>
    </w:p>
    <w:bookmarkStart w:id="6" w:name="_Ref21087218"/>
    <w:p w14:paraId="2B987D29" w14:textId="77777777" w:rsidR="002715E8" w:rsidRPr="002715E8" w:rsidRDefault="002715E8" w:rsidP="002715E8">
      <w:pPr>
        <w:pStyle w:val="Titrearticle"/>
      </w:pPr>
      <w:r w:rsidRPr="002715E8">
        <w:fldChar w:fldCharType="begin"/>
      </w:r>
      <w:r w:rsidRPr="002715E8">
        <w:instrText xml:space="preserve"> SEQ Figure \* ARABIC </w:instrText>
      </w:r>
      <w:r w:rsidRPr="002715E8">
        <w:fldChar w:fldCharType="separate"/>
      </w:r>
      <w:r w:rsidRPr="002715E8">
        <w:t>15</w:t>
      </w:r>
      <w:r w:rsidRPr="002715E8">
        <w:fldChar w:fldCharType="end"/>
      </w:r>
      <w:r w:rsidRPr="002715E8">
        <w:t>. pants</w:t>
      </w:r>
      <w:bookmarkEnd w:id="6"/>
      <w:r w:rsidRPr="002715E8">
        <w:t xml:space="preserve"> </w:t>
      </w:r>
      <w:r w:rsidRPr="002715E8">
        <w:br/>
        <w:t>Informācijas atklāšana par pašu kapitāla un atbilstīgo saistību galvenajām iezīmēm</w:t>
      </w:r>
    </w:p>
    <w:p w14:paraId="14065AC6" w14:textId="77777777" w:rsidR="002715E8" w:rsidRPr="002715E8" w:rsidRDefault="002715E8" w:rsidP="002715E8">
      <w:pPr>
        <w:keepNext/>
        <w:keepLines/>
        <w:spacing w:before="360"/>
      </w:pPr>
      <w:r w:rsidRPr="002715E8">
        <w:t xml:space="preserve">Vienības, kas identificētas kā noregulējuma vienības, kuras ir G-SNI vai daļa no G-SNI, un vienības, kas ir ārpussavienības G-SNI būtiski meitasuzņēmumi un kas pašas nav noregulējuma vienības, atklāj Regulas (ES) Nr. 575/2013 437.a panta a) punktā noteikto informāciju saskaņā ar minētās regulas 434.a pantā minēto īstenošanas aktu. </w:t>
      </w:r>
    </w:p>
    <w:p w14:paraId="52D51F57" w14:textId="77777777" w:rsidR="002715E8" w:rsidRPr="002715E8" w:rsidRDefault="002715E8" w:rsidP="002715E8">
      <w:pPr>
        <w:pStyle w:val="Titrearticle"/>
      </w:pPr>
      <w:r w:rsidRPr="002715E8">
        <w:fldChar w:fldCharType="begin"/>
      </w:r>
      <w:r w:rsidRPr="002715E8">
        <w:instrText xml:space="preserve"> SEQ Figure \* ARABIC </w:instrText>
      </w:r>
      <w:r w:rsidRPr="002715E8">
        <w:fldChar w:fldCharType="separate"/>
      </w:r>
      <w:r w:rsidRPr="002715E8">
        <w:t>16</w:t>
      </w:r>
      <w:r w:rsidRPr="002715E8">
        <w:fldChar w:fldCharType="end"/>
      </w:r>
      <w:r w:rsidRPr="002715E8">
        <w:t xml:space="preserve">. pants </w:t>
      </w:r>
      <w:r w:rsidRPr="002715E8">
        <w:br/>
        <w:t>Vispārīgi noteikumi par informācijas atklāšanu</w:t>
      </w:r>
    </w:p>
    <w:p w14:paraId="55203C66" w14:textId="77777777" w:rsidR="002715E8" w:rsidRPr="002715E8" w:rsidRDefault="002715E8" w:rsidP="00D444EA">
      <w:pPr>
        <w:pStyle w:val="NumPar1"/>
        <w:numPr>
          <w:ilvl w:val="0"/>
          <w:numId w:val="36"/>
        </w:numPr>
        <w:rPr>
          <w:noProof/>
        </w:rPr>
      </w:pPr>
      <w:r w:rsidRPr="002715E8">
        <w:t xml:space="preserve">Ja vienības, kas atklāj informāciju, var izlaist vienu vai vairākus jautājumus saskaņā ar Regulas (ES) Nr. 575/2013 432. pantu, šajā regulā noteikto veidņu vai tabulu attiecīgās rindas vai slejas var atstāt tukšas un turpmāko rindu vai sleju numerācija nemainās. </w:t>
      </w:r>
    </w:p>
    <w:p w14:paraId="50B9EF31" w14:textId="77777777" w:rsidR="002715E8" w:rsidRPr="002715E8" w:rsidRDefault="002715E8" w:rsidP="002715E8">
      <w:pPr>
        <w:pStyle w:val="NumPar1"/>
        <w:numPr>
          <w:ilvl w:val="0"/>
          <w:numId w:val="1"/>
        </w:numPr>
        <w:rPr>
          <w:noProof/>
        </w:rPr>
      </w:pPr>
      <w:r w:rsidRPr="002715E8">
        <w:t xml:space="preserve">Vienības, kas atklāj informāciju, attiecīgajā veidnē vai tabulā skaidri norāda tukšās rindas vai slejas un attiecīgās informācijas neatklāšanas iemeslu. </w:t>
      </w:r>
    </w:p>
    <w:p w14:paraId="081A185A" w14:textId="77777777" w:rsidR="002715E8" w:rsidRPr="002715E8" w:rsidRDefault="002715E8" w:rsidP="002715E8">
      <w:pPr>
        <w:pStyle w:val="NumPar1"/>
        <w:numPr>
          <w:ilvl w:val="0"/>
          <w:numId w:val="1"/>
        </w:numPr>
        <w:rPr>
          <w:noProof/>
        </w:rPr>
      </w:pPr>
      <w:r w:rsidRPr="002715E8">
        <w:t>Kvalitatīvais stāstījums un jebkura cita nepieciešamā papildinformācija, kas pievienota kvantitatīvajai informācijai saskaņā ar Regulas (ES) Nr. 575/2013 431. pantu, ir pietiekami skaidra un visaptveroša, lai informācijas lietotāji varētu saprast kvantitatīvo informāciju, un to izvieto blakus veidnēm, kuras tā apraksta.</w:t>
      </w:r>
    </w:p>
    <w:p w14:paraId="6C24D73C" w14:textId="77777777" w:rsidR="002715E8" w:rsidRPr="002715E8" w:rsidRDefault="002715E8" w:rsidP="002715E8">
      <w:pPr>
        <w:pStyle w:val="NumPar1"/>
        <w:numPr>
          <w:ilvl w:val="0"/>
          <w:numId w:val="1"/>
        </w:numPr>
        <w:rPr>
          <w:noProof/>
        </w:rPr>
      </w:pPr>
      <w:r w:rsidRPr="002715E8">
        <w:t>Vienības, kas atklāj informāciju, attiecībā uz skaitlisko vērtību atklāšanu ievēro šādus nosacījumus:</w:t>
      </w:r>
    </w:p>
    <w:p w14:paraId="5C620EE2" w14:textId="77777777" w:rsidR="002715E8" w:rsidRPr="002715E8" w:rsidRDefault="002715E8" w:rsidP="00D444EA">
      <w:pPr>
        <w:pStyle w:val="Point1letter"/>
        <w:numPr>
          <w:ilvl w:val="3"/>
          <w:numId w:val="37"/>
        </w:numPr>
        <w:rPr>
          <w:noProof/>
        </w:rPr>
      </w:pPr>
      <w:r w:rsidRPr="002715E8">
        <w:t>kvantitatīvos monetāros datus atklāj, izmantojot minimuma precizitātes ekvivalentu līdz miljoniem vienību;</w:t>
      </w:r>
    </w:p>
    <w:p w14:paraId="38E1D822" w14:textId="77777777" w:rsidR="002715E8" w:rsidRPr="002715E8" w:rsidRDefault="002715E8" w:rsidP="000E7934">
      <w:pPr>
        <w:pStyle w:val="Point1letter"/>
        <w:numPr>
          <w:ilvl w:val="3"/>
          <w:numId w:val="2"/>
        </w:numPr>
        <w:rPr>
          <w:noProof/>
        </w:rPr>
      </w:pPr>
      <w:r w:rsidRPr="002715E8">
        <w:t>kvantitatīvos datus, ko atklāj kā “procentus”, izsaka relatīvajās vienībās ar minimuma precizitāti, kas ir četri cipari aiz komata.</w:t>
      </w:r>
    </w:p>
    <w:p w14:paraId="4B2D56A2" w14:textId="77777777" w:rsidR="002715E8" w:rsidRPr="002715E8" w:rsidRDefault="002715E8" w:rsidP="002715E8">
      <w:pPr>
        <w:pStyle w:val="NumPar1"/>
        <w:rPr>
          <w:noProof/>
        </w:rPr>
      </w:pPr>
      <w:r w:rsidRPr="002715E8">
        <w:t>Vienības, kas atklāj informāciju, atklājamajai informācijai pievieno šādu informāciju:</w:t>
      </w:r>
    </w:p>
    <w:p w14:paraId="25616D3B" w14:textId="77777777" w:rsidR="002715E8" w:rsidRPr="002715E8" w:rsidRDefault="002715E8" w:rsidP="00D444EA">
      <w:pPr>
        <w:pStyle w:val="Point1letter"/>
        <w:numPr>
          <w:ilvl w:val="3"/>
          <w:numId w:val="38"/>
        </w:numPr>
        <w:rPr>
          <w:noProof/>
        </w:rPr>
      </w:pPr>
      <w:r w:rsidRPr="002715E8">
        <w:t xml:space="preserve">informācijas atklāšanas atsauces datums un atsauces periods; </w:t>
      </w:r>
    </w:p>
    <w:p w14:paraId="25A824E3" w14:textId="77777777" w:rsidR="002715E8" w:rsidRPr="002715E8" w:rsidRDefault="002715E8" w:rsidP="002715E8">
      <w:pPr>
        <w:pStyle w:val="Point1letter"/>
        <w:rPr>
          <w:noProof/>
        </w:rPr>
      </w:pPr>
      <w:r w:rsidRPr="002715E8">
        <w:t xml:space="preserve">informācijas atklāšanas valūta; </w:t>
      </w:r>
    </w:p>
    <w:p w14:paraId="3E9BD1A3" w14:textId="77777777" w:rsidR="002715E8" w:rsidRPr="002715E8" w:rsidRDefault="002715E8" w:rsidP="002715E8">
      <w:pPr>
        <w:pStyle w:val="Point1letter"/>
        <w:rPr>
          <w:noProof/>
        </w:rPr>
      </w:pPr>
      <w:r w:rsidRPr="002715E8">
        <w:t>vienības, kas atklāj informāciju, nosaukums un — attiecīgā gadījumā — juridiskās personas identifikators (</w:t>
      </w:r>
      <w:r w:rsidRPr="002715E8">
        <w:rPr>
          <w:i/>
        </w:rPr>
        <w:t>LEI</w:t>
      </w:r>
      <w:r w:rsidRPr="002715E8">
        <w:t>);</w:t>
      </w:r>
    </w:p>
    <w:p w14:paraId="7AC62464" w14:textId="77777777" w:rsidR="002715E8" w:rsidRPr="002715E8" w:rsidRDefault="002715E8" w:rsidP="002715E8">
      <w:pPr>
        <w:pStyle w:val="Point1letter"/>
        <w:rPr>
          <w:noProof/>
        </w:rPr>
      </w:pPr>
      <w:r w:rsidRPr="002715E8">
        <w:t xml:space="preserve">attiecīgā gadījumā – grāmatvedības standarts; un </w:t>
      </w:r>
    </w:p>
    <w:p w14:paraId="1E6F09CA" w14:textId="77777777" w:rsidR="002715E8" w:rsidRPr="002715E8" w:rsidRDefault="002715E8" w:rsidP="002715E8">
      <w:pPr>
        <w:pStyle w:val="Point1letter"/>
        <w:rPr>
          <w:noProof/>
        </w:rPr>
      </w:pPr>
      <w:r w:rsidRPr="002715E8">
        <w:t>attiecīgajā gadījumā — konsolidācijas tvērums.</w:t>
      </w:r>
    </w:p>
    <w:p w14:paraId="24D74ECB" w14:textId="77777777" w:rsidR="002715E8" w:rsidRPr="002715E8" w:rsidRDefault="002715E8" w:rsidP="002715E8">
      <w:pPr>
        <w:pStyle w:val="SectionTitle"/>
        <w:rPr>
          <w:b w:val="0"/>
          <w:i/>
        </w:rPr>
      </w:pPr>
      <w:r w:rsidRPr="002715E8">
        <w:rPr>
          <w:b w:val="0"/>
          <w:i/>
        </w:rPr>
        <w:lastRenderedPageBreak/>
        <w:t>III SADAĻA</w:t>
      </w:r>
      <w:r w:rsidRPr="002715E8">
        <w:t xml:space="preserve"> </w:t>
      </w:r>
      <w:r w:rsidRPr="002715E8">
        <w:br/>
      </w:r>
      <w:r w:rsidRPr="002715E8">
        <w:rPr>
          <w:b w:val="0"/>
          <w:i/>
        </w:rPr>
        <w:t>NOBEIGUMA NOTEIKUMI</w:t>
      </w:r>
    </w:p>
    <w:p w14:paraId="72F6955D" w14:textId="77777777" w:rsidR="002715E8" w:rsidRPr="002715E8" w:rsidRDefault="002715E8" w:rsidP="002715E8">
      <w:pPr>
        <w:pStyle w:val="Titrearticle"/>
      </w:pPr>
      <w:r w:rsidRPr="002715E8">
        <w:rPr>
          <w:i w:val="0"/>
        </w:rPr>
        <w:fldChar w:fldCharType="begin"/>
      </w:r>
      <w:r w:rsidRPr="002715E8">
        <w:instrText xml:space="preserve"> SEQ Figure \* ARABIC </w:instrText>
      </w:r>
      <w:r w:rsidRPr="002715E8">
        <w:rPr>
          <w:i w:val="0"/>
        </w:rPr>
        <w:fldChar w:fldCharType="separate"/>
      </w:r>
      <w:r w:rsidRPr="002715E8">
        <w:t>17</w:t>
      </w:r>
      <w:r w:rsidRPr="002715E8">
        <w:rPr>
          <w:i w:val="0"/>
        </w:rPr>
        <w:fldChar w:fldCharType="end"/>
      </w:r>
      <w:r w:rsidRPr="002715E8">
        <w:t xml:space="preserve">. pants </w:t>
      </w:r>
      <w:r w:rsidRPr="002715E8">
        <w:br/>
        <w:t>Stāšanās spēkā un piemērošana</w:t>
      </w:r>
    </w:p>
    <w:p w14:paraId="78CD05E5" w14:textId="77777777" w:rsidR="002715E8" w:rsidRPr="002715E8" w:rsidRDefault="002715E8" w:rsidP="002715E8">
      <w:r w:rsidRPr="002715E8">
        <w:t xml:space="preserve">Šī regula stājas spēkā divdesmitajā dienā pēc tās publicēšanas </w:t>
      </w:r>
      <w:r w:rsidRPr="002715E8">
        <w:rPr>
          <w:i/>
        </w:rPr>
        <w:t>Eiropas Savienības Oficiālajā Vēstnesī</w:t>
      </w:r>
      <w:r w:rsidRPr="002715E8">
        <w:t>.</w:t>
      </w:r>
    </w:p>
    <w:p w14:paraId="6C681ECB" w14:textId="77777777" w:rsidR="002715E8" w:rsidRPr="002715E8" w:rsidRDefault="002715E8" w:rsidP="002715E8">
      <w:pPr>
        <w:widowControl w:val="0"/>
        <w:autoSpaceDE w:val="0"/>
        <w:autoSpaceDN w:val="0"/>
        <w:rPr>
          <w:rFonts w:eastAsia="Times New Roman"/>
        </w:rPr>
      </w:pPr>
      <w:r w:rsidRPr="002715E8">
        <w:t>I sadaļu piemēro no 2021. gada 28. jūnija.</w:t>
      </w:r>
    </w:p>
    <w:p w14:paraId="717254A5" w14:textId="77777777" w:rsidR="002715E8" w:rsidRPr="002715E8" w:rsidRDefault="002715E8" w:rsidP="002715E8">
      <w:pPr>
        <w:widowControl w:val="0"/>
        <w:autoSpaceDE w:val="0"/>
        <w:autoSpaceDN w:val="0"/>
        <w:rPr>
          <w:rFonts w:eastAsia="Times New Roman"/>
        </w:rPr>
      </w:pPr>
      <w:r w:rsidRPr="002715E8">
        <w:t>II sadaļu piemēro no [</w:t>
      </w:r>
      <w:r w:rsidRPr="002715E8">
        <w:rPr>
          <w:i/>
        </w:rPr>
        <w:t>lūgums ievietot šīs regulas spēkā stāšanās datumu</w:t>
      </w:r>
      <w:r w:rsidRPr="002715E8">
        <w:t>] attiecībā uz informācijas atklāšanu saskaņā ar Regulas (ES) Nr. 575/2013 437.a pantu un 447. panta h) punktu un no informācijas atklāšanas prasību piemērošanas dienas saskaņā ar Direktīvas (ES) 2019/879 3. panta 1. punkta trešo daļu attiecībā uz informācijas atklāšanu saskaņā ar Direktīvas 2014/59/ES 45.i panta 3. punktu.</w:t>
      </w:r>
    </w:p>
    <w:p w14:paraId="4A26245E" w14:textId="77777777" w:rsidR="002715E8" w:rsidRPr="002715E8" w:rsidRDefault="002715E8" w:rsidP="002715E8">
      <w:pPr>
        <w:pStyle w:val="Applicationdirecte"/>
        <w:keepNext/>
        <w:keepLines/>
      </w:pPr>
      <w:r w:rsidRPr="002715E8">
        <w:t>Šī regula uzliek saistības kopumā un ir tieši piemērojama visās dalībvalstīs.</w:t>
      </w:r>
    </w:p>
    <w:p w14:paraId="344E0FAD" w14:textId="77777777" w:rsidR="002715E8" w:rsidRPr="002715E8" w:rsidRDefault="002715E8" w:rsidP="002715E8">
      <w:pPr>
        <w:pStyle w:val="Fait"/>
      </w:pPr>
      <w:r w:rsidRPr="002715E8">
        <w:t>Briselē</w:t>
      </w:r>
    </w:p>
    <w:p w14:paraId="31BC3E69" w14:textId="77777777" w:rsidR="002715E8" w:rsidRPr="002715E8" w:rsidRDefault="002715E8" w:rsidP="002715E8">
      <w:pPr>
        <w:pStyle w:val="Institutionquisigne"/>
      </w:pPr>
      <w:r w:rsidRPr="002715E8">
        <w:tab/>
        <w:t>Komisijas vārdā —</w:t>
      </w:r>
    </w:p>
    <w:p w14:paraId="0936848B" w14:textId="2385C501" w:rsidR="00911C0D" w:rsidRPr="002715E8" w:rsidRDefault="002715E8" w:rsidP="002715E8">
      <w:pPr>
        <w:pStyle w:val="Personnequisigne"/>
      </w:pPr>
      <w:r w:rsidRPr="002715E8">
        <w:tab/>
        <w:t xml:space="preserve">priekšsēdētāja </w:t>
      </w:r>
      <w:r w:rsidRPr="002715E8">
        <w:br/>
      </w:r>
      <w:r w:rsidRPr="002715E8">
        <w:tab/>
      </w:r>
      <w:r w:rsidRPr="002715E8">
        <w:rPr>
          <w:i w:val="0"/>
        </w:rPr>
        <w:t>Ursula VON DER LEYEN</w:t>
      </w:r>
    </w:p>
    <w:sectPr w:rsidR="00911C0D" w:rsidRPr="002715E8" w:rsidSect="00BA2EBA">
      <w:footerReference w:type="default" r:id="rId10"/>
      <w:footerReference w:type="first" r:id="rId11"/>
      <w:pgSz w:w="11907" w:h="16839"/>
      <w:pgMar w:top="1134" w:right="1417" w:bottom="1134" w:left="1417" w:header="709" w:footer="709" w:gutter="0"/>
      <w:pgNumType w:start="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0968E8" w14:textId="77777777" w:rsidR="00911C0D" w:rsidRDefault="00911C0D" w:rsidP="00911C0D">
      <w:pPr>
        <w:spacing w:before="0" w:after="0"/>
      </w:pPr>
      <w:r>
        <w:separator/>
      </w:r>
    </w:p>
  </w:endnote>
  <w:endnote w:type="continuationSeparator" w:id="0">
    <w:p w14:paraId="285C3A38" w14:textId="77777777" w:rsidR="00911C0D" w:rsidRDefault="00911C0D" w:rsidP="00911C0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B35CF2" w14:textId="0B8E7CF0" w:rsidR="00C44A36" w:rsidRPr="00BA2EBA" w:rsidRDefault="00BA2EBA" w:rsidP="00BA2EBA">
    <w:pPr>
      <w:pStyle w:val="Footer"/>
      <w:rPr>
        <w:rFonts w:ascii="Arial" w:hAnsi="Arial" w:cs="Arial"/>
        <w:b/>
        <w:sz w:val="48"/>
      </w:rPr>
    </w:pPr>
    <w:r w:rsidRPr="00BA2EBA">
      <w:rPr>
        <w:rFonts w:ascii="Arial" w:hAnsi="Arial" w:cs="Arial"/>
        <w:b/>
        <w:sz w:val="48"/>
      </w:rPr>
      <w:t>LV</w:t>
    </w:r>
    <w:r w:rsidRPr="00BA2EBA">
      <w:rPr>
        <w:rFonts w:ascii="Arial" w:hAnsi="Arial" w:cs="Arial"/>
        <w:b/>
        <w:sz w:val="48"/>
      </w:rPr>
      <w:tab/>
    </w:r>
    <w:r w:rsidRPr="00BA2EBA">
      <w:rPr>
        <w:rFonts w:ascii="Arial" w:hAnsi="Arial" w:cs="Arial"/>
        <w:b/>
        <w:sz w:val="48"/>
      </w:rPr>
      <w:tab/>
    </w:r>
    <w:r w:rsidRPr="00BA2EBA">
      <w:tab/>
    </w:r>
    <w:r w:rsidRPr="00BA2EBA">
      <w:rPr>
        <w:rFonts w:ascii="Arial" w:hAnsi="Arial" w:cs="Arial"/>
        <w:b/>
        <w:sz w:val="48"/>
      </w:rPr>
      <w:t>LV</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5EE7E6" w14:textId="727E4FB6" w:rsidR="00BA2EBA" w:rsidRPr="00BA2EBA" w:rsidRDefault="00BA2EBA" w:rsidP="00BA2EBA">
    <w:pPr>
      <w:pStyle w:val="Footer"/>
      <w:rPr>
        <w:rFonts w:ascii="Arial" w:hAnsi="Arial" w:cs="Arial"/>
        <w:b/>
        <w:sz w:val="48"/>
      </w:rPr>
    </w:pPr>
    <w:r w:rsidRPr="00BA2EBA">
      <w:rPr>
        <w:rFonts w:ascii="Arial" w:hAnsi="Arial" w:cs="Arial"/>
        <w:b/>
        <w:sz w:val="48"/>
      </w:rPr>
      <w:t>LV</w:t>
    </w:r>
    <w:r w:rsidRPr="00BA2EBA">
      <w:rPr>
        <w:rFonts w:ascii="Arial" w:hAnsi="Arial" w:cs="Arial"/>
        <w:b/>
        <w:sz w:val="48"/>
      </w:rPr>
      <w:tab/>
    </w:r>
    <w:r>
      <w:fldChar w:fldCharType="begin"/>
    </w:r>
    <w:r>
      <w:instrText xml:space="preserve"> PAGE  \* MERGEFORMAT </w:instrText>
    </w:r>
    <w:r>
      <w:fldChar w:fldCharType="separate"/>
    </w:r>
    <w:r w:rsidR="000B7034">
      <w:rPr>
        <w:noProof/>
      </w:rPr>
      <w:t>11</w:t>
    </w:r>
    <w:r>
      <w:fldChar w:fldCharType="end"/>
    </w:r>
    <w:r>
      <w:tab/>
    </w:r>
    <w:r w:rsidRPr="00BA2EBA">
      <w:tab/>
    </w:r>
    <w:r w:rsidRPr="00BA2EBA">
      <w:rPr>
        <w:rFonts w:ascii="Arial" w:hAnsi="Arial" w:cs="Arial"/>
        <w:b/>
        <w:sz w:val="48"/>
      </w:rPr>
      <w:t>LV</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C159E0" w14:textId="77777777" w:rsidR="00BA2EBA" w:rsidRPr="00BA2EBA" w:rsidRDefault="00BA2EBA" w:rsidP="00BA2E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A0D0A5" w14:textId="77777777" w:rsidR="00911C0D" w:rsidRDefault="00911C0D" w:rsidP="00911C0D">
      <w:pPr>
        <w:spacing w:before="0" w:after="0"/>
      </w:pPr>
      <w:r>
        <w:separator/>
      </w:r>
    </w:p>
  </w:footnote>
  <w:footnote w:type="continuationSeparator" w:id="0">
    <w:p w14:paraId="21B25C16" w14:textId="77777777" w:rsidR="00911C0D" w:rsidRDefault="00911C0D" w:rsidP="00911C0D">
      <w:pPr>
        <w:spacing w:before="0" w:after="0"/>
      </w:pPr>
      <w:r>
        <w:continuationSeparator/>
      </w:r>
    </w:p>
  </w:footnote>
  <w:footnote w:id="1">
    <w:p w14:paraId="76D8D72C" w14:textId="77777777" w:rsidR="002715E8" w:rsidRPr="002715E8" w:rsidRDefault="002715E8" w:rsidP="002715E8">
      <w:pPr>
        <w:pStyle w:val="FootnoteText"/>
      </w:pPr>
      <w:r>
        <w:rPr>
          <w:rStyle w:val="FootnoteReference"/>
        </w:rPr>
        <w:footnoteRef/>
      </w:r>
      <w:r w:rsidRPr="00ED4BD0">
        <w:rPr>
          <w:lang w:val="sv-SE"/>
        </w:rPr>
        <w:tab/>
      </w:r>
      <w:r w:rsidRPr="002715E8">
        <w:t>OV L 176, 27.6.2013., 1. lpp.</w:t>
      </w:r>
    </w:p>
  </w:footnote>
  <w:footnote w:id="2">
    <w:p w14:paraId="77C398CF" w14:textId="77777777" w:rsidR="002715E8" w:rsidRPr="002715E8" w:rsidRDefault="002715E8" w:rsidP="002715E8">
      <w:pPr>
        <w:pStyle w:val="FootnoteText"/>
      </w:pPr>
      <w:r w:rsidRPr="002715E8">
        <w:rPr>
          <w:rStyle w:val="FootnoteReference"/>
        </w:rPr>
        <w:footnoteRef/>
      </w:r>
      <w:r w:rsidRPr="002715E8">
        <w:tab/>
        <w:t>OV L 173, 12.6.2014., 190. lpp.</w:t>
      </w:r>
    </w:p>
  </w:footnote>
  <w:footnote w:id="3">
    <w:p w14:paraId="25CA37B5" w14:textId="77777777" w:rsidR="002715E8" w:rsidRPr="002715E8" w:rsidRDefault="002715E8" w:rsidP="002715E8">
      <w:pPr>
        <w:pStyle w:val="FootnoteText"/>
      </w:pPr>
      <w:r w:rsidRPr="002715E8">
        <w:rPr>
          <w:rStyle w:val="FootnoteReference"/>
        </w:rPr>
        <w:footnoteRef/>
      </w:r>
      <w:r w:rsidRPr="002715E8">
        <w:tab/>
        <w:t>Eiropas Parlamenta un Padomes Regula (ES) 2019/876 (2019. gada 20. maijs), ar ko groza Regulu (ES) Nr. 575/2013 attiecībā uz sviras rādītāju, neto stabila finansējuma rādītāju, prasībām pašu kapitālam un atbilstīgajām saistībām, darījuma partnera kredītrisku, tirgus risku, riska darījumiem ar centrālajiem darījumu partneriem, riska darījumiem ar kolektīvo ieguldījumu uzņēmumiem, lieliem riska darījumiem, pārskatu sniegšanas un informācijas atklāšanas prasībām un Regulu (ES) Nr. 648/2012 (OV L 150, 7.6. 2019., 1. lpp.).</w:t>
      </w:r>
    </w:p>
  </w:footnote>
  <w:footnote w:id="4">
    <w:p w14:paraId="59C7F3FE" w14:textId="77777777" w:rsidR="002715E8" w:rsidRPr="002715E8" w:rsidRDefault="002715E8" w:rsidP="002715E8">
      <w:pPr>
        <w:pStyle w:val="FootnoteText"/>
      </w:pPr>
      <w:r w:rsidRPr="002715E8">
        <w:rPr>
          <w:rStyle w:val="FootnoteReference"/>
        </w:rPr>
        <w:footnoteRef/>
      </w:r>
      <w:r w:rsidRPr="002715E8">
        <w:tab/>
        <w:t>Eiropas Parlamenta un Padomes Direktīva (ES) 2019/879 (2019. gada 20. maijs), ar ko groza Direktīvu 2014/59/ES attiecībā uz zaudējumu absorbcijas un rekapitalizācijas spēju kredītiestādēm un ieguldījumu brokeru sabiedrībām un Direktīvu 98/26/EK (OV L 150, 7.6.2019., 296. lpp.).</w:t>
      </w:r>
    </w:p>
  </w:footnote>
  <w:footnote w:id="5">
    <w:p w14:paraId="66E83DEC" w14:textId="77777777" w:rsidR="002715E8" w:rsidRPr="002715E8" w:rsidRDefault="002715E8" w:rsidP="002715E8">
      <w:pPr>
        <w:pStyle w:val="FootnoteText"/>
      </w:pPr>
      <w:r w:rsidRPr="002715E8">
        <w:rPr>
          <w:rStyle w:val="FootnoteReference"/>
        </w:rPr>
        <w:footnoteRef/>
      </w:r>
      <w:r w:rsidRPr="002715E8">
        <w:tab/>
        <w:t>Eiropas Parlamenta un Padomes Regula (ES) Nr. 1093/2010 (2010. gada 24. novembris), ar ko izveido Eiropas Uzraudzības iestādi (Eiropas Banku iestādi), groza Lēmumu Nr. 716/2009/EK un atceļ Komisijas Lēmumu 2009/78/EK (OV L 331, 15.12.2010., 12. lpp.).</w:t>
      </w:r>
    </w:p>
  </w:footnote>
  <w:footnote w:id="6">
    <w:p w14:paraId="769C8117" w14:textId="77777777" w:rsidR="002715E8" w:rsidRPr="00C44A36" w:rsidRDefault="002715E8" w:rsidP="002715E8">
      <w:pPr>
        <w:pStyle w:val="FootnoteText"/>
      </w:pPr>
      <w:r w:rsidRPr="002715E8">
        <w:rPr>
          <w:rStyle w:val="FootnoteReference"/>
        </w:rPr>
        <w:footnoteRef/>
      </w:r>
      <w:r w:rsidRPr="002715E8">
        <w:tab/>
        <w:t>Eiropas Parlamenta un Padomes Direktīva 2013/36/ES (2013. gada 26. jūnijs) par piekļuvi kredītiestāžu darbībai un kredītiestāžu un ieguldījumu brokeru sabiedrību prudenciālo uzraudzību, ar ko groza Direktīvu 2002/87/EK un atceļ Direktīvas 2006/48/EK un 2006/49/EK (OV L 176, 27.6.2013., 338. lpp.).</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0BAAEF04"/>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2120D8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5CFA453C"/>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91BA0BC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7B644312"/>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2025328"/>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61E0D2E"/>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8A72C0B2"/>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5"/>
  </w:num>
  <w:num w:numId="5">
    <w:abstractNumId w:val="4"/>
  </w:num>
  <w:num w:numId="6">
    <w:abstractNumId w:val="3"/>
  </w:num>
  <w:num w:numId="7">
    <w:abstractNumId w:val="6"/>
  </w:num>
  <w:num w:numId="8">
    <w:abstractNumId w:val="2"/>
  </w:num>
  <w:num w:numId="9">
    <w:abstractNumId w:val="1"/>
  </w:num>
  <w:num w:numId="10">
    <w:abstractNumId w:val="0"/>
  </w:num>
  <w:num w:numId="11">
    <w:abstractNumId w:val="21"/>
    <w:lvlOverride w:ilvl="0">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num>
  <w:num w:numId="40">
    <w:abstractNumId w:val="12"/>
  </w:num>
  <w:num w:numId="41">
    <w:abstractNumId w:val="20"/>
  </w:num>
  <w:num w:numId="42">
    <w:abstractNumId w:val="11"/>
  </w:num>
  <w:num w:numId="43">
    <w:abstractNumId w:val="13"/>
  </w:num>
  <w:num w:numId="44">
    <w:abstractNumId w:val="9"/>
  </w:num>
  <w:num w:numId="45">
    <w:abstractNumId w:val="19"/>
  </w:num>
  <w:num w:numId="46">
    <w:abstractNumId w:val="8"/>
  </w:num>
  <w:num w:numId="47">
    <w:abstractNumId w:val="14"/>
  </w:num>
  <w:num w:numId="48">
    <w:abstractNumId w:val="16"/>
  </w:num>
  <w:num w:numId="49">
    <w:abstractNumId w:val="17"/>
  </w:num>
  <w:num w:numId="50">
    <w:abstractNumId w:val="10"/>
  </w:num>
  <w:num w:numId="51">
    <w:abstractNumId w:val="15"/>
  </w:num>
  <w:num w:numId="52">
    <w:abstractNumId w:val="2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movePersonalInformation/>
  <w:removeDateAndTime/>
  <w:attachedTemplate r:id="rId1"/>
  <w:defaultTabStop w:val="720"/>
  <w:hyphenationZone w:val="425"/>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DQCDateTime" w:val="2021-03-31 10:35:13"/>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1"/>
    <w:docVar w:name="DQCResult_StructureCheck" w:val="0;0"/>
    <w:docVar w:name="DQCResult_SuperfluousWhitespace" w:val="0;1"/>
    <w:docVar w:name="DQCResult_UnknownFonts" w:val="0;0"/>
    <w:docVar w:name="DQCResult_UnknownStyles" w:val="0;0"/>
    <w:docVar w:name="DQCStatus" w:val="Green"/>
    <w:docVar w:name="DQCVersion" w:val="3"/>
    <w:docVar w:name="DQCWithWarnings" w:val="0"/>
    <w:docVar w:name="LW_COVERPAGE_EXISTS" w:val="True"/>
    <w:docVar w:name="LW_COVERPAGE_GUID" w:val="A027A604-D854-4D37-B357-47E0E3384617"/>
    <w:docVar w:name="LW_COVERPAGE_TYPE" w:val="1"/>
    <w:docVar w:name="LW_CROSSREFERENCE" w:val="&lt;UNUSED&gt;"/>
    <w:docVar w:name="LW_DATE.ADOPT.CP" w:val="(XXX),"/>
    <w:docVar w:name="LW_DATE.ADOPT.CP_DATEFORMAT" w:val="(%DATE%),"/>
    <w:docVar w:name="LW_DATE.ADOPT.CP_ISODATE" w:val="&lt;EMPTY&gt;"/>
    <w:docVar w:name="LW_DocType" w:val="COM"/>
    <w:docVar w:name="LW_EMISSION" w:val="&lt;EMPTY&gt;"/>
    <w:docVar w:name="LW_EMISSION_ISODATE" w:val="&lt;EMPTY&gt;"/>
    <w:docVar w:name="LW_EMISSION_LOCATION" w:val="BRX"/>
    <w:docVar w:name="LW_EMISSION_PREFIX" w:val="Brisel\u275?, "/>
    <w:docVar w:name="LW_EMISSION_SUFFIX" w:val="."/>
    <w:docVar w:name="LW_ID_DOCMODEL" w:val="SJ-004"/>
    <w:docVar w:name="LW_ID_DOCSIGNATURE" w:val="SJ-004"/>
    <w:docVar w:name="LW_ID_DOCSTRUCTURE" w:val="COM/AA"/>
    <w:docVar w:name="LW_ID_DOCTYPE" w:val="SJ-004"/>
    <w:docVar w:name="LW_INTERETEEE" w:val="(Dokuments attiecas uz EEZ)"/>
    <w:docVar w:name="LW_INTERETEEE.CP" w:val="(Dokuments attiecas uz EEZ)"/>
    <w:docVar w:name="LW_LANGUE" w:val="LV"/>
    <w:docVar w:name="LW_LANGUESFAISANTFOI.CP" w:val="&lt;UNUSED&gt;"/>
    <w:docVar w:name="LW_LEVEL_OF_SENSITIVITY" w:val="Standard treatment"/>
    <w:docVar w:name="LW_NOM.INST" w:val="EIROPAS KOMISIJA"/>
    <w:docVar w:name="LW_NOM.INST_JOINTDOC" w:val="&lt;EMPTY&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 w:val="&lt;FMT:Bold&gt;ar ko nosaka \u299?steno\u353?anas tehniskos standartus Eiropas Parlamenta un Padomes Regulas (ES) Nr. 575/2013 un Eiropas Parlamenta un Padomes Direkt\u299?vas 2014/59/ES piem\u275?ro\u353?anai attiec\u299?b\u257? uz uzraudz\u299?bas p\u257?rskatu snieg\u353?anu un \u257?cijas publisko\u353?anu par minimuma pras\u299?bu pa\u353?u kapit\u257?lam un atbilst\u299?gaj\u257?m saist\u299?b\u257?m&lt;/FMT&gt;_x000d__x000b_"/>
    <w:docVar w:name="LW_TITRE.OBJ.CP" w:val="&lt;FMT:Bold&gt;ar ko nosaka \u299?steno\u353?anas tehniskos standartus Eiropas Parlamenta un Padomes Regulas (ES) Nr. 575/2013 un Eiropas Parlamenta un Padomes Direkt\u299?vas 2014/59/ES piem\u275?ro\u353?anai attiec\u299?b\u257? uz uzraudz\u299?bas p\u257?rskatu snieg\u353?anu un \u257?cijas publisko\u353?anu par minimuma pras\u299?bu pa\u353?u kapit\u257?lam un atbilst\u299?gaj\u257?m saist\u299?b\u257?m&lt;/FMT&gt;_x000d__x000b_"/>
    <w:docVar w:name="LW_TYPE.DOC" w:val="KOMISIJAS \u298?STENO\u352?ANAS REGULA (ES) \u8230?/.."/>
    <w:docVar w:name="LW_TYPE.DOC.CP" w:val="KOMISIJAS \u298?STENO\u352?ANAS REGULA (ES) \u8230?/.."/>
  </w:docVars>
  <w:rsids>
    <w:rsidRoot w:val="00911C0D"/>
    <w:rsid w:val="00022330"/>
    <w:rsid w:val="00050379"/>
    <w:rsid w:val="00080A21"/>
    <w:rsid w:val="000A7517"/>
    <w:rsid w:val="000B7034"/>
    <w:rsid w:val="000E198E"/>
    <w:rsid w:val="000E7934"/>
    <w:rsid w:val="000F730F"/>
    <w:rsid w:val="00114389"/>
    <w:rsid w:val="00144CAD"/>
    <w:rsid w:val="00146633"/>
    <w:rsid w:val="0017105F"/>
    <w:rsid w:val="001B26AE"/>
    <w:rsid w:val="001C2816"/>
    <w:rsid w:val="001D50FA"/>
    <w:rsid w:val="001E0321"/>
    <w:rsid w:val="001F6393"/>
    <w:rsid w:val="00213D10"/>
    <w:rsid w:val="00221C95"/>
    <w:rsid w:val="00223BDA"/>
    <w:rsid w:val="00232E98"/>
    <w:rsid w:val="00252F49"/>
    <w:rsid w:val="002715E8"/>
    <w:rsid w:val="00273AFD"/>
    <w:rsid w:val="002A6E40"/>
    <w:rsid w:val="003361FD"/>
    <w:rsid w:val="00341F15"/>
    <w:rsid w:val="0035171A"/>
    <w:rsid w:val="0038586F"/>
    <w:rsid w:val="003D1FF4"/>
    <w:rsid w:val="00403FFA"/>
    <w:rsid w:val="004D75CF"/>
    <w:rsid w:val="00501159"/>
    <w:rsid w:val="00515FD9"/>
    <w:rsid w:val="00534AD8"/>
    <w:rsid w:val="00562575"/>
    <w:rsid w:val="00576101"/>
    <w:rsid w:val="00595F73"/>
    <w:rsid w:val="005A470A"/>
    <w:rsid w:val="005F390A"/>
    <w:rsid w:val="0060509B"/>
    <w:rsid w:val="006142ED"/>
    <w:rsid w:val="006601FC"/>
    <w:rsid w:val="00693D6D"/>
    <w:rsid w:val="0069401E"/>
    <w:rsid w:val="006E792A"/>
    <w:rsid w:val="0070128F"/>
    <w:rsid w:val="00786D48"/>
    <w:rsid w:val="007B47A6"/>
    <w:rsid w:val="007C06F6"/>
    <w:rsid w:val="007D06B9"/>
    <w:rsid w:val="007D3252"/>
    <w:rsid w:val="00867BAC"/>
    <w:rsid w:val="008A0BE0"/>
    <w:rsid w:val="008E0D6D"/>
    <w:rsid w:val="008E17B7"/>
    <w:rsid w:val="008F166D"/>
    <w:rsid w:val="00911C0D"/>
    <w:rsid w:val="00936C22"/>
    <w:rsid w:val="00947623"/>
    <w:rsid w:val="009606FE"/>
    <w:rsid w:val="00986B33"/>
    <w:rsid w:val="00987AD5"/>
    <w:rsid w:val="009A00A8"/>
    <w:rsid w:val="009B7138"/>
    <w:rsid w:val="009F1589"/>
    <w:rsid w:val="00A242DE"/>
    <w:rsid w:val="00A25281"/>
    <w:rsid w:val="00A72CC5"/>
    <w:rsid w:val="00A92F78"/>
    <w:rsid w:val="00AA2E8A"/>
    <w:rsid w:val="00AC0214"/>
    <w:rsid w:val="00AC0746"/>
    <w:rsid w:val="00AD067C"/>
    <w:rsid w:val="00B076B3"/>
    <w:rsid w:val="00B1066F"/>
    <w:rsid w:val="00B129CF"/>
    <w:rsid w:val="00B15ABD"/>
    <w:rsid w:val="00B26F22"/>
    <w:rsid w:val="00B378A2"/>
    <w:rsid w:val="00B51552"/>
    <w:rsid w:val="00BA2EBA"/>
    <w:rsid w:val="00BE246D"/>
    <w:rsid w:val="00BF17AA"/>
    <w:rsid w:val="00C13087"/>
    <w:rsid w:val="00C20744"/>
    <w:rsid w:val="00C24556"/>
    <w:rsid w:val="00C44A36"/>
    <w:rsid w:val="00C86532"/>
    <w:rsid w:val="00C9260D"/>
    <w:rsid w:val="00C95437"/>
    <w:rsid w:val="00CA4FF5"/>
    <w:rsid w:val="00CD7950"/>
    <w:rsid w:val="00D05552"/>
    <w:rsid w:val="00D104BF"/>
    <w:rsid w:val="00D2203D"/>
    <w:rsid w:val="00D4070C"/>
    <w:rsid w:val="00D444EA"/>
    <w:rsid w:val="00D56ED7"/>
    <w:rsid w:val="00D653C4"/>
    <w:rsid w:val="00D80CBF"/>
    <w:rsid w:val="00DB7093"/>
    <w:rsid w:val="00DC0EF5"/>
    <w:rsid w:val="00DC7D9F"/>
    <w:rsid w:val="00DD5153"/>
    <w:rsid w:val="00E0465B"/>
    <w:rsid w:val="00E31F5B"/>
    <w:rsid w:val="00E34FF4"/>
    <w:rsid w:val="00E65C7F"/>
    <w:rsid w:val="00EA09E4"/>
    <w:rsid w:val="00EE12E2"/>
    <w:rsid w:val="00EF62B3"/>
    <w:rsid w:val="00F20062"/>
    <w:rsid w:val="00F45263"/>
    <w:rsid w:val="00F82D09"/>
    <w:rsid w:val="00FB396C"/>
    <w:rsid w:val="00FB639E"/>
    <w:rsid w:val="00FC46B5"/>
    <w:rsid w:val="00FC55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4D75B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lv-LV"/>
    </w:rPr>
  </w:style>
  <w:style w:type="paragraph" w:styleId="Heading1">
    <w:name w:val="heading 1"/>
    <w:basedOn w:val="Normal"/>
    <w:next w:val="Text1"/>
    <w:link w:val="Heading1Char"/>
    <w:uiPriority w:val="9"/>
    <w:qFormat/>
    <w:rsid w:val="009B7138"/>
    <w:pPr>
      <w:keepNext/>
      <w:numPr>
        <w:numId w:val="45"/>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45"/>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45"/>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45"/>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semiHidden/>
    <w:unhideWhenUsed/>
    <w:qFormat/>
    <w:rsid w:val="001B26AE"/>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1B26AE"/>
    <w:pPr>
      <w:spacing w:after="0"/>
    </w:pPr>
  </w:style>
  <w:style w:type="paragraph" w:styleId="ListBullet">
    <w:name w:val="List Bullet"/>
    <w:basedOn w:val="Normal"/>
    <w:uiPriority w:val="99"/>
    <w:semiHidden/>
    <w:unhideWhenUsed/>
    <w:rsid w:val="001B26AE"/>
    <w:pPr>
      <w:numPr>
        <w:numId w:val="3"/>
      </w:numPr>
      <w:contextualSpacing/>
    </w:pPr>
  </w:style>
  <w:style w:type="paragraph" w:styleId="ListBullet2">
    <w:name w:val="List Bullet 2"/>
    <w:basedOn w:val="Normal"/>
    <w:uiPriority w:val="99"/>
    <w:semiHidden/>
    <w:unhideWhenUsed/>
    <w:rsid w:val="001B26AE"/>
    <w:pPr>
      <w:numPr>
        <w:numId w:val="4"/>
      </w:numPr>
      <w:contextualSpacing/>
    </w:pPr>
  </w:style>
  <w:style w:type="paragraph" w:styleId="ListBullet3">
    <w:name w:val="List Bullet 3"/>
    <w:basedOn w:val="Normal"/>
    <w:uiPriority w:val="99"/>
    <w:semiHidden/>
    <w:unhideWhenUsed/>
    <w:rsid w:val="001B26AE"/>
    <w:pPr>
      <w:numPr>
        <w:numId w:val="5"/>
      </w:numPr>
      <w:contextualSpacing/>
    </w:pPr>
  </w:style>
  <w:style w:type="paragraph" w:styleId="ListBullet4">
    <w:name w:val="List Bullet 4"/>
    <w:basedOn w:val="Normal"/>
    <w:uiPriority w:val="99"/>
    <w:semiHidden/>
    <w:unhideWhenUsed/>
    <w:rsid w:val="001B26AE"/>
    <w:pPr>
      <w:numPr>
        <w:numId w:val="6"/>
      </w:numPr>
      <w:contextualSpacing/>
    </w:pPr>
  </w:style>
  <w:style w:type="paragraph" w:styleId="ListNumber">
    <w:name w:val="List Number"/>
    <w:basedOn w:val="Normal"/>
    <w:uiPriority w:val="99"/>
    <w:semiHidden/>
    <w:unhideWhenUsed/>
    <w:rsid w:val="001B26AE"/>
    <w:pPr>
      <w:numPr>
        <w:numId w:val="7"/>
      </w:numPr>
      <w:contextualSpacing/>
    </w:pPr>
  </w:style>
  <w:style w:type="paragraph" w:styleId="ListNumber2">
    <w:name w:val="List Number 2"/>
    <w:basedOn w:val="Normal"/>
    <w:uiPriority w:val="99"/>
    <w:semiHidden/>
    <w:unhideWhenUsed/>
    <w:rsid w:val="001B26AE"/>
    <w:pPr>
      <w:numPr>
        <w:numId w:val="8"/>
      </w:numPr>
      <w:contextualSpacing/>
    </w:pPr>
  </w:style>
  <w:style w:type="paragraph" w:styleId="ListNumber3">
    <w:name w:val="List Number 3"/>
    <w:basedOn w:val="Normal"/>
    <w:uiPriority w:val="99"/>
    <w:semiHidden/>
    <w:unhideWhenUsed/>
    <w:rsid w:val="001B26AE"/>
    <w:pPr>
      <w:numPr>
        <w:numId w:val="9"/>
      </w:numPr>
      <w:contextualSpacing/>
    </w:pPr>
  </w:style>
  <w:style w:type="paragraph" w:styleId="ListNumber4">
    <w:name w:val="List Number 4"/>
    <w:basedOn w:val="Normal"/>
    <w:uiPriority w:val="99"/>
    <w:semiHidden/>
    <w:unhideWhenUsed/>
    <w:rsid w:val="001B26AE"/>
    <w:pPr>
      <w:numPr>
        <w:numId w:val="10"/>
      </w:numPr>
      <w:contextualSpacing/>
    </w:pPr>
  </w:style>
  <w:style w:type="character" w:styleId="CommentReference">
    <w:name w:val="annotation reference"/>
    <w:basedOn w:val="DefaultParagraphFont"/>
    <w:uiPriority w:val="99"/>
    <w:semiHidden/>
    <w:unhideWhenUsed/>
    <w:rsid w:val="00403FFA"/>
    <w:rPr>
      <w:sz w:val="16"/>
      <w:szCs w:val="16"/>
    </w:rPr>
  </w:style>
  <w:style w:type="paragraph" w:styleId="CommentText">
    <w:name w:val="annotation text"/>
    <w:basedOn w:val="Normal"/>
    <w:link w:val="CommentTextChar"/>
    <w:uiPriority w:val="99"/>
    <w:unhideWhenUsed/>
    <w:rsid w:val="00403FFA"/>
    <w:rPr>
      <w:sz w:val="20"/>
      <w:szCs w:val="20"/>
    </w:rPr>
  </w:style>
  <w:style w:type="character" w:customStyle="1" w:styleId="CommentTextChar">
    <w:name w:val="Comment Text Char"/>
    <w:basedOn w:val="DefaultParagraphFont"/>
    <w:link w:val="CommentText"/>
    <w:uiPriority w:val="99"/>
    <w:rsid w:val="00403FFA"/>
    <w:rPr>
      <w:rFonts w:ascii="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403FFA"/>
    <w:rPr>
      <w:b/>
      <w:bCs/>
    </w:rPr>
  </w:style>
  <w:style w:type="character" w:customStyle="1" w:styleId="CommentSubjectChar">
    <w:name w:val="Comment Subject Char"/>
    <w:basedOn w:val="CommentTextChar"/>
    <w:link w:val="CommentSubject"/>
    <w:uiPriority w:val="99"/>
    <w:semiHidden/>
    <w:rsid w:val="00403FFA"/>
    <w:rPr>
      <w:rFonts w:ascii="Times New Roman" w:hAnsi="Times New Roman" w:cs="Times New Roman"/>
      <w:b/>
      <w:bCs/>
      <w:sz w:val="20"/>
      <w:szCs w:val="20"/>
      <w:lang w:val="en-GB"/>
    </w:rPr>
  </w:style>
  <w:style w:type="paragraph" w:styleId="BalloonText">
    <w:name w:val="Balloon Text"/>
    <w:basedOn w:val="Normal"/>
    <w:link w:val="BalloonTextChar"/>
    <w:uiPriority w:val="99"/>
    <w:semiHidden/>
    <w:unhideWhenUsed/>
    <w:rsid w:val="00403FFA"/>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3FFA"/>
    <w:rPr>
      <w:rFonts w:ascii="Segoe UI" w:hAnsi="Segoe UI" w:cs="Segoe UI"/>
      <w:sz w:val="18"/>
      <w:szCs w:val="18"/>
      <w:lang w:val="en-GB"/>
    </w:rPr>
  </w:style>
  <w:style w:type="character" w:styleId="Hyperlink">
    <w:name w:val="Hyperlink"/>
    <w:basedOn w:val="DefaultParagraphFont"/>
    <w:uiPriority w:val="99"/>
    <w:unhideWhenUsed/>
    <w:rsid w:val="00403FFA"/>
    <w:rPr>
      <w:color w:val="0000FF" w:themeColor="hyperlink"/>
      <w:u w:val="single"/>
    </w:rPr>
  </w:style>
  <w:style w:type="paragraph" w:styleId="Revision">
    <w:name w:val="Revision"/>
    <w:hidden/>
    <w:uiPriority w:val="99"/>
    <w:semiHidden/>
    <w:rsid w:val="00DB7093"/>
    <w:pPr>
      <w:spacing w:after="0" w:line="240" w:lineRule="auto"/>
    </w:pPr>
    <w:rPr>
      <w:rFonts w:ascii="Times New Roman" w:hAnsi="Times New Roman" w:cs="Times New Roman"/>
      <w:sz w:val="24"/>
      <w:lang w:val="en-GB"/>
    </w:rPr>
  </w:style>
  <w:style w:type="paragraph" w:styleId="ListParagraph">
    <w:name w:val="List Paragraph"/>
    <w:basedOn w:val="Normal"/>
    <w:uiPriority w:val="34"/>
    <w:qFormat/>
    <w:rsid w:val="00B076B3"/>
    <w:pPr>
      <w:ind w:left="720"/>
      <w:contextualSpacing/>
    </w:p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39"/>
      </w:numPr>
    </w:pPr>
  </w:style>
  <w:style w:type="paragraph" w:customStyle="1" w:styleId="Tiret1">
    <w:name w:val="Tiret 1"/>
    <w:basedOn w:val="Point1"/>
    <w:rsid w:val="009B7138"/>
    <w:pPr>
      <w:numPr>
        <w:numId w:val="40"/>
      </w:numPr>
    </w:pPr>
  </w:style>
  <w:style w:type="paragraph" w:customStyle="1" w:styleId="Tiret2">
    <w:name w:val="Tiret 2"/>
    <w:basedOn w:val="Point2"/>
    <w:rsid w:val="009B7138"/>
    <w:pPr>
      <w:numPr>
        <w:numId w:val="41"/>
      </w:numPr>
    </w:pPr>
  </w:style>
  <w:style w:type="paragraph" w:customStyle="1" w:styleId="Tiret3">
    <w:name w:val="Tiret 3"/>
    <w:basedOn w:val="Point3"/>
    <w:rsid w:val="009B7138"/>
    <w:pPr>
      <w:numPr>
        <w:numId w:val="42"/>
      </w:numPr>
    </w:pPr>
  </w:style>
  <w:style w:type="paragraph" w:customStyle="1" w:styleId="Tiret4">
    <w:name w:val="Tiret 4"/>
    <w:basedOn w:val="Point4"/>
    <w:rsid w:val="009B7138"/>
    <w:pPr>
      <w:numPr>
        <w:numId w:val="43"/>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44"/>
      </w:numPr>
    </w:pPr>
  </w:style>
  <w:style w:type="paragraph" w:customStyle="1" w:styleId="NumPar2">
    <w:name w:val="NumPar 2"/>
    <w:basedOn w:val="Normal"/>
    <w:next w:val="Text1"/>
    <w:rsid w:val="009B7138"/>
    <w:pPr>
      <w:numPr>
        <w:ilvl w:val="1"/>
        <w:numId w:val="44"/>
      </w:numPr>
    </w:pPr>
  </w:style>
  <w:style w:type="paragraph" w:customStyle="1" w:styleId="NumPar3">
    <w:name w:val="NumPar 3"/>
    <w:basedOn w:val="Normal"/>
    <w:next w:val="Text1"/>
    <w:rsid w:val="009B7138"/>
    <w:pPr>
      <w:numPr>
        <w:ilvl w:val="2"/>
        <w:numId w:val="44"/>
      </w:numPr>
    </w:pPr>
  </w:style>
  <w:style w:type="paragraph" w:customStyle="1" w:styleId="NumPar4">
    <w:name w:val="NumPar 4"/>
    <w:basedOn w:val="Normal"/>
    <w:next w:val="Text1"/>
    <w:rsid w:val="009B7138"/>
    <w:pPr>
      <w:numPr>
        <w:ilvl w:val="3"/>
        <w:numId w:val="44"/>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46"/>
      </w:numPr>
    </w:pPr>
  </w:style>
  <w:style w:type="paragraph" w:customStyle="1" w:styleId="Point1number">
    <w:name w:val="Point 1 (number)"/>
    <w:basedOn w:val="Normal"/>
    <w:rsid w:val="009B7138"/>
    <w:pPr>
      <w:numPr>
        <w:ilvl w:val="2"/>
        <w:numId w:val="46"/>
      </w:numPr>
    </w:pPr>
  </w:style>
  <w:style w:type="paragraph" w:customStyle="1" w:styleId="Point2number">
    <w:name w:val="Point 2 (number)"/>
    <w:basedOn w:val="Normal"/>
    <w:rsid w:val="009B7138"/>
    <w:pPr>
      <w:numPr>
        <w:ilvl w:val="4"/>
        <w:numId w:val="46"/>
      </w:numPr>
    </w:pPr>
  </w:style>
  <w:style w:type="paragraph" w:customStyle="1" w:styleId="Point3number">
    <w:name w:val="Point 3 (number)"/>
    <w:basedOn w:val="Normal"/>
    <w:rsid w:val="009B7138"/>
    <w:pPr>
      <w:numPr>
        <w:ilvl w:val="6"/>
        <w:numId w:val="46"/>
      </w:numPr>
    </w:pPr>
  </w:style>
  <w:style w:type="paragraph" w:customStyle="1" w:styleId="Point0letter">
    <w:name w:val="Point 0 (letter)"/>
    <w:basedOn w:val="Normal"/>
    <w:rsid w:val="009B7138"/>
    <w:pPr>
      <w:numPr>
        <w:ilvl w:val="1"/>
        <w:numId w:val="46"/>
      </w:numPr>
    </w:pPr>
  </w:style>
  <w:style w:type="paragraph" w:customStyle="1" w:styleId="Point1letter">
    <w:name w:val="Point 1 (letter)"/>
    <w:basedOn w:val="Normal"/>
    <w:rsid w:val="009B7138"/>
    <w:pPr>
      <w:numPr>
        <w:ilvl w:val="3"/>
        <w:numId w:val="46"/>
      </w:numPr>
    </w:pPr>
  </w:style>
  <w:style w:type="paragraph" w:customStyle="1" w:styleId="Point2letter">
    <w:name w:val="Point 2 (letter)"/>
    <w:basedOn w:val="Normal"/>
    <w:rsid w:val="009B7138"/>
    <w:pPr>
      <w:numPr>
        <w:ilvl w:val="5"/>
        <w:numId w:val="46"/>
      </w:numPr>
    </w:pPr>
  </w:style>
  <w:style w:type="paragraph" w:customStyle="1" w:styleId="Point3letter">
    <w:name w:val="Point 3 (letter)"/>
    <w:basedOn w:val="Normal"/>
    <w:rsid w:val="009B7138"/>
    <w:pPr>
      <w:numPr>
        <w:ilvl w:val="7"/>
        <w:numId w:val="46"/>
      </w:numPr>
    </w:pPr>
  </w:style>
  <w:style w:type="paragraph" w:customStyle="1" w:styleId="Point4letter">
    <w:name w:val="Point 4 (letter)"/>
    <w:basedOn w:val="Normal"/>
    <w:rsid w:val="009B7138"/>
    <w:pPr>
      <w:numPr>
        <w:ilvl w:val="8"/>
        <w:numId w:val="46"/>
      </w:numPr>
    </w:pPr>
  </w:style>
  <w:style w:type="paragraph" w:customStyle="1" w:styleId="Bullet0">
    <w:name w:val="Bullet 0"/>
    <w:basedOn w:val="Normal"/>
    <w:rsid w:val="009B7138"/>
    <w:pPr>
      <w:numPr>
        <w:numId w:val="47"/>
      </w:numPr>
    </w:pPr>
  </w:style>
  <w:style w:type="paragraph" w:customStyle="1" w:styleId="Bullet1">
    <w:name w:val="Bullet 1"/>
    <w:basedOn w:val="Normal"/>
    <w:rsid w:val="009B7138"/>
    <w:pPr>
      <w:numPr>
        <w:numId w:val="48"/>
      </w:numPr>
    </w:pPr>
  </w:style>
  <w:style w:type="paragraph" w:customStyle="1" w:styleId="Bullet2">
    <w:name w:val="Bullet 2"/>
    <w:basedOn w:val="Normal"/>
    <w:rsid w:val="009B7138"/>
    <w:pPr>
      <w:numPr>
        <w:numId w:val="49"/>
      </w:numPr>
    </w:pPr>
  </w:style>
  <w:style w:type="paragraph" w:customStyle="1" w:styleId="Bullet3">
    <w:name w:val="Bullet 3"/>
    <w:basedOn w:val="Normal"/>
    <w:rsid w:val="009B7138"/>
    <w:pPr>
      <w:numPr>
        <w:numId w:val="50"/>
      </w:numPr>
    </w:pPr>
  </w:style>
  <w:style w:type="paragraph" w:customStyle="1" w:styleId="Bullet4">
    <w:name w:val="Bullet 4"/>
    <w:basedOn w:val="Normal"/>
    <w:rsid w:val="009B7138"/>
    <w:pPr>
      <w:numPr>
        <w:numId w:val="51"/>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52"/>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441092">
      <w:bodyDiv w:val="1"/>
      <w:marLeft w:val="0"/>
      <w:marRight w:val="0"/>
      <w:marTop w:val="0"/>
      <w:marBottom w:val="0"/>
      <w:divBdr>
        <w:top w:val="none" w:sz="0" w:space="0" w:color="auto"/>
        <w:left w:val="none" w:sz="0" w:space="0" w:color="auto"/>
        <w:bottom w:val="none" w:sz="0" w:space="0" w:color="auto"/>
        <w:right w:val="none" w:sz="0" w:space="0" w:color="auto"/>
      </w:divBdr>
      <w:divsChild>
        <w:div w:id="3379302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5A277C-B1EE-4635-A258-308F34A5CF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0</TotalTime>
  <Pages>13</Pages>
  <Words>4129</Words>
  <Characters>26100</Characters>
  <Application>Microsoft Office Word</Application>
  <DocSecurity>0</DocSecurity>
  <Lines>466</Lines>
  <Paragraphs>170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2021-05-18T11:42:00Z</dcterms:created>
  <dcterms:modified xsi:type="dcterms:W3CDTF">2021-05-18T11:42:00Z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7.0.1, Build 20190916</vt:lpwstr>
  </property>
  <property fmtid="{D5CDD505-2E9C-101B-9397-08002B2CF9AE}" pid="4" name="Part">
    <vt:lpwstr>1</vt:lpwstr>
  </property>
  <property fmtid="{D5CDD505-2E9C-101B-9397-08002B2CF9AE}" pid="5" name="Total parts">
    <vt:lpwstr>1</vt:lpwstr>
  </property>
  <property fmtid="{D5CDD505-2E9C-101B-9397-08002B2CF9AE}" pid="6" name="LWTemplateID">
    <vt:lpwstr>SJ-004</vt:lpwstr>
  </property>
  <property fmtid="{D5CDD505-2E9C-101B-9397-08002B2CF9AE}" pid="7" name="DQCStatus">
    <vt:lpwstr>Green (DQC version 03)</vt:lpwstr>
  </property>
</Properties>
</file>