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8384E" w14:textId="77777777" w:rsidR="00883FC8" w:rsidRDefault="00BA4103">
      <w:pPr>
        <w:pStyle w:val="Typedudocument"/>
      </w:pPr>
      <w:r>
        <w:t>A Bizottság (EU) 2021/… végrehajtási rendelete</w:t>
      </w:r>
    </w:p>
    <w:p w14:paraId="6594F2F5" w14:textId="77777777" w:rsidR="00883FC8" w:rsidRPr="00504D31" w:rsidRDefault="00BA4103">
      <w:pPr>
        <w:pStyle w:val="Datedadoption"/>
      </w:pPr>
      <w:r w:rsidRPr="00504D31">
        <w:t>(</w:t>
      </w:r>
      <w:r w:rsidRPr="00504D31">
        <w:rPr>
          <w:rStyle w:val="Marker2"/>
          <w:color w:val="auto"/>
        </w:rPr>
        <w:t>2021. december 6.</w:t>
      </w:r>
      <w:r w:rsidRPr="00504D31">
        <w:t>)</w:t>
      </w:r>
    </w:p>
    <w:p w14:paraId="1E398D21" w14:textId="77777777" w:rsidR="00883FC8" w:rsidRDefault="00BA4103">
      <w:pPr>
        <w:pStyle w:val="Titreobjet"/>
      </w:pPr>
      <w:r>
        <w:t>az (EU) 2019/2033 európai parlamenti és tanácsi rendeletnek a befektetési vállalkozások felügyeleti adatszolgáltatása és közzétételei tekintetében történő alkalmazására vonatkozó végrehajtás-technikai standardok megállapításáról</w:t>
      </w:r>
    </w:p>
    <w:p w14:paraId="20E7E296" w14:textId="77777777" w:rsidR="00883FC8" w:rsidRDefault="00BA4103">
      <w:pPr>
        <w:pStyle w:val="IntrtEEE"/>
      </w:pPr>
      <w:r>
        <w:t>(EGT-vonatkozású szöveg)</w:t>
      </w:r>
    </w:p>
    <w:p w14:paraId="7AEC65C9" w14:textId="77777777" w:rsidR="00883FC8" w:rsidRDefault="00BA4103">
      <w:pPr>
        <w:pStyle w:val="Institutionquiagit"/>
      </w:pPr>
      <w:r>
        <w:t>AZ EURÓPAI BIZOTTSÁG,</w:t>
      </w:r>
    </w:p>
    <w:p w14:paraId="5A09D34B" w14:textId="77777777" w:rsidR="00883FC8" w:rsidRDefault="00BA4103">
      <w:r>
        <w:t>tekintettel az Európai Unió működéséről szóló szerződésre,</w:t>
      </w:r>
    </w:p>
    <w:p w14:paraId="45FBC714" w14:textId="77777777" w:rsidR="00883FC8" w:rsidRDefault="00BA4103">
      <w:r>
        <w:t>tekintettel a befektetési vállalkozásokra vonatkozó prudenciális követelményekről, valamint az 1093/2010/EU, az 575/2013/EU, a 600/2014/EU és a 806/2014/EU rendelet módosításáról szóló, 2019. november 27-i (EU) 2019/2033 európai parlamenti és tanácsi rendeletre </w:t>
      </w:r>
      <w:r>
        <w:rPr>
          <w:rStyle w:val="FootnoteReference"/>
        </w:rPr>
        <w:footnoteReference w:id="1"/>
      </w:r>
      <w:r>
        <w:t xml:space="preserve"> és különösen annak 49. cikke (2) bekezdésére és 54. cikke (3) bekezdésére,</w:t>
      </w:r>
    </w:p>
    <w:p w14:paraId="67111425" w14:textId="77777777" w:rsidR="00883FC8" w:rsidRDefault="00BA4103">
      <w:r>
        <w:t>mivel:</w:t>
      </w:r>
    </w:p>
    <w:p w14:paraId="153EAD08" w14:textId="77777777" w:rsidR="00883FC8" w:rsidRDefault="00BA4103">
      <w:pPr>
        <w:pStyle w:val="Considrant"/>
        <w:numPr>
          <w:ilvl w:val="0"/>
          <w:numId w:val="0"/>
        </w:numPr>
        <w:tabs>
          <w:tab w:val="left" w:pos="709"/>
        </w:tabs>
        <w:ind w:left="709" w:hanging="709"/>
      </w:pPr>
      <w:r>
        <w:t>(1)</w:t>
      </w:r>
      <w:r>
        <w:tab/>
        <w:t>A befektetési vállalkozásokra vonatkozóan az (EU) 2019/2033 rendelet 54. cikkében előírt adatszolgáltatási követelményeket a befektetési vállalkozások üzleti tevékenységéhez kell igazítani, és azoknak arányosnak kell lenniük a különböző befektetési vállalkozások méretével és összetettségével. A követelményeknek figyelembe kell venniük különösen azt, hogy bizonyos befektetési vállalkozások az (EU) 2019/2033 rendelet 12. cikkében meghatározott feltételek szerint kis méretű és össze nem kapcsolt befektetési vállalkozásnak tekintendők.</w:t>
      </w:r>
    </w:p>
    <w:p w14:paraId="2080BA5D" w14:textId="77777777" w:rsidR="00883FC8" w:rsidRDefault="00BA4103">
      <w:pPr>
        <w:pStyle w:val="Considrant"/>
        <w:numPr>
          <w:ilvl w:val="0"/>
          <w:numId w:val="0"/>
        </w:numPr>
        <w:tabs>
          <w:tab w:val="left" w:pos="709"/>
        </w:tabs>
        <w:ind w:left="709" w:hanging="709"/>
      </w:pPr>
      <w:r>
        <w:t>(2)</w:t>
      </w:r>
      <w:r>
        <w:tab/>
        <w:t>Az (EU) 2019/2033 rendelet 54. cikkének (1) bekezdése szerint a kis méretű és össze nem kapcsolt befektetési vállalkozásoknak információkat kell szolgáltatniuk szavatolótőkéjük szintjéről és összetételéről, a szavatolótőke-követelményeikről, a szavatolótőke-követelmények kiszámításának alapjáról, valamint tevékenységük mértékéről az (EU) 2019/2033 rendelet 12. cikkének (1) bekezdésében meghatározott feltételek szempontjából. A kis méretű és össze nem kapcsolt vállalkozásoknak ezért nem kell ugyanolyan részletességű információkat szolgáltatniuk, mint az (EU) 2019/2033 rendelet hatálya alá tartozó egyéb befektetési vállalkozásoknak. A K-faktor számítására vonatkozó adatszolgáltatási táblák ezért nem alkalmazandók a kis méretű és össze nem kapcsolt vállalkozásokra. Emellett az (EU) 2019/2033 rendelet 54. cikke (2) bekezdésének harmadik albekezdése szerint a kis méretű és össze nem kapcsolt vállalkozások mentesülnek a koncentrációs kockázatra vonatkozó adatszolgáltatás alól, az illetékes hatóságok pedig mentesíthetik a kis méretű és össze nem kapcsolt vállalkozásokat a likviditási követelményekről szóló adatszolgáltatási kötelezettség alól.</w:t>
      </w:r>
      <w:bookmarkStart w:id="0" w:name="_DV_C108"/>
      <w:bookmarkStart w:id="1" w:name="_DV_M108"/>
      <w:bookmarkEnd w:id="0"/>
      <w:bookmarkEnd w:id="1"/>
    </w:p>
    <w:p w14:paraId="057A4CF1" w14:textId="77777777" w:rsidR="00883FC8" w:rsidRDefault="00BA4103">
      <w:pPr>
        <w:pStyle w:val="Considrant"/>
        <w:numPr>
          <w:ilvl w:val="0"/>
          <w:numId w:val="0"/>
        </w:numPr>
        <w:tabs>
          <w:tab w:val="left" w:pos="709"/>
        </w:tabs>
        <w:ind w:left="709" w:hanging="709"/>
      </w:pPr>
      <w:r>
        <w:t>(3)</w:t>
      </w:r>
      <w:r>
        <w:tab/>
        <w:t>Az (EU) 2019/2033 rendelet hatálya alá tartozó valamennyi befektetési vállalkozásnak jelentést kell tennie tevékenységi profiljáról és méretéről annak érdekében, hogy az illetékes hatóságok értékelni tudják, hogy a befektetési vállalkozás teljesíti-e a kis méretű és össze nem kapcsolt befektetési vállalkozásként való besorolásnak az (EU) 2019/2033 rendelet 12. cikkében meghatározott feltételeit.</w:t>
      </w:r>
    </w:p>
    <w:p w14:paraId="3FE67425" w14:textId="77777777" w:rsidR="00883FC8" w:rsidRDefault="00BA4103">
      <w:pPr>
        <w:pStyle w:val="Considrant"/>
        <w:numPr>
          <w:ilvl w:val="0"/>
          <w:numId w:val="0"/>
        </w:numPr>
        <w:tabs>
          <w:tab w:val="left" w:pos="709"/>
        </w:tabs>
        <w:ind w:left="709" w:hanging="709"/>
      </w:pPr>
      <w:r>
        <w:lastRenderedPageBreak/>
        <w:t>(4)</w:t>
      </w:r>
      <w:r>
        <w:tab/>
        <w:t>A befektetők és a szélesebb piac számára biztosítandó átláthatóság érdekében az (EU) 2019/2033 rendelet 46. cikke előírja a kis méretű és össze nem kapcsolt befektetési vállalkozásoktól eltérő befektetési vállalkozások számára, hogy hozzák nyilvánosságra az említett rendelet hatodik részében meghatározott információkat. A kis méretű és össze nem kapcsolt befektetési vállalkozásokra nem vonatkoznak ezek a nyilvánosságra hozatali követelmények, kivéve, ha kiegészítő alapvető tőkeinstrumentumokat bocsátanak ki, mely esetben az átláthatóságot az ezen instrumentumokba befektetők érdekében biztosítani kell.</w:t>
      </w:r>
    </w:p>
    <w:p w14:paraId="07028AEF" w14:textId="77777777" w:rsidR="00883FC8" w:rsidRDefault="00BA4103">
      <w:pPr>
        <w:pStyle w:val="Considrant"/>
        <w:numPr>
          <w:ilvl w:val="0"/>
          <w:numId w:val="0"/>
        </w:numPr>
        <w:tabs>
          <w:tab w:val="left" w:pos="709"/>
        </w:tabs>
        <w:ind w:left="709" w:hanging="709"/>
      </w:pPr>
      <w:r>
        <w:t>(5)</w:t>
      </w:r>
      <w:r>
        <w:tab/>
        <w:t>E rendeletnek olyan sablonokat és táblákat kell meghatároznia a befektetési vállalkozások számára, amelyek lehetővé teszik számukra, hogy kellően átfogó és összehasonlítható információkat nyújtsanak szavatolótőkéjük összetételéről és minőségéről. Konkrétabban, be kell vezetni a szavatolótőke összetételére vonatkozó mennyiségi közzétételi táblát, valamint a szabályozói szavatolótőke és az auditált pénzügyi kimutatások egyeztetésére szolgáló rugalmas táblát. Ugyanezen okból meg kell határozni egy olyan táblát is, amely a befektetési vállalkozás által kibocsátott szavatolótőke-instrumentumok legfontosabb jellemzőire vonatkozó információkat tartalmazza.</w:t>
      </w:r>
    </w:p>
    <w:p w14:paraId="07989DFD" w14:textId="77777777" w:rsidR="00883FC8" w:rsidRDefault="00BA4103">
      <w:pPr>
        <w:pStyle w:val="Considrant"/>
        <w:numPr>
          <w:ilvl w:val="0"/>
          <w:numId w:val="0"/>
        </w:numPr>
        <w:tabs>
          <w:tab w:val="left" w:pos="709"/>
        </w:tabs>
        <w:ind w:left="709" w:hanging="709"/>
      </w:pPr>
      <w:r>
        <w:t>(6)</w:t>
      </w:r>
      <w:r>
        <w:tab/>
      </w:r>
      <w:r>
        <w:rPr>
          <w:color w:val="000000"/>
        </w:rPr>
        <w:t>Az adatszolgáltatási és a nyilvánosságra hozatali követelmények végrehajtásának megkönnyítése érdekében fokozni kell az adatszolgáltatási és a nyilvánosságra hozatali táblák közötti összhangot. A szavatolótőke összetételére vonatkozó információk nyilvánosságra hozatalára szolgáló táblát ezért részleteiben össze kell hangolni a szavatolótőke szintjére és összetételére vonatkozó adatszolgáltatási táblával. Ugyanezen okból a szavatolótőke és az auditált pénzügyi kimutatások teljeskörű egyeztetésére vonatkozó közzétételi táblának rugalmasnak kell lennie, mivel a tábla bontásának a befektetési vállalkozás auditált pénzügyi kimutatásaiban szereplő mérleg bontásán kell alapulnia. Emellett a szabályozói szavatolótőke fő jellemzőire vonatkozó információk nyilvánosságra hozatalára szolgáló táblának rögzítettnek kell lennie, és összetettségének a szavatolótőke-instrumentumok összetettségétől kell függenie.</w:t>
      </w:r>
    </w:p>
    <w:p w14:paraId="43610E78" w14:textId="49E0DA2E" w:rsidR="00883FC8" w:rsidRDefault="00BA4103" w:rsidP="00FE0D27">
      <w:pPr>
        <w:pStyle w:val="Considrant"/>
        <w:numPr>
          <w:ilvl w:val="0"/>
          <w:numId w:val="0"/>
        </w:numPr>
        <w:tabs>
          <w:tab w:val="left" w:pos="709"/>
        </w:tabs>
        <w:ind w:left="709" w:hanging="709"/>
      </w:pPr>
      <w:r>
        <w:t>(7)</w:t>
      </w:r>
      <w:r>
        <w:tab/>
        <w:t>Annak biztosítása érdekében, hogy a befektetési vállalkozások megfelelési költségei ne növekedjenek észszerűtlen mértékben, és hogy az adatok minősége stabil maradjon, az adatszolgáltatási és a nyilvánosságra hozatali kötelezettségeket tartalmukban a lehető legnagyobb mértékben össze kell hangolni egymással. Helyénvaló ezért egyetlen rendeletben meghatározni az adatszolgáltatásra és a nyilvánosságra hozatalra egyaránt alkalmazandó standardokat.</w:t>
      </w:r>
    </w:p>
    <w:p w14:paraId="7D74DC98" w14:textId="09F62C44" w:rsidR="00883FC8" w:rsidRDefault="00BA4103">
      <w:pPr>
        <w:pStyle w:val="Considrant"/>
        <w:numPr>
          <w:ilvl w:val="0"/>
          <w:numId w:val="0"/>
        </w:numPr>
        <w:tabs>
          <w:tab w:val="left" w:pos="709"/>
        </w:tabs>
        <w:ind w:left="709" w:hanging="709"/>
      </w:pPr>
      <w:r>
        <w:t>(</w:t>
      </w:r>
      <w:r w:rsidR="00FE0D27">
        <w:t>8</w:t>
      </w:r>
      <w:r>
        <w:t>)</w:t>
      </w:r>
      <w:r>
        <w:tab/>
        <w:t>Ez a rendelet az Európai Bankhatóság által a Bizottsághoz az Európai Értékpapírpiaci Hatósággal folytatott konzultációt követően benyújtott végrehajtás-technikai standardtervezeteken alapul.</w:t>
      </w:r>
    </w:p>
    <w:p w14:paraId="073FAC9B" w14:textId="3672A663" w:rsidR="00883FC8" w:rsidRDefault="00BA4103">
      <w:pPr>
        <w:pStyle w:val="Considrant"/>
        <w:numPr>
          <w:ilvl w:val="0"/>
          <w:numId w:val="0"/>
        </w:numPr>
        <w:tabs>
          <w:tab w:val="left" w:pos="709"/>
        </w:tabs>
        <w:ind w:left="709" w:hanging="709"/>
      </w:pPr>
      <w:r>
        <w:t>(</w:t>
      </w:r>
      <w:r w:rsidR="00FE0D27">
        <w:t>9</w:t>
      </w:r>
      <w:r>
        <w:t>)</w:t>
      </w:r>
      <w:r>
        <w:tab/>
        <w:t>Az EBH nyilvános konzultációt folytatott az e rendelet alapját képező végrehajtás-technikai standardtervezetekről, elemezte az esetlegesen kapcsolódó költségeket és hasznot, továbbá kikérte az 1093/2010/EU európai parlamenti és tanácsi rendelet 37. cikkével összhangban létrehozott banki érdekképviseleti csoport tanácsát </w:t>
      </w:r>
      <w:r>
        <w:rPr>
          <w:rStyle w:val="FootnoteReference"/>
        </w:rPr>
        <w:footnoteReference w:id="2"/>
      </w:r>
      <w:r>
        <w:t>,</w:t>
      </w:r>
    </w:p>
    <w:p w14:paraId="30CD73AD" w14:textId="77777777" w:rsidR="00883FC8" w:rsidRDefault="00BA4103">
      <w:pPr>
        <w:pStyle w:val="Formuledadoption"/>
      </w:pPr>
      <w:r>
        <w:t>ELFOGADTA EZT A RENDELETET:</w:t>
      </w:r>
    </w:p>
    <w:p w14:paraId="54DB849F" w14:textId="77777777" w:rsidR="00883FC8" w:rsidRPr="00BA4103" w:rsidRDefault="00BA4103">
      <w:pPr>
        <w:jc w:val="center"/>
        <w:rPr>
          <w:sz w:val="36"/>
          <w:szCs w:val="36"/>
        </w:rPr>
      </w:pPr>
      <w:r w:rsidRPr="00BA4103">
        <w:rPr>
          <w:sz w:val="36"/>
          <w:szCs w:val="36"/>
        </w:rPr>
        <w:t>I. FEJEZET</w:t>
      </w:r>
    </w:p>
    <w:p w14:paraId="047B9A43" w14:textId="77777777" w:rsidR="00883FC8" w:rsidRDefault="00BA410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FELÜGYELETI ADATSZOLGÁLTATÁS</w:t>
      </w:r>
    </w:p>
    <w:p w14:paraId="14D9AF4B" w14:textId="77777777" w:rsidR="00883FC8" w:rsidRDefault="00BA4103">
      <w:pPr>
        <w:pStyle w:val="Titrearticle"/>
      </w:pPr>
      <w:r>
        <w:t>1. cikk</w:t>
      </w:r>
    </w:p>
    <w:p w14:paraId="7E269780" w14:textId="77777777" w:rsidR="00883FC8" w:rsidRDefault="00BA4103">
      <w:pPr>
        <w:pStyle w:val="Titrearticle"/>
        <w:spacing w:before="120"/>
        <w:rPr>
          <w:b/>
          <w:i w:val="0"/>
        </w:rPr>
      </w:pPr>
      <w:r>
        <w:rPr>
          <w:b/>
          <w:i w:val="0"/>
        </w:rPr>
        <w:t>Adatszolgáltatási vonatkozási időpontok</w:t>
      </w:r>
    </w:p>
    <w:p w14:paraId="298EFFBD" w14:textId="77777777" w:rsidR="00883FC8" w:rsidRDefault="00BA4103">
      <w:pPr>
        <w:pStyle w:val="Point0number"/>
        <w:numPr>
          <w:ilvl w:val="0"/>
          <w:numId w:val="0"/>
        </w:numPr>
        <w:tabs>
          <w:tab w:val="left" w:pos="850"/>
        </w:tabs>
        <w:ind w:left="850" w:hanging="850"/>
      </w:pPr>
      <w:r>
        <w:t>(1)</w:t>
      </w:r>
      <w:r>
        <w:tab/>
        <w:t>Az (EU) 2019/2033 európai parlamenti és tanácsi rendelet 54. cikkének (1) bekezdésében említett információkat a következő adatszolgáltatási vonatkozási időpontokban fennálló helyzet alapján kell jelenteni:</w:t>
      </w:r>
    </w:p>
    <w:p w14:paraId="6DF5C169" w14:textId="77777777" w:rsidR="00883FC8" w:rsidRDefault="00BA4103">
      <w:pPr>
        <w:pStyle w:val="Point1"/>
      </w:pPr>
      <w:r>
        <w:t>a)</w:t>
      </w:r>
      <w:r>
        <w:tab/>
        <w:t>negyedéves adatszolgáltatás: március 31., június 30., szeptember 30. és december 31.;</w:t>
      </w:r>
    </w:p>
    <w:p w14:paraId="0809CB7D" w14:textId="77777777" w:rsidR="00883FC8" w:rsidRDefault="00BA4103">
      <w:pPr>
        <w:pStyle w:val="Point1"/>
      </w:pPr>
      <w:r>
        <w:t>b)</w:t>
      </w:r>
      <w:r>
        <w:tab/>
        <w:t>éves adatszolgáltatás: december 31.</w:t>
      </w:r>
    </w:p>
    <w:p w14:paraId="7AD03513" w14:textId="77777777" w:rsidR="00883FC8" w:rsidRDefault="00BA4103">
      <w:pPr>
        <w:pStyle w:val="Point0number"/>
        <w:numPr>
          <w:ilvl w:val="0"/>
          <w:numId w:val="0"/>
        </w:numPr>
        <w:tabs>
          <w:tab w:val="left" w:pos="850"/>
        </w:tabs>
        <w:ind w:left="850" w:hanging="850"/>
      </w:pPr>
      <w:r>
        <w:t>(2)</w:t>
      </w:r>
      <w:r>
        <w:tab/>
        <w:t>Az (1) bekezdésben említett adatszolgáltatási vonatkozási időpontok kiigazíthatók, amennyiben a nemzeti jog lehetővé teszi a befektetési vállalkozások számára, hogy pénzügyi adataikat a naptári évtől eltérő számviteli évük vége alapján jelentsék; így a negyedéves adatszolgáltatás az adott számviteli év szerint háromhavonta, az éves adatszolgáltatás pedig a számviteli év végén teljesíthető.</w:t>
      </w:r>
    </w:p>
    <w:p w14:paraId="209122B9" w14:textId="77777777" w:rsidR="00883FC8" w:rsidRDefault="00BA4103">
      <w:pPr>
        <w:pStyle w:val="Titrearticle"/>
      </w:pPr>
      <w:r>
        <w:t>2. cikk</w:t>
      </w:r>
    </w:p>
    <w:p w14:paraId="7AEDE0C1" w14:textId="77777777" w:rsidR="00883FC8" w:rsidRDefault="00BA4103">
      <w:pPr>
        <w:pStyle w:val="Titrearticle"/>
        <w:spacing w:before="120"/>
        <w:rPr>
          <w:b/>
          <w:i w:val="0"/>
        </w:rPr>
      </w:pPr>
      <w:r>
        <w:rPr>
          <w:b/>
          <w:i w:val="0"/>
        </w:rPr>
        <w:t>Adatszolgáltatás-beküldési határidők</w:t>
      </w:r>
    </w:p>
    <w:p w14:paraId="12D44C3E" w14:textId="77777777" w:rsidR="00883FC8" w:rsidRDefault="00BA4103">
      <w:pPr>
        <w:pStyle w:val="Point0"/>
      </w:pPr>
      <w:r>
        <w:t>(1)</w:t>
      </w:r>
      <w:r>
        <w:tab/>
        <w:t>Az (EU) 2019/2033 európai parlamenti és tanácsi rendelet 54. cikkének (1) bekezdésében említett információkat a következő beküldési határidőig (az adott napi üzletzárásig) kell benyújtani:</w:t>
      </w:r>
    </w:p>
    <w:p w14:paraId="757DB160" w14:textId="77777777" w:rsidR="00883FC8" w:rsidRDefault="00BA4103">
      <w:pPr>
        <w:pStyle w:val="Point1"/>
      </w:pPr>
      <w:r>
        <w:t>a)</w:t>
      </w:r>
      <w:r>
        <w:tab/>
        <w:t>negyedéves adatszolgáltatás: május 12., augusztus 11., november 11. és február 11.;</w:t>
      </w:r>
    </w:p>
    <w:p w14:paraId="720A9B52" w14:textId="77777777" w:rsidR="00883FC8" w:rsidRDefault="00BA4103">
      <w:pPr>
        <w:pStyle w:val="Point1"/>
      </w:pPr>
      <w:r>
        <w:t>b)</w:t>
      </w:r>
      <w:r>
        <w:tab/>
        <w:t>éves adatszolgáltatás: február 11.</w:t>
      </w:r>
    </w:p>
    <w:p w14:paraId="1BF584EA" w14:textId="77777777" w:rsidR="00883FC8" w:rsidRDefault="00BA4103">
      <w:pPr>
        <w:pStyle w:val="Point0"/>
      </w:pPr>
      <w:r>
        <w:t>(2)</w:t>
      </w:r>
      <w:r>
        <w:tab/>
        <w:t>Ha a beküldési határidő hivatalos munkaszüneti napra esik abban a tagállamban, ahol az az illetékes hatóság található, amelynek részére az adatszolgáltatás teljesítendő, illetve ha az adott időpont szombatra vagy vasárnapra esik, az adatszolgáltatás-beküldési határidő a következő munkanap.</w:t>
      </w:r>
    </w:p>
    <w:p w14:paraId="34F8BCAE" w14:textId="77777777" w:rsidR="00883FC8" w:rsidRDefault="00BA4103">
      <w:pPr>
        <w:pStyle w:val="Point0"/>
      </w:pPr>
      <w:r>
        <w:t>(3)</w:t>
      </w:r>
      <w:r>
        <w:tab/>
        <w:t>Ha a befektetési vállalkozások az adatszolgáltatást az 1. cikk (2) bekezdésében foglaltak szerint a számviteli évük vége szerint módosított adatszolgáltatási vonatkozási időpontok alapján teljesítik, a beküldési határidők úgy módosíthatók, hogy a kiigazított adatszolgáltatási vonatkozási időponttól számított beküldési időszak hossza változatlan maradjon.</w:t>
      </w:r>
    </w:p>
    <w:p w14:paraId="456B377A" w14:textId="77777777" w:rsidR="00883FC8" w:rsidRDefault="00BA4103">
      <w:pPr>
        <w:pStyle w:val="Point0"/>
      </w:pPr>
      <w:r>
        <w:t>(4)</w:t>
      </w:r>
      <w:r>
        <w:tab/>
        <w:t>A befektetési vállalkozások nem auditált számadatokat is benyújthatnak. Amennyiben az auditált adatok eltérnek a benyújtott nem auditált adatoktól, a módosított, auditált adatokat indokolatlan késedelem nélkül be kell nyújtani. E cikk alkalmazásában a „nem auditált adatok” olyan adatok, amelyekről külső könyvvizsgáló nem alkotott könyvvizsgálói véleményt, míg az auditált adatok olyan adatok, amelyeket külső könyvvizsgáló auditált és amelyekről könyvvizsgálói véleményt alkotott.</w:t>
      </w:r>
    </w:p>
    <w:p w14:paraId="3D3C1C1C" w14:textId="77777777" w:rsidR="00883FC8" w:rsidRDefault="00BA4103">
      <w:pPr>
        <w:pStyle w:val="Point0"/>
      </w:pPr>
      <w:r>
        <w:t>(5)</w:t>
      </w:r>
      <w:r>
        <w:tab/>
        <w:t>A benyújtott adatszolgáltatások helyesbítéseit indokolatlan késedelem nélkül kell benyújtani az illetékes hatóságok részére.</w:t>
      </w:r>
    </w:p>
    <w:p w14:paraId="460F4160" w14:textId="77777777" w:rsidR="00883FC8" w:rsidRDefault="00BA4103">
      <w:pPr>
        <w:pStyle w:val="Titrearticle"/>
      </w:pPr>
      <w:r>
        <w:lastRenderedPageBreak/>
        <w:t>3. cikk</w:t>
      </w:r>
    </w:p>
    <w:p w14:paraId="524BEC98" w14:textId="77777777" w:rsidR="00883FC8" w:rsidRDefault="00BA4103">
      <w:pPr>
        <w:pStyle w:val="Titrearticle"/>
        <w:spacing w:before="120"/>
        <w:rPr>
          <w:b/>
          <w:i w:val="0"/>
        </w:rPr>
      </w:pPr>
      <w:r>
        <w:rPr>
          <w:b/>
          <w:i w:val="0"/>
        </w:rPr>
        <w:t>Az adatszolgáltatási követelmények alkalmazása egyedi alapon</w:t>
      </w:r>
    </w:p>
    <w:p w14:paraId="45C07290" w14:textId="77777777" w:rsidR="00883FC8" w:rsidRDefault="00BA4103">
      <w:r>
        <w:t>Az (EU) 2019/2033 rendelet 54. cikkében foglalt adatszolgáltatási követelmények egyéni alapon történő teljesítése érdekében a befektetési vállalkozások az e rendelet 5., 6. és 7. cikkében meghatározott információkat az ott meghatározott gyakorisággal jelentik.</w:t>
      </w:r>
    </w:p>
    <w:p w14:paraId="02F7D502" w14:textId="77777777" w:rsidR="00883FC8" w:rsidRDefault="00BA4103">
      <w:pPr>
        <w:pStyle w:val="Titrearticle"/>
      </w:pPr>
      <w:r>
        <w:t>4. cikk</w:t>
      </w:r>
    </w:p>
    <w:p w14:paraId="78B36745" w14:textId="77777777" w:rsidR="00883FC8" w:rsidRDefault="00BA4103">
      <w:pPr>
        <w:pStyle w:val="Titrearticle"/>
        <w:spacing w:before="120"/>
        <w:rPr>
          <w:b/>
          <w:i w:val="0"/>
        </w:rPr>
      </w:pPr>
      <w:r>
        <w:rPr>
          <w:b/>
          <w:i w:val="0"/>
        </w:rPr>
        <w:t>Az adatszolgáltatási követelmények alkalmazása összevont alapon</w:t>
      </w:r>
    </w:p>
    <w:p w14:paraId="158DAF18" w14:textId="77777777" w:rsidR="00883FC8" w:rsidRDefault="00BA4103">
      <w:r>
        <w:t>Az (EU) 2019/2033 rendelet 54. cikkében foglalt adatszolgáltatási követelmények összevont alapon történő teljesítése érdekében a befektetési vállalkozások az e végrehajtási rendelet 5. és 6. cikkében meghatározott információkat az ott meghatározott gyakorisággal jelentik.</w:t>
      </w:r>
    </w:p>
    <w:p w14:paraId="7782DAD8" w14:textId="77777777" w:rsidR="00883FC8" w:rsidRDefault="00BA4103">
      <w:pPr>
        <w:pStyle w:val="Titrearticle"/>
      </w:pPr>
      <w:r>
        <w:t>5. cikk</w:t>
      </w:r>
    </w:p>
    <w:p w14:paraId="72129A56" w14:textId="77777777" w:rsidR="00883FC8" w:rsidRDefault="00BA4103">
      <w:pPr>
        <w:pStyle w:val="Titrearticle"/>
        <w:spacing w:before="120"/>
        <w:rPr>
          <w:b/>
          <w:i w:val="0"/>
        </w:rPr>
      </w:pPr>
      <w:r>
        <w:rPr>
          <w:b/>
          <w:i w:val="0"/>
        </w:rPr>
        <w:t>A kis méretű és össze nem kapcsolt befektetési vállalkozásoktól eltérő befektetési vállalkozások adatszolgáltatásának formátuma és gyakorisága</w:t>
      </w:r>
    </w:p>
    <w:p w14:paraId="4EB7B779" w14:textId="77777777" w:rsidR="00883FC8" w:rsidRDefault="00BA4103">
      <w:pPr>
        <w:pStyle w:val="Point0"/>
      </w:pPr>
      <w:r>
        <w:t>(1)</w:t>
      </w:r>
      <w:r>
        <w:tab/>
        <w:t>A kis méretű és össze nem kapcsolt befektetési vállalkozásoktól eltérő befektetési vállalkozások az (EU) 2019/2033 rendelet 54. cikkének (1) és (2) bekezdésében előírt információkat az e rendelet I. mellékletében meghatározott táblák használatával és az e rendelet II. mellékletében foglalt útmutatónak megfelelően negyedéves gyakorisággal jelentik.</w:t>
      </w:r>
    </w:p>
    <w:p w14:paraId="79067BE3" w14:textId="77777777" w:rsidR="00883FC8" w:rsidRDefault="00BA4103">
      <w:pPr>
        <w:pStyle w:val="Point0"/>
        <w:rPr>
          <w:szCs w:val="24"/>
        </w:rPr>
      </w:pPr>
      <w:r>
        <w:t>(2)</w:t>
      </w:r>
      <w:r>
        <w:tab/>
        <w:t>Azok a kis méretű és össze nem kapcsolt befektetési vállalkozásoktól eltérő befektetési vállalkozások, amelyek az RtM K-faktor követelményt az (EU) 2019/2033 rendelet 21. cikkének (1) bekezdésével összhangban a K-NPR alapján határozzák meg, az (EU) 2021/451 bizottsági végrehajtási rendelet</w:t>
      </w:r>
      <w:r>
        <w:rPr>
          <w:rStyle w:val="FootnoteReference"/>
        </w:rPr>
        <w:footnoteReference w:id="3"/>
      </w:r>
      <w:r>
        <w:t xml:space="preserve"> I. mellékletének C 18.00–C 24.00 táblájában meghatározott információkat az említett végrehajtási rendelet II. mellékletének 2. részében foglalt útmutatónak megfelelően negyedéves gyakorisággal jelentik.</w:t>
      </w:r>
    </w:p>
    <w:p w14:paraId="08CBB8FE" w14:textId="77777777" w:rsidR="00883FC8" w:rsidRDefault="00BA4103">
      <w:pPr>
        <w:pStyle w:val="Point0"/>
        <w:rPr>
          <w:szCs w:val="24"/>
        </w:rPr>
      </w:pPr>
      <w:r>
        <w:t>(3)</w:t>
      </w:r>
      <w:r>
        <w:tab/>
        <w:t>Amennyiben a kis méretű és össze nem kapcsolt befektetési vállalkozásoktól eltérő befektetési vállalkozások élnek az (EU) 2019/2033 rendelet 25. cikkének (4) bekezdésében meghatározott eltéréssel, az (EU) 2021/451 végrehajtási rendelet I. mellékletének C 34.02 táblájában meghatározott információkat az említett végrehajtási rendelet II. mellékletének 2. részében foglalt útmutatónak megfelelően negyedéves gyakorisággal jelentik.</w:t>
      </w:r>
    </w:p>
    <w:p w14:paraId="0A848FC4" w14:textId="77777777" w:rsidR="00883FC8" w:rsidRDefault="00BA4103">
      <w:pPr>
        <w:pStyle w:val="Point0"/>
        <w:rPr>
          <w:szCs w:val="24"/>
        </w:rPr>
      </w:pPr>
      <w:r>
        <w:t>(4)</w:t>
      </w:r>
      <w:r>
        <w:tab/>
        <w:t>Az (EU) 2019/2033 rendelet 25. cikke (5) bekezdésének második albekezdésében meghatározott eltéréssel élő, kis méretű és össze nem kapcsolt befektetési vállalkozásoktól eltérő befektetési vállalkozásoknak az (EU) 2021/451 végrehajtási rendelet I. mellékletének C 25.00 táblájában meghatározott információkat az említett végrehajtási rendelet II. mellékletének 2. részében foglalt útmutatónak megfelelően negyedéves gyakorisággal jelentik.</w:t>
      </w:r>
    </w:p>
    <w:p w14:paraId="1A8BFB1E" w14:textId="77777777" w:rsidR="00883FC8" w:rsidRDefault="00BA4103">
      <w:pPr>
        <w:pStyle w:val="Titrearticle"/>
      </w:pPr>
      <w:r>
        <w:lastRenderedPageBreak/>
        <w:t>6. cikk</w:t>
      </w:r>
    </w:p>
    <w:p w14:paraId="072D681F" w14:textId="77777777" w:rsidR="00883FC8" w:rsidRDefault="00BA4103">
      <w:pPr>
        <w:pStyle w:val="Titrearticle"/>
        <w:spacing w:before="120"/>
        <w:rPr>
          <w:b/>
          <w:i w:val="0"/>
        </w:rPr>
      </w:pPr>
      <w:r>
        <w:rPr>
          <w:b/>
          <w:i w:val="0"/>
        </w:rPr>
        <w:t>A kis méretű és össze nem kapcsolt befektetési vállalkozások adatszolgáltatásának formátuma és gyakorisága</w:t>
      </w:r>
    </w:p>
    <w:p w14:paraId="740025E8" w14:textId="77777777" w:rsidR="00883FC8" w:rsidRDefault="00BA4103">
      <w:pPr>
        <w:pStyle w:val="Point0"/>
      </w:pPr>
      <w:r>
        <w:t>(1)</w:t>
      </w:r>
      <w:r>
        <w:tab/>
        <w:t>A kis méretű és össze nem kapcsolt befektetési vállalkozások az e rendelet III. mellékletében szereplő táblákban meghatározott információkat az e rendelet IV. mellékletében foglalt útmutatónak megfelelően, éves gyakorisággal jelentik. Az (EU) 2019/2033 rendelet 43. cikke (1) bekezdésének második albekezdésében említett mentességben részesülő befektetési vállalkozások mentesülnek az e rendelet III. mellékletének IF 09.01 táblájában meghatározott információk benyújtásának kötelezettsége alól.</w:t>
      </w:r>
    </w:p>
    <w:p w14:paraId="44BB1B69" w14:textId="77777777" w:rsidR="00883FC8" w:rsidRDefault="00BA4103">
      <w:pPr>
        <w:pStyle w:val="Titrearticle"/>
      </w:pPr>
      <w:r>
        <w:t>7. cikk</w:t>
      </w:r>
    </w:p>
    <w:p w14:paraId="591754CC" w14:textId="77777777" w:rsidR="00883FC8" w:rsidRDefault="00BA4103">
      <w:pPr>
        <w:pStyle w:val="Titrearticle"/>
        <w:spacing w:before="120"/>
        <w:rPr>
          <w:b/>
          <w:i w:val="0"/>
        </w:rPr>
      </w:pPr>
      <w:r>
        <w:rPr>
          <w:b/>
          <w:i w:val="0"/>
        </w:rPr>
        <w:t>Az (EU) 2019/2033 rendelet 8. cikkét alkalmazó szervezetek adatszolgáltatásának formátuma és gyakorisága</w:t>
      </w:r>
    </w:p>
    <w:p w14:paraId="6F1D0527" w14:textId="77777777" w:rsidR="00883FC8" w:rsidRDefault="00BA4103">
      <w:pPr>
        <w:rPr>
          <w:rFonts w:eastAsia="Times New Roman"/>
          <w:szCs w:val="24"/>
        </w:rPr>
      </w:pPr>
      <w:r>
        <w:t>E rendelet 4. cikkétől eltérve az (EU) 2019/2033 rendelet 8. cikkének (3) bekezdésében említett, az említett cikket alkalmazó szervezetek az e rendelet VIII. mellékletében szereplő táblákban meghatározott információkat az e rendelet IX. mellékletében meghatározott útmutatónak megfelelően, negyedéves gyakorisággal jelentik.</w:t>
      </w:r>
    </w:p>
    <w:p w14:paraId="475B8A5A" w14:textId="77777777" w:rsidR="00883FC8" w:rsidRDefault="00BA4103">
      <w:pPr>
        <w:pStyle w:val="Titrearticle"/>
      </w:pPr>
      <w:r>
        <w:t>8. cikk</w:t>
      </w:r>
    </w:p>
    <w:p w14:paraId="1DD768CD" w14:textId="77777777" w:rsidR="00883FC8" w:rsidRDefault="00BA4103">
      <w:pPr>
        <w:pStyle w:val="Titrearticle"/>
        <w:spacing w:before="120"/>
        <w:rPr>
          <w:b/>
          <w:i w:val="0"/>
        </w:rPr>
      </w:pPr>
      <w:r>
        <w:rPr>
          <w:b/>
          <w:i w:val="0"/>
        </w:rPr>
        <w:t>Az adatok pontossága és a benyújtáshoz kapcsolódó információk</w:t>
      </w:r>
    </w:p>
    <w:p w14:paraId="6BDC4C99" w14:textId="77777777" w:rsidR="00883FC8" w:rsidRDefault="00BA4103">
      <w:pPr>
        <w:pStyle w:val="Point0"/>
      </w:pPr>
      <w:r>
        <w:t>(1)</w:t>
      </w:r>
      <w:r>
        <w:tab/>
        <w:t>Az intézmények az e rendeletben említett információkat az illetékes hatóságok által meghatározott adatcsere-formátumban és megjelenítési formában nyújtják be, betartva az adatpont V. mellékletben meghatározott adatmodellben szereplő fogalommeghatározását, az ugyanott meghatározott validálási szabályokat és a következőket:</w:t>
      </w:r>
    </w:p>
    <w:p w14:paraId="7D737866" w14:textId="77777777" w:rsidR="00883FC8" w:rsidRDefault="00BA4103">
      <w:pPr>
        <w:pStyle w:val="Point1"/>
      </w:pPr>
      <w:r>
        <w:t>a)</w:t>
      </w:r>
      <w:r>
        <w:tab/>
        <w:t>a nem előírt vagy nem alkalmazandó információkat nem kell benyújtani;</w:t>
      </w:r>
    </w:p>
    <w:p w14:paraId="51DED3C5" w14:textId="77777777" w:rsidR="00883FC8" w:rsidRDefault="00BA4103">
      <w:pPr>
        <w:pStyle w:val="Point1"/>
      </w:pPr>
      <w:r>
        <w:t>b)</w:t>
      </w:r>
      <w:r>
        <w:tab/>
        <w:t>a numerikus értékeket tényként kell benyújtani a következő konvenciók szerint:</w:t>
      </w:r>
    </w:p>
    <w:p w14:paraId="6C6F0A00" w14:textId="77777777" w:rsidR="00883FC8" w:rsidRDefault="00BA4103">
      <w:pPr>
        <w:pStyle w:val="Point2"/>
      </w:pPr>
      <w:r>
        <w:t>i.</w:t>
      </w:r>
      <w:r>
        <w:tab/>
        <w:t>a „monetáris” típusú adatokat minimum ezres nagyságrendű pontossággal kell jelenteni;</w:t>
      </w:r>
    </w:p>
    <w:p w14:paraId="7ADF8F3E" w14:textId="77777777" w:rsidR="00883FC8" w:rsidRDefault="00BA4103">
      <w:pPr>
        <w:pStyle w:val="Point2"/>
      </w:pPr>
      <w:r>
        <w:t>ii.</w:t>
      </w:r>
      <w:r>
        <w:tab/>
        <w:t>a „százalék” típusú adatokat egységnyi értékben kifejezve, legalább négy tizedesjegy pontossággal kell jelenteni;</w:t>
      </w:r>
    </w:p>
    <w:p w14:paraId="6D87376E" w14:textId="77777777" w:rsidR="00883FC8" w:rsidRDefault="00BA4103">
      <w:pPr>
        <w:pStyle w:val="Point2"/>
      </w:pPr>
      <w:r>
        <w:t>iii.</w:t>
      </w:r>
      <w:r>
        <w:tab/>
        <w:t>az „egész szám” típusú adatokat tizedesjegyek alkalmazása nélkül, egész számnak megfelelő pontossággal kell jelenteni.</w:t>
      </w:r>
    </w:p>
    <w:p w14:paraId="7766652D" w14:textId="77777777" w:rsidR="00883FC8" w:rsidRDefault="00BA4103">
      <w:pPr>
        <w:pStyle w:val="Point0"/>
      </w:pPr>
      <w:r>
        <w:t>(2)</w:t>
      </w:r>
      <w:r>
        <w:tab/>
        <w:t>A befektetési vállalkozásokat jogalany-azonosítójuk (LEI) azonosítja. A befektetési vállalkozásoktól eltérő partnereket és jogalanyokat jogalany-azonosítójuk alapján kell azonosítani, amennyiben az rendelkezésre áll.</w:t>
      </w:r>
    </w:p>
    <w:p w14:paraId="2E44770B" w14:textId="77777777" w:rsidR="00883FC8" w:rsidRDefault="00BA4103">
      <w:pPr>
        <w:pStyle w:val="Point0"/>
      </w:pPr>
      <w:r>
        <w:t>(3)</w:t>
      </w:r>
      <w:r>
        <w:tab/>
        <w:t>A befektetési vállalkozások által e rendelet alapján benyújtott információkhoz a következő információkat kell csatolni:</w:t>
      </w:r>
    </w:p>
    <w:p w14:paraId="1397B90A" w14:textId="77777777" w:rsidR="00883FC8" w:rsidRDefault="00BA4103">
      <w:pPr>
        <w:pStyle w:val="Point1"/>
      </w:pPr>
      <w:r>
        <w:t>a)</w:t>
      </w:r>
      <w:r>
        <w:tab/>
        <w:t>adatszolgáltatási vonatkozási időpont és vonatkozási időszak;</w:t>
      </w:r>
    </w:p>
    <w:p w14:paraId="3EA27885" w14:textId="77777777" w:rsidR="00883FC8" w:rsidRDefault="00BA4103">
      <w:pPr>
        <w:pStyle w:val="Point1"/>
      </w:pPr>
      <w:r>
        <w:t>b)</w:t>
      </w:r>
      <w:r>
        <w:tab/>
        <w:t>adatszolgáltatás pénzneme;</w:t>
      </w:r>
    </w:p>
    <w:p w14:paraId="79F64F85" w14:textId="77777777" w:rsidR="00883FC8" w:rsidRDefault="00BA4103">
      <w:pPr>
        <w:pStyle w:val="Point1"/>
      </w:pPr>
      <w:r>
        <w:t>c)</w:t>
      </w:r>
      <w:r>
        <w:tab/>
        <w:t>számviteli standard;</w:t>
      </w:r>
    </w:p>
    <w:p w14:paraId="79558CE9" w14:textId="77777777" w:rsidR="00883FC8" w:rsidRDefault="00BA4103">
      <w:pPr>
        <w:pStyle w:val="Point1"/>
      </w:pPr>
      <w:r>
        <w:t>d)</w:t>
      </w:r>
      <w:r>
        <w:tab/>
        <w:t>az adatszolgáltató intézmény jogalany-azonosítója (LEI);</w:t>
      </w:r>
    </w:p>
    <w:p w14:paraId="620BC08D" w14:textId="77777777" w:rsidR="00883FC8" w:rsidRDefault="00BA4103">
      <w:pPr>
        <w:pStyle w:val="Point1"/>
      </w:pPr>
      <w:r>
        <w:lastRenderedPageBreak/>
        <w:t>e)</w:t>
      </w:r>
      <w:r>
        <w:tab/>
        <w:t>a konszolidáció alkalmazási köre.</w:t>
      </w:r>
    </w:p>
    <w:p w14:paraId="77E6CF70" w14:textId="77777777" w:rsidR="00883FC8" w:rsidRPr="00BA4103" w:rsidRDefault="00BA4103">
      <w:pPr>
        <w:jc w:val="center"/>
        <w:rPr>
          <w:sz w:val="36"/>
          <w:szCs w:val="36"/>
        </w:rPr>
      </w:pPr>
      <w:r w:rsidRPr="00BA4103">
        <w:rPr>
          <w:sz w:val="36"/>
          <w:szCs w:val="36"/>
        </w:rPr>
        <w:t>II. FEJEZET</w:t>
      </w:r>
    </w:p>
    <w:p w14:paraId="6CB1034E" w14:textId="77777777" w:rsidR="00883FC8" w:rsidRDefault="00BA410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NYILVÁNOSSÁGRA HOZATAL</w:t>
      </w:r>
    </w:p>
    <w:p w14:paraId="5DD8BED8" w14:textId="77777777" w:rsidR="00883FC8" w:rsidRDefault="00BA4103">
      <w:pPr>
        <w:pStyle w:val="Titrearticle"/>
      </w:pPr>
      <w:r>
        <w:t>9. cikk</w:t>
      </w:r>
    </w:p>
    <w:p w14:paraId="5F1E59E1" w14:textId="77777777" w:rsidR="00883FC8" w:rsidRDefault="00BA4103">
      <w:pPr>
        <w:pStyle w:val="Titrearticle"/>
        <w:spacing w:before="120"/>
        <w:rPr>
          <w:b/>
          <w:i w:val="0"/>
        </w:rPr>
      </w:pPr>
      <w:r>
        <w:rPr>
          <w:b/>
          <w:i w:val="0"/>
        </w:rPr>
        <w:t>A nyilvánosságra hozatalra vonatkozó elvek</w:t>
      </w:r>
    </w:p>
    <w:p w14:paraId="2A6AFEC8" w14:textId="77777777" w:rsidR="00883FC8" w:rsidRDefault="00BA4103">
      <w:pPr>
        <w:pStyle w:val="Point0"/>
      </w:pPr>
      <w:r>
        <w:t>(1)</w:t>
      </w:r>
      <w:r>
        <w:tab/>
        <w:t>Az e rendelettel összhangban nyilvánosságra hozandó információkra a következő elvek vonatkoznak:</w:t>
      </w:r>
    </w:p>
    <w:p w14:paraId="65BD03AA" w14:textId="77777777" w:rsidR="00883FC8" w:rsidRDefault="00BA4103">
      <w:pPr>
        <w:pStyle w:val="Point1"/>
      </w:pPr>
      <w:r>
        <w:t>a)</w:t>
      </w:r>
      <w:r>
        <w:tab/>
        <w:t>a közzétételeket ugyanolyan szintű belső ellenőrzésnek kell alávetni, mint a befektetési vállalkozás pénzügyi beszámolójában szereplő vezetői beszámolót;</w:t>
      </w:r>
    </w:p>
    <w:p w14:paraId="1F4275C3" w14:textId="77777777" w:rsidR="00883FC8" w:rsidRDefault="00BA4103">
      <w:pPr>
        <w:pStyle w:val="Point1"/>
      </w:pPr>
      <w:r>
        <w:t>b)</w:t>
      </w:r>
      <w:r>
        <w:tab/>
        <w:t>a közzétételeknek egyértelműnek kell lenniük, azokat az információ felhasználói számára érthető formában és hozzáférhető médiumon keresztül kell megjeleníteni. A fontos üzeneteket ki kell emelni, és könnyen megtalálható helyen kell szerepeltetni. Az összetett kérdéseket egyszerű nyelven kell elmagyarázni. Az összefüggő információkat együttesen kell bemutatni;</w:t>
      </w:r>
    </w:p>
    <w:p w14:paraId="53AC8DFC" w14:textId="77777777" w:rsidR="00883FC8" w:rsidRDefault="00BA4103">
      <w:pPr>
        <w:pStyle w:val="Point1"/>
      </w:pPr>
      <w:r>
        <w:t>c)</w:t>
      </w:r>
      <w:r>
        <w:tab/>
        <w:t>a közzétételeknek érdeminek és időben következetesnek kell lenniük, hogy az információ felhasználói össze tudják hasonlítani az információkat az egyes nyilvánosságra hozatali időszakok között;</w:t>
      </w:r>
    </w:p>
    <w:p w14:paraId="1DCFD5B7" w14:textId="77777777" w:rsidR="00883FC8" w:rsidRDefault="00BA4103">
      <w:pPr>
        <w:pStyle w:val="Point1"/>
      </w:pPr>
      <w:r>
        <w:t>d)</w:t>
      </w:r>
      <w:r>
        <w:tab/>
        <w:t>a mennyiségi közzétételeket minőségi szöveges és olyan egyéb kiegészítő információknak kell kísérniük, amelyekre a felhasználóknak szüksége lehet a mennyiségi közzétételek megértéséhez, és utalni kell mindenekelőtt azokra a jelentős változásokra, amelyek az adott közzétételben az előzőekben nyilvánosságra hozott információkhoz képest következtek be.</w:t>
      </w:r>
    </w:p>
    <w:p w14:paraId="494686CD" w14:textId="77777777" w:rsidR="00883FC8" w:rsidRDefault="00BA4103">
      <w:pPr>
        <w:pStyle w:val="Titrearticle"/>
      </w:pPr>
      <w:r>
        <w:t>10. cikk</w:t>
      </w:r>
    </w:p>
    <w:p w14:paraId="31AE3E97" w14:textId="77777777" w:rsidR="00883FC8" w:rsidRDefault="00BA4103">
      <w:pPr>
        <w:pStyle w:val="Titrearticle"/>
        <w:spacing w:before="120"/>
        <w:rPr>
          <w:b/>
          <w:i w:val="0"/>
        </w:rPr>
      </w:pPr>
      <w:r>
        <w:rPr>
          <w:b/>
          <w:i w:val="0"/>
        </w:rPr>
        <w:t>A szavatolótőke befektetési vállalkozások általi nyilvánosságra hozatala</w:t>
      </w:r>
    </w:p>
    <w:p w14:paraId="04A3F1B6" w14:textId="77777777" w:rsidR="00883FC8" w:rsidRDefault="00BA4103">
      <w:r>
        <w:t>A befektetési vállalkozások az (EU) 2019/2033 rendelet 49. cikkének (1) bekezdésében előírt, szavatolótőkére vonatkozó adatokat az e rendelet VI. mellékletében szereplő táblák használatával és az e rendelet VII. mellékletében foglalt vonatkozó útmutatónak megfelelően hozzák nyilvánosságra.</w:t>
      </w:r>
    </w:p>
    <w:p w14:paraId="207C9834" w14:textId="77777777" w:rsidR="00883FC8" w:rsidRDefault="00BA4103">
      <w:pPr>
        <w:pStyle w:val="Titrearticle"/>
      </w:pPr>
      <w:r>
        <w:t>11. cikk</w:t>
      </w:r>
    </w:p>
    <w:p w14:paraId="66E7C87F" w14:textId="77777777" w:rsidR="00883FC8" w:rsidRDefault="00BA4103">
      <w:pPr>
        <w:pStyle w:val="Titrearticle"/>
        <w:spacing w:before="120"/>
        <w:rPr>
          <w:b/>
          <w:i w:val="0"/>
        </w:rPr>
      </w:pPr>
      <w:r>
        <w:rPr>
          <w:b/>
          <w:i w:val="0"/>
        </w:rPr>
        <w:t>A nyilvánosságra hozatalra vonatkozó általános rendelkezések</w:t>
      </w:r>
    </w:p>
    <w:p w14:paraId="6503A685" w14:textId="77777777" w:rsidR="00883FC8" w:rsidRDefault="00BA4103">
      <w:pPr>
        <w:pStyle w:val="Point0"/>
      </w:pPr>
      <w:r>
        <w:t>(1)</w:t>
      </w:r>
      <w:r>
        <w:tab/>
        <w:t>Az e rendelet 10. cikkében említett információk közzétételekor a befektetési vállalkozás biztosítja, hogy a numerikus értékeket tényként nyújtsa be a következők szerint:</w:t>
      </w:r>
    </w:p>
    <w:p w14:paraId="58183C38" w14:textId="77777777" w:rsidR="00883FC8" w:rsidRDefault="00BA4103">
      <w:pPr>
        <w:pStyle w:val="Point1"/>
      </w:pPr>
      <w:r>
        <w:t>a)</w:t>
      </w:r>
      <w:r>
        <w:tab/>
        <w:t>a mennyiségi monetáris adatokat legalább ezer egységnyi pontossággal kell nyilvánosságra hozni;</w:t>
      </w:r>
    </w:p>
    <w:p w14:paraId="34CB0C82" w14:textId="77777777" w:rsidR="00883FC8" w:rsidRDefault="00BA4103">
      <w:pPr>
        <w:pStyle w:val="Point1"/>
      </w:pPr>
      <w:r>
        <w:t>b)</w:t>
      </w:r>
      <w:r>
        <w:tab/>
        <w:t>a „százalék” típusú mennyiségi adatokat egységnyi értékben kifejezve, legalább négy tizedesjegy pontossággal kell nyilvánosságra hozni.</w:t>
      </w:r>
    </w:p>
    <w:p w14:paraId="6CAB9ABC" w14:textId="77777777" w:rsidR="00883FC8" w:rsidRDefault="00BA4103">
      <w:pPr>
        <w:pStyle w:val="Point0"/>
      </w:pPr>
      <w:r>
        <w:t>(2)</w:t>
      </w:r>
      <w:r>
        <w:tab/>
        <w:t>Az e rendelet 10. cikkében említett információk közzétételekor a befektetési vállalkozás biztosítja, hogy az adatokat a következő információk kísérjék:</w:t>
      </w:r>
    </w:p>
    <w:p w14:paraId="0E5C1164" w14:textId="77777777" w:rsidR="00883FC8" w:rsidRDefault="00BA4103">
      <w:pPr>
        <w:pStyle w:val="Point1"/>
      </w:pPr>
      <w:r>
        <w:t>a)</w:t>
      </w:r>
      <w:r>
        <w:tab/>
        <w:t>közzétételi vonatkozási időpont és vonatkozási időszak;</w:t>
      </w:r>
    </w:p>
    <w:p w14:paraId="7D13DCCD" w14:textId="77777777" w:rsidR="00883FC8" w:rsidRDefault="00BA4103">
      <w:pPr>
        <w:pStyle w:val="Point1"/>
      </w:pPr>
      <w:r>
        <w:lastRenderedPageBreak/>
        <w:t>b)</w:t>
      </w:r>
      <w:r>
        <w:tab/>
        <w:t>közzététel pénzneme;</w:t>
      </w:r>
    </w:p>
    <w:p w14:paraId="7E0A9C81" w14:textId="77777777" w:rsidR="00883FC8" w:rsidRDefault="00BA4103">
      <w:pPr>
        <w:pStyle w:val="Point1"/>
      </w:pPr>
      <w:r>
        <w:t>c)</w:t>
      </w:r>
      <w:r>
        <w:tab/>
        <w:t>közzétevő intézmény neve és adott esetben jogalany-azonosítója (LEI);</w:t>
      </w:r>
    </w:p>
    <w:p w14:paraId="782300C3" w14:textId="77777777" w:rsidR="00883FC8" w:rsidRDefault="00BA4103">
      <w:pPr>
        <w:pStyle w:val="Point1"/>
      </w:pPr>
      <w:r>
        <w:t>d)</w:t>
      </w:r>
      <w:r>
        <w:tab/>
        <w:t>adott esetben az alkalmazott számviteli standard;</w:t>
      </w:r>
    </w:p>
    <w:p w14:paraId="71E13B70" w14:textId="77777777" w:rsidR="00883FC8" w:rsidRDefault="00BA4103">
      <w:pPr>
        <w:pStyle w:val="Point1"/>
      </w:pPr>
      <w:r>
        <w:t>e)</w:t>
      </w:r>
      <w:r>
        <w:tab/>
        <w:t>adott esetben a konszolidáció hatóköre.</w:t>
      </w:r>
    </w:p>
    <w:p w14:paraId="68B2289A" w14:textId="77777777" w:rsidR="00883FC8" w:rsidRPr="00BA4103" w:rsidRDefault="00BA4103">
      <w:pPr>
        <w:jc w:val="center"/>
        <w:rPr>
          <w:sz w:val="36"/>
          <w:szCs w:val="36"/>
        </w:rPr>
      </w:pPr>
      <w:r w:rsidRPr="00BA4103">
        <w:rPr>
          <w:sz w:val="36"/>
          <w:szCs w:val="36"/>
        </w:rPr>
        <w:t>III. FEJEZET</w:t>
      </w:r>
    </w:p>
    <w:p w14:paraId="15CC91F6" w14:textId="77777777" w:rsidR="00883FC8" w:rsidRDefault="00BA410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ZÁRÓ RENDELKEZÉSEK</w:t>
      </w:r>
    </w:p>
    <w:p w14:paraId="64084110" w14:textId="77777777" w:rsidR="00883FC8" w:rsidRDefault="00BA4103">
      <w:pPr>
        <w:pStyle w:val="Titrearticle"/>
        <w:spacing w:before="120"/>
      </w:pPr>
      <w:r>
        <w:t>12. cikk</w:t>
      </w:r>
    </w:p>
    <w:p w14:paraId="2BB4F395" w14:textId="4CBB710B" w:rsidR="00883FC8" w:rsidRDefault="00BA4103">
      <w:pPr>
        <w:pStyle w:val="Titrearticle"/>
        <w:spacing w:before="120"/>
        <w:rPr>
          <w:b/>
          <w:i w:val="0"/>
        </w:rPr>
      </w:pPr>
      <w:r>
        <w:rPr>
          <w:b/>
          <w:i w:val="0"/>
        </w:rPr>
        <w:t>Hatálybalépés</w:t>
      </w:r>
    </w:p>
    <w:p w14:paraId="57F15CC4" w14:textId="77777777" w:rsidR="00883FC8" w:rsidRDefault="00BA4103">
      <w:r>
        <w:t xml:space="preserve">Ez a rendelet az </w:t>
      </w:r>
      <w:r>
        <w:rPr>
          <w:i/>
        </w:rPr>
        <w:t>Európai Unió Hivatalos Lapjában</w:t>
      </w:r>
      <w:r>
        <w:t xml:space="preserve"> való kihirdetését követő huszadik napon lép hatályba.</w:t>
      </w:r>
    </w:p>
    <w:p w14:paraId="6180A989" w14:textId="77777777" w:rsidR="00883FC8" w:rsidRDefault="00BA4103">
      <w:pPr>
        <w:pStyle w:val="Applicationdirecte"/>
      </w:pPr>
      <w:r>
        <w:t>Ez a rendelet teljes egészében kötelező és közvetlenül alkalmazandó valamennyi tagállamban.</w:t>
      </w:r>
    </w:p>
    <w:p w14:paraId="1FF4E0E9" w14:textId="77777777" w:rsidR="00883FC8" w:rsidRDefault="00BA4103">
      <w:pPr>
        <w:pStyle w:val="Fait"/>
      </w:pPr>
      <w:r>
        <w:t>Kelt Brüsszelben, 2021. december 6-án.</w:t>
      </w:r>
    </w:p>
    <w:p w14:paraId="106512F4" w14:textId="77777777" w:rsidR="00883FC8" w:rsidRDefault="00BA4103">
      <w:pPr>
        <w:pStyle w:val="Institutionquisigne"/>
      </w:pPr>
      <w:r>
        <w:tab/>
        <w:t>a Bizottság részéről</w:t>
      </w:r>
    </w:p>
    <w:p w14:paraId="1094D8FC" w14:textId="77777777" w:rsidR="00883FC8" w:rsidRDefault="00BA4103">
      <w:pPr>
        <w:pStyle w:val="Personnequisigne"/>
      </w:pPr>
      <w:r>
        <w:tab/>
        <w:t>az elnök</w:t>
      </w:r>
    </w:p>
    <w:p w14:paraId="3954F3D2" w14:textId="77777777" w:rsidR="00883FC8" w:rsidRPr="00BA4103" w:rsidRDefault="00BA4103">
      <w:pPr>
        <w:pStyle w:val="Personnequisigne"/>
        <w:rPr>
          <w:i w:val="0"/>
        </w:rPr>
      </w:pPr>
      <w:r>
        <w:tab/>
      </w:r>
      <w:r w:rsidRPr="00BA4103">
        <w:rPr>
          <w:i w:val="0"/>
        </w:rPr>
        <w:t>Ursula VON DER LEYEN</w:t>
      </w:r>
    </w:p>
    <w:sectPr w:rsidR="00883FC8" w:rsidRPr="00BA4103">
      <w:headerReference w:type="default" r:id="rId8"/>
      <w:footerReference w:type="default" r:id="rId9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A5FA5" w14:textId="77777777" w:rsidR="00883FC8" w:rsidRDefault="00BA4103">
      <w:pPr>
        <w:spacing w:before="0" w:after="0"/>
      </w:pPr>
      <w:r>
        <w:separator/>
      </w:r>
    </w:p>
  </w:endnote>
  <w:endnote w:type="continuationSeparator" w:id="0">
    <w:p w14:paraId="6EDC47DD" w14:textId="77777777" w:rsidR="00883FC8" w:rsidRDefault="00BA410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68DF8" w14:textId="77777777" w:rsidR="00883FC8" w:rsidRDefault="00BA4103">
    <w:pPr>
      <w:pStyle w:val="Footer"/>
      <w:tabs>
        <w:tab w:val="clear" w:pos="4535"/>
        <w:tab w:val="clear" w:pos="9921"/>
      </w:tabs>
      <w:ind w:left="0" w:right="0"/>
    </w:pPr>
    <w:r>
      <w:t>HU - Cleaned document</w:t>
    </w:r>
    <w:r>
      <w:tab/>
    </w: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r w:rsidR="00504D31">
      <w:fldChar w:fldCharType="begin"/>
    </w:r>
    <w:r w:rsidR="00504D31">
      <w:instrText xml:space="preserve"> NUMPAGES \* MERGEFORMAT </w:instrText>
    </w:r>
    <w:r w:rsidR="00504D31">
      <w:fldChar w:fldCharType="separate"/>
    </w:r>
    <w:r>
      <w:rPr>
        <w:noProof/>
      </w:rPr>
      <w:t>7</w:t>
    </w:r>
    <w:r w:rsidR="00504D3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A8294" w14:textId="77777777" w:rsidR="00883FC8" w:rsidRDefault="00BA4103">
      <w:pPr>
        <w:spacing w:before="0" w:after="0"/>
      </w:pPr>
      <w:r>
        <w:separator/>
      </w:r>
    </w:p>
  </w:footnote>
  <w:footnote w:type="continuationSeparator" w:id="0">
    <w:p w14:paraId="6C98A3B1" w14:textId="77777777" w:rsidR="00883FC8" w:rsidRDefault="00BA4103">
      <w:pPr>
        <w:spacing w:before="0" w:after="0"/>
      </w:pPr>
      <w:r>
        <w:continuationSeparator/>
      </w:r>
    </w:p>
  </w:footnote>
  <w:footnote w:id="1">
    <w:p w14:paraId="01654C07" w14:textId="77777777" w:rsidR="00883FC8" w:rsidRDefault="00BA4103">
      <w:pPr>
        <w:pStyle w:val="FootnoteText"/>
      </w:pPr>
      <w:r>
        <w:rPr>
          <w:rStyle w:val="FootnoteReference"/>
        </w:rPr>
        <w:footnoteRef/>
      </w:r>
      <w:r>
        <w:tab/>
        <w:t>HL L 314., 2019.12.5., 1. o.</w:t>
      </w:r>
    </w:p>
  </w:footnote>
  <w:footnote w:id="2">
    <w:p w14:paraId="262256C7" w14:textId="77777777" w:rsidR="00883FC8" w:rsidRDefault="00BA4103">
      <w:pPr>
        <w:pStyle w:val="FootnoteText"/>
      </w:pPr>
      <w:r>
        <w:rPr>
          <w:rStyle w:val="FootnoteReference"/>
        </w:rPr>
        <w:footnoteRef/>
      </w:r>
      <w:r>
        <w:tab/>
        <w:t>Az Európai Parlament és a Tanács 1093/2010/EU rendelete (2010. november 24.) az európai felügyeleti hatóság (Európai Bankhatóság) létrehozásáról, a 716/2009/EK határozat módosításáról és a 2009/78/EK bizottsági határozat hatályon kívül helyezéséről (HL L 331., 2010.12.15., 12. o.).</w:t>
      </w:r>
    </w:p>
  </w:footnote>
  <w:footnote w:id="3">
    <w:p w14:paraId="0E67C68C" w14:textId="77777777" w:rsidR="00BA4103" w:rsidRDefault="00BA4103">
      <w:pPr>
        <w:pStyle w:val="FootnoteText"/>
      </w:pPr>
      <w:r>
        <w:rPr>
          <w:rStyle w:val="FootnoteReference"/>
        </w:rPr>
        <w:footnoteRef/>
      </w:r>
      <w:r>
        <w:t xml:space="preserve"> A Bizottság (EU) 2021/451 végrehajtási rendelete (2020. december 17.) az 575/2013/EU európai parlamenti és tanácsi rendeletnek az intézmények felügyeleti adatszolgáltatása tekintetében történő alkalmazására vonatkozó végrehajtás-technikai standardok megállapításáról és a 680/2014/EU végrehajtási rendelet hatályon kívül helyezéséről (HL L 97., 2021.3.19., 1. o.).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AEC27" w14:textId="09FD1BB9" w:rsidR="00883FC8" w:rsidRDefault="00FE0D2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E1D48B8" wp14:editId="3BCFB588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73050"/>
              <wp:effectExtent l="0" t="0" r="0" b="12700"/>
              <wp:wrapNone/>
              <wp:docPr id="1" name="MSIPCMa8cb49b490c6c32b46fa2d5a" descr="{&quot;HashCode&quot;:-466411507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FE7D3C6" w14:textId="79AE45D8" w:rsidR="00FE0D27" w:rsidRPr="00FE0D27" w:rsidRDefault="00FE0D27" w:rsidP="00FE0D27">
                          <w:pPr>
                            <w:spacing w:before="0" w:after="0"/>
                            <w:jc w:val="lef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  <w:r w:rsidRPr="00FE0D27">
                            <w:rPr>
                              <w:rFonts w:ascii="Calibri" w:hAnsi="Calibri" w:cs="Calibri"/>
                              <w:color w:val="000000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1D48B8" id="_x0000_t202" coordsize="21600,21600" o:spt="202" path="m,l,21600r21600,l21600,xe">
              <v:stroke joinstyle="miter"/>
              <v:path gradientshapeok="t" o:connecttype="rect"/>
            </v:shapetype>
            <v:shape id="MSIPCMa8cb49b490c6c32b46fa2d5a" o:spid="_x0000_s1026" type="#_x0000_t202" alt="{&quot;HashCode&quot;:-466411507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5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" o:allowincell="f" filled="f" stroked="f" strokeweight=".5pt">
              <v:textbox inset="20pt,0,,0">
                <w:txbxContent>
                  <w:p w14:paraId="5FE7D3C6" w14:textId="79AE45D8" w:rsidR="00FE0D27" w:rsidRPr="00FE0D27" w:rsidRDefault="00FE0D27" w:rsidP="00FE0D27">
                    <w:pPr>
                      <w:spacing w:before="0" w:after="0"/>
                      <w:jc w:val="left"/>
                      <w:rPr>
                        <w:rFonts w:ascii="Calibri" w:hAnsi="Calibri" w:cs="Calibri"/>
                        <w:color w:val="000000"/>
                      </w:rPr>
                    </w:pPr>
                    <w:r w:rsidRPr="00FE0D27">
                      <w:rPr>
                        <w:rFonts w:ascii="Calibri" w:hAnsi="Calibri" w:cs="Calibri"/>
                        <w:color w:val="000000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0B4E1FA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59C8CF9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794E350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8EA4BB7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BFC4352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8418305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3AD6B0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9230E7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6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7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9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1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0"/>
  </w:num>
  <w:num w:numId="9">
    <w:abstractNumId w:val="21"/>
    <w:lvlOverride w:ilvl="0">
      <w:startOverride w:val="1"/>
    </w:lvlOverride>
  </w:num>
  <w:num w:numId="10">
    <w:abstractNumId w:val="18"/>
  </w:num>
  <w:num w:numId="11">
    <w:abstractNumId w:val="12"/>
  </w:num>
  <w:num w:numId="12">
    <w:abstractNumId w:val="20"/>
  </w:num>
  <w:num w:numId="13">
    <w:abstractNumId w:val="11"/>
  </w:num>
  <w:num w:numId="14">
    <w:abstractNumId w:val="13"/>
  </w:num>
  <w:num w:numId="15">
    <w:abstractNumId w:val="9"/>
  </w:num>
  <w:num w:numId="16">
    <w:abstractNumId w:val="19"/>
  </w:num>
  <w:num w:numId="17">
    <w:abstractNumId w:val="8"/>
  </w:num>
  <w:num w:numId="18">
    <w:abstractNumId w:val="14"/>
  </w:num>
  <w:num w:numId="19">
    <w:abstractNumId w:val="16"/>
  </w:num>
  <w:num w:numId="20">
    <w:abstractNumId w:val="17"/>
  </w:num>
  <w:num w:numId="21">
    <w:abstractNumId w:val="10"/>
  </w:num>
  <w:num w:numId="22">
    <w:abstractNumId w:val="15"/>
  </w:num>
  <w:num w:numId="23">
    <w:abstractNumId w:val="21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ctiveWritingStyle w:appName="MSWord" w:lang="de-AT" w:vendorID="64" w:dllVersion="6" w:nlCheck="1" w:checkStyle="0"/>
  <w:activeWritingStyle w:appName="MSWord" w:lang="en-GB" w:vendorID="64" w:dllVersion="6" w:nlCheck="1" w:checkStyle="1"/>
  <w:activeWritingStyle w:appName="MSWord" w:lang="fr-BE" w:vendorID="64" w:dllVersion="6" w:nlCheck="1" w:checkStyle="0"/>
  <w:activeWritingStyle w:appName="MSWord" w:lang="en-IE" w:vendorID="64" w:dllVersion="6" w:nlCheck="1" w:checkStyle="1"/>
  <w:defaultTabStop w:val="720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R_RefLast" w:val="0"/>
    <w:docVar w:name="DQCDateTime" w:val="2021-11-18 11:54:30"/>
    <w:docVar w:name="DQCRepairStyles" w:val=";NumPar 1;NumPar 2;NumPar 3;NumPar 4;Point 1 (letter);"/>
    <w:docVar w:name="DQCResult_Distribution" w:val="0;0"/>
    <w:docVar w:name="DQCResult_DocumentContent" w:val="0;0"/>
    <w:docVar w:name="DQCResult_DocumentSize" w:val="0;0"/>
    <w:docVar w:name="DQCResult_DocumentVersions" w:val="0;0"/>
    <w:docVar w:name="DQCResult_InvalidFootnotes" w:val="0;0"/>
    <w:docVar w:name="DQCResult_LinkedStyles" w:val="0;0"/>
    <w:docVar w:name="DQCResult_ModifiedMargins" w:val="0;0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0"/>
    <w:docVar w:name="DQCResult_UnknownFonts" w:val="0;0"/>
    <w:docVar w:name="DQCResult_UnknownStyles" w:val="0;0"/>
    <w:docVar w:name="DQCStatus" w:val="Yellow"/>
    <w:docVar w:name="DQCVersion" w:val="3"/>
    <w:docVar w:name="DQCWithWarnings" w:val="0"/>
    <w:docVar w:name="LW_COVERPAGE_EXISTS" w:val="True"/>
    <w:docVar w:name="LW_COVERPAGE_GUID" w:val="BDE3389D-8506-411C-8AC4-104CA3B55036"/>
    <w:docVar w:name="LW_COVERPAGE_TYPE" w:val="1"/>
    <w:docVar w:name="LW_CROSSREFERENCE" w:val="&lt;UNUSED&gt;"/>
    <w:docVar w:name="LW_DATE.ADOPT.CP" w:val="(XXX)"/>
    <w:docVar w:name="LW_DATE.ADOPT.CP_DATEFORMAT" w:val="(%DATE%)"/>
    <w:docVar w:name="LW_DATE.ADOPT.CP_ISODATE" w:val="&lt;EMPTY&gt;"/>
    <w:docVar w:name="LW_DocType" w:val="COM"/>
    <w:docVar w:name="LW_EMISSION" w:val="&lt;EMPTY&gt;"/>
    <w:docVar w:name="LW_EMISSION_ISODATE" w:val="&lt;EMPTY&gt;"/>
    <w:docVar w:name="LW_EMISSION_LOCATION" w:val="BRX"/>
    <w:docVar w:name="LW_EMISSION_PREFIX" w:val="Brüsszel, "/>
    <w:docVar w:name="LW_EMISSION_SUFFIX" w:val=" "/>
    <w:docVar w:name="LW_ID_DOCMODEL" w:val="SJ-004"/>
    <w:docVar w:name="LW_ID_DOCSIGNATURE" w:val="SJ-004"/>
    <w:docVar w:name="LW_ID_DOCSTRUCTURE" w:val="COM/AA"/>
    <w:docVar w:name="LW_ID_DOCTYPE" w:val="SJ-004"/>
    <w:docVar w:name="LW_INTERETEEE.CP" w:val="(EGT-vonatkozású szöveg)"/>
    <w:docVar w:name="LW_LANGUE" w:val="HU"/>
    <w:docVar w:name="LW_LANGUESFAISANTFOI.CP" w:val="&lt;UNUSED&gt;"/>
    <w:docVar w:name="LW_LEVEL_OF_SENSITIVITY" w:val="Standard treatment"/>
    <w:docVar w:name="LW_NOM.INST" w:val="EURÓPAI BIZOTTSÁG"/>
    <w:docVar w:name="LW_NOM.INST_JOINTDOC" w:val="&lt;EMPTY&gt;"/>
    <w:docVar w:name="LW_PART_NBR" w:val="1"/>
    <w:docVar w:name="LW_PART_NBR_TOTAL" w:val="1"/>
    <w:docVar w:name="LW_REF.INST.NEW" w:val="&lt;EMPTY&gt;"/>
    <w:docVar w:name="LW_REF.INST.NEW_ADOPTED" w:val="draft"/>
    <w:docVar w:name="LW_REF.INST.NEW_TEXT" w:val="(2021) XXX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ITRE.OBJ.CP" w:val="az (EU) 2019/2033 európai parlamenti és tanácsi rendeletnek a befektetési vállalkozások felügyeleti adatszolgáltatása és közzétételei tekintetében történ\u337? alkalmazására vonatkozó végrehajtás-technikai standardok megállapításáról_x000b_"/>
    <w:docVar w:name="LW_TYPE.DOC.CP" w:val="A BIZOTTSÁG (EU) .../... VÉGREHAJTÁSI RENDELETE"/>
  </w:docVars>
  <w:rsids>
    <w:rsidRoot w:val="00883FC8"/>
    <w:rsid w:val="00504D31"/>
    <w:rsid w:val="00883FC8"/>
    <w:rsid w:val="00BA4103"/>
    <w:rsid w:val="00FE0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."/>
  <w:listSeparator w:val=","/>
  <w14:docId w14:val="5FC50C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hu-HU"/>
    </w:rPr>
  </w:style>
  <w:style w:type="paragraph" w:styleId="Heading1">
    <w:name w:val="heading 1"/>
    <w:basedOn w:val="Normal"/>
    <w:next w:val="Text1"/>
    <w:link w:val="Heading1Char"/>
    <w:uiPriority w:val="9"/>
    <w:qFormat/>
    <w:pPr>
      <w:keepNext/>
      <w:numPr>
        <w:numId w:val="16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pPr>
      <w:keepNext/>
      <w:numPr>
        <w:ilvl w:val="1"/>
        <w:numId w:val="16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pPr>
      <w:keepNext/>
      <w:numPr>
        <w:ilvl w:val="2"/>
        <w:numId w:val="16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pPr>
      <w:keepNext/>
      <w:numPr>
        <w:ilvl w:val="3"/>
        <w:numId w:val="16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link w:val="bodyChar"/>
    <w:qFormat/>
    <w:pPr>
      <w:spacing w:before="120" w:after="120" w:line="240" w:lineRule="auto"/>
      <w:jc w:val="both"/>
    </w:pPr>
    <w:rPr>
      <w:rFonts w:eastAsiaTheme="minorEastAsia"/>
      <w:noProof/>
      <w:szCs w:val="24"/>
    </w:rPr>
  </w:style>
  <w:style w:type="character" w:customStyle="1" w:styleId="bodyChar">
    <w:name w:val="body Char"/>
    <w:basedOn w:val="DefaultParagraphFont"/>
    <w:link w:val="body"/>
    <w:rPr>
      <w:rFonts w:eastAsiaTheme="minorEastAsia"/>
      <w:noProof/>
      <w:szCs w:val="24"/>
    </w:rPr>
  </w:style>
  <w:style w:type="paragraph" w:styleId="ListBullet">
    <w:name w:val="List Bullet"/>
    <w:basedOn w:val="Normal"/>
    <w:uiPriority w:val="99"/>
    <w:semiHidden/>
    <w:unhideWhenUsed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pPr>
      <w:numPr>
        <w:numId w:val="4"/>
      </w:numPr>
      <w:contextualSpacing/>
    </w:pPr>
  </w:style>
  <w:style w:type="paragraph" w:styleId="ListParagraph">
    <w:name w:val="List Paragraph"/>
    <w:basedOn w:val="Normal"/>
    <w:link w:val="ListParagraphChar"/>
    <w:uiPriority w:val="34"/>
    <w:qFormat/>
    <w:pPr>
      <w:spacing w:before="0" w:after="160" w:line="259" w:lineRule="auto"/>
      <w:ind w:left="720"/>
      <w:contextualSpacing/>
      <w:jc w:val="left"/>
    </w:pPr>
    <w:rPr>
      <w:rFonts w:asciiTheme="minorHAnsi" w:hAnsiTheme="minorHAnsi" w:cstheme="minorBidi"/>
      <w:sz w:val="22"/>
    </w:rPr>
  </w:style>
  <w:style w:type="paragraph" w:styleId="BodyText">
    <w:name w:val="Body Text"/>
    <w:basedOn w:val="Normal"/>
    <w:link w:val="BodyTextChar"/>
    <w:uiPriority w:val="99"/>
    <w:unhideWhenUsed/>
    <w:pPr>
      <w:spacing w:before="0"/>
      <w:jc w:val="left"/>
    </w:pPr>
    <w:rPr>
      <w:rFonts w:asciiTheme="minorHAnsi" w:eastAsiaTheme="minorEastAsia" w:hAnsiTheme="minorHAnsi" w:cstheme="minorBidi"/>
      <w:sz w:val="22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Pr>
      <w:rFonts w:eastAsiaTheme="minorEastAsia"/>
      <w:szCs w:val="24"/>
    </w:rPr>
  </w:style>
  <w:style w:type="character" w:customStyle="1" w:styleId="ListParagraphChar">
    <w:name w:val="List Paragraph Char"/>
    <w:link w:val="ListParagraph"/>
    <w:uiPriority w:val="34"/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pPr>
      <w:spacing w:after="0"/>
    </w:pPr>
  </w:style>
  <w:style w:type="paragraph" w:styleId="ListNumber">
    <w:name w:val="List Number"/>
    <w:basedOn w:val="Normal"/>
    <w:uiPriority w:val="99"/>
    <w:semiHidden/>
    <w:unhideWhenUsed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pPr>
      <w:numPr>
        <w:numId w:val="7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pPr>
      <w:numPr>
        <w:numId w:val="8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hAnsi="Times New Roman" w:cs="Times New Roman"/>
      <w:sz w:val="20"/>
      <w:szCs w:val="20"/>
      <w:lang w:val="hu-H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Times New Roman" w:hAnsi="Times New Roman" w:cs="Times New Roman"/>
      <w:b/>
      <w:bCs/>
      <w:sz w:val="20"/>
      <w:szCs w:val="20"/>
      <w:lang w:val="hu-HU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  <w:lang w:val="hu-HU"/>
    </w:rPr>
  </w:style>
  <w:style w:type="paragraph" w:styleId="Revision">
    <w:name w:val="Revision"/>
    <w:hidden/>
    <w:uiPriority w:val="99"/>
    <w:semiHidden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Theme="majorEastAsia" w:hAnsi="Times New Roman" w:cs="Times New Roman"/>
      <w:b/>
      <w:bCs/>
      <w:smallCaps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Times New Roman" w:eastAsiaTheme="majorEastAsia" w:hAnsi="Times New Roman" w:cs="Times New Roman"/>
      <w:b/>
      <w:bCs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Theme="majorEastAsia" w:hAnsi="Times New Roman" w:cs="Times New Roman"/>
      <w:bCs/>
      <w:i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Times New Roman" w:eastAsiaTheme="majorEastAsia" w:hAnsi="Times New Roman" w:cs="Times New Roman"/>
      <w:bCs/>
      <w:iCs/>
      <w:sz w:val="24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1417"/>
    </w:pPr>
  </w:style>
  <w:style w:type="paragraph" w:customStyle="1" w:styleId="Text3">
    <w:name w:val="Text 3"/>
    <w:basedOn w:val="Normal"/>
    <w:pPr>
      <w:ind w:left="1984"/>
    </w:pPr>
  </w:style>
  <w:style w:type="paragraph" w:customStyle="1" w:styleId="Text4">
    <w:name w:val="Text 4"/>
    <w:basedOn w:val="Normal"/>
    <w:pPr>
      <w:ind w:left="2551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Tiret0">
    <w:name w:val="Tiret 0"/>
    <w:basedOn w:val="Point0"/>
    <w:pPr>
      <w:numPr>
        <w:numId w:val="10"/>
      </w:numPr>
    </w:pPr>
  </w:style>
  <w:style w:type="paragraph" w:customStyle="1" w:styleId="Tiret1">
    <w:name w:val="Tiret 1"/>
    <w:basedOn w:val="Point1"/>
    <w:pPr>
      <w:numPr>
        <w:numId w:val="11"/>
      </w:numPr>
    </w:pPr>
  </w:style>
  <w:style w:type="paragraph" w:customStyle="1" w:styleId="Tiret2">
    <w:name w:val="Tiret 2"/>
    <w:basedOn w:val="Point2"/>
    <w:pPr>
      <w:numPr>
        <w:numId w:val="12"/>
      </w:numPr>
    </w:pPr>
  </w:style>
  <w:style w:type="paragraph" w:customStyle="1" w:styleId="Tiret3">
    <w:name w:val="Tiret 3"/>
    <w:basedOn w:val="Point3"/>
    <w:pPr>
      <w:numPr>
        <w:numId w:val="13"/>
      </w:numPr>
    </w:pPr>
  </w:style>
  <w:style w:type="paragraph" w:customStyle="1" w:styleId="Tiret4">
    <w:name w:val="Tiret 4"/>
    <w:basedOn w:val="Point4"/>
    <w:pPr>
      <w:numPr>
        <w:numId w:val="14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15"/>
      </w:numPr>
    </w:pPr>
  </w:style>
  <w:style w:type="paragraph" w:customStyle="1" w:styleId="NumPar2">
    <w:name w:val="NumPar 2"/>
    <w:basedOn w:val="Normal"/>
    <w:next w:val="Text1"/>
    <w:pPr>
      <w:numPr>
        <w:ilvl w:val="1"/>
        <w:numId w:val="15"/>
      </w:numPr>
    </w:pPr>
  </w:style>
  <w:style w:type="paragraph" w:customStyle="1" w:styleId="NumPar3">
    <w:name w:val="NumPar 3"/>
    <w:basedOn w:val="Normal"/>
    <w:next w:val="Text1"/>
    <w:pPr>
      <w:numPr>
        <w:ilvl w:val="2"/>
        <w:numId w:val="15"/>
      </w:numPr>
    </w:pPr>
  </w:style>
  <w:style w:type="paragraph" w:customStyle="1" w:styleId="NumPar4">
    <w:name w:val="NumPar 4"/>
    <w:basedOn w:val="Normal"/>
    <w:next w:val="Text1"/>
    <w:pPr>
      <w:numPr>
        <w:ilvl w:val="3"/>
        <w:numId w:val="15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1"/>
    <w:pPr>
      <w:ind w:left="850" w:hanging="850"/>
    </w:pPr>
  </w:style>
  <w:style w:type="paragraph" w:customStyle="1" w:styleId="ManualNumPar3">
    <w:name w:val="Manual NumPar 3"/>
    <w:basedOn w:val="Normal"/>
    <w:next w:val="Text1"/>
    <w:pPr>
      <w:ind w:left="850" w:hanging="850"/>
    </w:pPr>
  </w:style>
  <w:style w:type="paragraph" w:customStyle="1" w:styleId="ManualNumPar4">
    <w:name w:val="Manual NumPar 4"/>
    <w:basedOn w:val="Normal"/>
    <w:next w:val="Text1"/>
    <w:pPr>
      <w:ind w:left="850" w:hanging="850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1">
    <w:name w:val="Marker1"/>
    <w:basedOn w:val="DefaultParagraphFont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pPr>
      <w:numPr>
        <w:numId w:val="17"/>
      </w:numPr>
    </w:pPr>
  </w:style>
  <w:style w:type="paragraph" w:customStyle="1" w:styleId="Point1number">
    <w:name w:val="Point 1 (number)"/>
    <w:basedOn w:val="Normal"/>
    <w:pPr>
      <w:numPr>
        <w:ilvl w:val="2"/>
        <w:numId w:val="17"/>
      </w:numPr>
    </w:pPr>
  </w:style>
  <w:style w:type="paragraph" w:customStyle="1" w:styleId="Point2number">
    <w:name w:val="Point 2 (number)"/>
    <w:basedOn w:val="Normal"/>
    <w:pPr>
      <w:numPr>
        <w:ilvl w:val="4"/>
        <w:numId w:val="17"/>
      </w:numPr>
    </w:pPr>
  </w:style>
  <w:style w:type="paragraph" w:customStyle="1" w:styleId="Point3number">
    <w:name w:val="Point 3 (number)"/>
    <w:basedOn w:val="Normal"/>
    <w:pPr>
      <w:numPr>
        <w:ilvl w:val="6"/>
        <w:numId w:val="17"/>
      </w:numPr>
    </w:pPr>
  </w:style>
  <w:style w:type="paragraph" w:customStyle="1" w:styleId="Point0letter">
    <w:name w:val="Point 0 (letter)"/>
    <w:basedOn w:val="Normal"/>
    <w:pPr>
      <w:numPr>
        <w:ilvl w:val="1"/>
        <w:numId w:val="17"/>
      </w:numPr>
    </w:pPr>
  </w:style>
  <w:style w:type="paragraph" w:customStyle="1" w:styleId="Point1letter">
    <w:name w:val="Point 1 (letter)"/>
    <w:basedOn w:val="Normal"/>
    <w:pPr>
      <w:numPr>
        <w:ilvl w:val="3"/>
        <w:numId w:val="17"/>
      </w:numPr>
    </w:pPr>
  </w:style>
  <w:style w:type="paragraph" w:customStyle="1" w:styleId="Point2letter">
    <w:name w:val="Point 2 (letter)"/>
    <w:basedOn w:val="Normal"/>
    <w:pPr>
      <w:numPr>
        <w:ilvl w:val="5"/>
        <w:numId w:val="17"/>
      </w:numPr>
    </w:pPr>
  </w:style>
  <w:style w:type="paragraph" w:customStyle="1" w:styleId="Point3letter">
    <w:name w:val="Point 3 (letter)"/>
    <w:basedOn w:val="Normal"/>
    <w:pPr>
      <w:numPr>
        <w:ilvl w:val="7"/>
        <w:numId w:val="17"/>
      </w:numPr>
    </w:pPr>
  </w:style>
  <w:style w:type="paragraph" w:customStyle="1" w:styleId="Point4letter">
    <w:name w:val="Point 4 (letter)"/>
    <w:basedOn w:val="Normal"/>
    <w:pPr>
      <w:numPr>
        <w:ilvl w:val="8"/>
        <w:numId w:val="17"/>
      </w:numPr>
    </w:pPr>
  </w:style>
  <w:style w:type="paragraph" w:customStyle="1" w:styleId="Bullet0">
    <w:name w:val="Bullet 0"/>
    <w:basedOn w:val="Normal"/>
    <w:pPr>
      <w:numPr>
        <w:numId w:val="18"/>
      </w:numPr>
    </w:pPr>
  </w:style>
  <w:style w:type="paragraph" w:customStyle="1" w:styleId="Bullet1">
    <w:name w:val="Bullet 1"/>
    <w:basedOn w:val="Normal"/>
    <w:pPr>
      <w:numPr>
        <w:numId w:val="19"/>
      </w:numPr>
    </w:pPr>
  </w:style>
  <w:style w:type="paragraph" w:customStyle="1" w:styleId="Bullet2">
    <w:name w:val="Bullet 2"/>
    <w:basedOn w:val="Normal"/>
    <w:pPr>
      <w:numPr>
        <w:numId w:val="20"/>
      </w:numPr>
    </w:pPr>
  </w:style>
  <w:style w:type="paragraph" w:customStyle="1" w:styleId="Bullet3">
    <w:name w:val="Bullet 3"/>
    <w:basedOn w:val="Normal"/>
    <w:pPr>
      <w:numPr>
        <w:numId w:val="21"/>
      </w:numPr>
    </w:pPr>
  </w:style>
  <w:style w:type="paragraph" w:customStyle="1" w:styleId="Bullet4">
    <w:name w:val="Bullet 4"/>
    <w:basedOn w:val="Normal"/>
    <w:pPr>
      <w:numPr>
        <w:numId w:val="22"/>
      </w:numPr>
    </w:pPr>
  </w:style>
  <w:style w:type="paragraph" w:customStyle="1" w:styleId="Langue">
    <w:name w:val="Langue"/>
    <w:basedOn w:val="Normal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pPr>
      <w:spacing w:before="0" w:after="0"/>
    </w:pPr>
  </w:style>
  <w:style w:type="paragraph" w:customStyle="1" w:styleId="Declassification">
    <w:name w:val="Declassification"/>
    <w:basedOn w:val="Normal"/>
    <w:next w:val="Normal"/>
    <w:pPr>
      <w:spacing w:before="0" w:after="0"/>
    </w:pPr>
  </w:style>
  <w:style w:type="paragraph" w:customStyle="1" w:styleId="Disclaimer">
    <w:name w:val="Disclaimer"/>
    <w:basedOn w:val="Normal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pPr>
      <w:numPr>
        <w:numId w:val="23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customStyle="1" w:styleId="Supertitre">
    <w:name w:val="Supertitre"/>
    <w:basedOn w:val="Normal"/>
    <w:next w:val="Normal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pPr>
      <w:spacing w:before="360" w:after="0"/>
      <w:jc w:val="center"/>
    </w:pPr>
  </w:style>
  <w:style w:type="paragraph" w:customStyle="1" w:styleId="Rfrencecroise">
    <w:name w:val="Référence croisée"/>
    <w:basedOn w:val="Normal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itreobjetPagedecouverture">
    <w:name w:val="Titre objet (Page de couverture)"/>
    <w:basedOn w:val="Titreobjet"/>
    <w:next w:val="IntrtEEEPagedecouverture"/>
  </w:style>
  <w:style w:type="paragraph" w:customStyle="1" w:styleId="TypedudocumentPagedecouverture">
    <w:name w:val="Type du document (Page de couverture)"/>
    <w:basedOn w:val="Typedudocument"/>
    <w:next w:val="TitreobjetPagedecouverture"/>
  </w:style>
  <w:style w:type="paragraph" w:customStyle="1" w:styleId="Volume">
    <w:name w:val="Volume"/>
    <w:basedOn w:val="Normal"/>
    <w:next w:val="Confidentialit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pPr>
      <w:spacing w:after="240"/>
    </w:pPr>
  </w:style>
  <w:style w:type="paragraph" w:customStyle="1" w:styleId="Accompagnant">
    <w:name w:val="Accompagnant"/>
    <w:basedOn w:val="Normal"/>
    <w:next w:val="Typeacteprincipal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"/>
    <w:next w:val="Normal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038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588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36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1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1E0D26-7CB7-4C9D-87F7-111A17B83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2451</Words>
  <Characters>13973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2021-11-25T15:00:00Z</dcterms:created>
  <dcterms:modified xsi:type="dcterms:W3CDTF">2022-01-17T15:21:00Z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vel of sensitivity">
    <vt:lpwstr>Standard treatment</vt:lpwstr>
  </property>
  <property fmtid="{D5CDD505-2E9C-101B-9397-08002B2CF9AE}" pid="3" name="Last edited using">
    <vt:lpwstr>LW 7.0.1, Build 20190916</vt:lpwstr>
  </property>
  <property fmtid="{D5CDD505-2E9C-101B-9397-08002B2CF9AE}" pid="4" name="Category">
    <vt:lpwstr>COM/AA</vt:lpwstr>
  </property>
  <property fmtid="{D5CDD505-2E9C-101B-9397-08002B2CF9AE}" pid="5" name="Part">
    <vt:lpwstr>1</vt:lpwstr>
  </property>
  <property fmtid="{D5CDD505-2E9C-101B-9397-08002B2CF9AE}" pid="6" name="Total parts">
    <vt:lpwstr>1</vt:lpwstr>
  </property>
  <property fmtid="{D5CDD505-2E9C-101B-9397-08002B2CF9AE}" pid="7" name="LWTemplateID">
    <vt:lpwstr>SJ-004</vt:lpwstr>
  </property>
  <property fmtid="{D5CDD505-2E9C-101B-9397-08002B2CF9AE}" pid="8" name="DQCStatus">
    <vt:lpwstr>Yellow (DQC version 03)</vt:lpwstr>
  </property>
  <property fmtid="{D5CDD505-2E9C-101B-9397-08002B2CF9AE}" pid="9" name="MSIP_Label_5c7eb9de-735b-4a68-8fe4-c9c62709b012_Enabled">
    <vt:lpwstr>true</vt:lpwstr>
  </property>
  <property fmtid="{D5CDD505-2E9C-101B-9397-08002B2CF9AE}" pid="10" name="MSIP_Label_5c7eb9de-735b-4a68-8fe4-c9c62709b012_SetDate">
    <vt:lpwstr>2022-01-17T15:21:52Z</vt:lpwstr>
  </property>
  <property fmtid="{D5CDD505-2E9C-101B-9397-08002B2CF9AE}" pid="11" name="MSIP_Label_5c7eb9de-735b-4a68-8fe4-c9c62709b012_Method">
    <vt:lpwstr>Standard</vt:lpwstr>
  </property>
  <property fmtid="{D5CDD505-2E9C-101B-9397-08002B2CF9AE}" pid="12" name="MSIP_Label_5c7eb9de-735b-4a68-8fe4-c9c62709b012_Name">
    <vt:lpwstr>EBA Regular Use</vt:lpwstr>
  </property>
  <property fmtid="{D5CDD505-2E9C-101B-9397-08002B2CF9AE}" pid="13" name="MSIP_Label_5c7eb9de-735b-4a68-8fe4-c9c62709b012_SiteId">
    <vt:lpwstr>3bacb4ff-f1a2-4c92-b96c-e99fec826b68</vt:lpwstr>
  </property>
  <property fmtid="{D5CDD505-2E9C-101B-9397-08002B2CF9AE}" pid="14" name="MSIP_Label_5c7eb9de-735b-4a68-8fe4-c9c62709b012_ActionId">
    <vt:lpwstr>fd4c1818-eaaf-48e5-9a3b-edc0c9d06219</vt:lpwstr>
  </property>
  <property fmtid="{D5CDD505-2E9C-101B-9397-08002B2CF9AE}" pid="15" name="MSIP_Label_5c7eb9de-735b-4a68-8fe4-c9c62709b012_ContentBits">
    <vt:lpwstr>1</vt:lpwstr>
  </property>
</Properties>
</file>