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46BB5" w14:textId="77777777" w:rsidR="001D48E9" w:rsidRPr="008F6131" w:rsidRDefault="008F6131">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F6131">
        <w:t>PRILOGA VII – Navodila za predloge za razkritja o kapitalu</w:t>
      </w:r>
    </w:p>
    <w:p w14:paraId="6AD4ED7F" w14:textId="77777777" w:rsidR="001D48E9" w:rsidRPr="008F6131" w:rsidRDefault="008F6131">
      <w:pPr>
        <w:rPr>
          <w:rFonts w:ascii="Times New Roman" w:hAnsi="Times New Roman" w:cs="Times New Roman"/>
          <w:b/>
          <w:bCs/>
          <w:sz w:val="24"/>
        </w:rPr>
      </w:pPr>
      <w:r w:rsidRPr="008F6131">
        <w:rPr>
          <w:rFonts w:ascii="Times New Roman" w:hAnsi="Times New Roman" w:cs="Times New Roman"/>
          <w:b/>
          <w:bCs/>
          <w:sz w:val="24"/>
        </w:rPr>
        <w:t>Predloga EU I CC1.01, EU I CC1.02 in EU I CC1.03 – Sestava regulativnega kapitala</w:t>
      </w:r>
    </w:p>
    <w:p w14:paraId="05A80CF6" w14:textId="77777777" w:rsidR="001D48E9" w:rsidRPr="008F6131" w:rsidRDefault="008F6131">
      <w:pPr>
        <w:tabs>
          <w:tab w:val="left" w:pos="360"/>
        </w:tabs>
        <w:spacing w:before="120" w:after="120"/>
        <w:ind w:left="360" w:hanging="360"/>
        <w:jc w:val="both"/>
        <w:rPr>
          <w:rFonts w:ascii="Times New Roman" w:hAnsi="Times New Roman" w:cs="Times New Roman"/>
          <w:bCs/>
          <w:sz w:val="24"/>
        </w:rPr>
      </w:pPr>
      <w:r w:rsidRPr="008F6131">
        <w:rPr>
          <w:rFonts w:ascii="Times New Roman" w:hAnsi="Times New Roman" w:cs="Times New Roman"/>
          <w:bCs/>
          <w:sz w:val="24"/>
        </w:rPr>
        <w:t>1.</w:t>
      </w:r>
      <w:r w:rsidRPr="008F6131">
        <w:rPr>
          <w:rFonts w:ascii="Times New Roman" w:hAnsi="Times New Roman" w:cs="Times New Roman"/>
          <w:bCs/>
          <w:sz w:val="24"/>
        </w:rPr>
        <w:tab/>
        <w:t xml:space="preserve">Investicijska podjetja uporabljajo navodila iz te priloge za izpolnjevanje predloge EU I CC1 </w:t>
      </w:r>
      <w:r w:rsidRPr="008F6131">
        <w:rPr>
          <w:rFonts w:ascii="Times New Roman" w:hAnsi="Times New Roman" w:cs="Times New Roman"/>
          <w:bCs/>
          <w:sz w:val="24"/>
        </w:rPr>
        <w:t>iz Priloge VI v skladu s členom 49(1), točki (a) in (c), Uredbe (EU) 2019/2033.</w:t>
      </w:r>
    </w:p>
    <w:p w14:paraId="1B05FB88"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2.</w:t>
      </w:r>
      <w:r w:rsidRPr="008F6131">
        <w:rPr>
          <w:rFonts w:ascii="Times New Roman" w:hAnsi="Times New Roman" w:cs="Times New Roman"/>
          <w:bCs/>
          <w:sz w:val="24"/>
        </w:rPr>
        <w:tab/>
        <w:t>Investicijska podjetja izpolnijo stolpec (b), da pojasnijo vir vsakega pomembnejšega vnosa, ki mora biti povezan z ustreznimi vrsticami v predlogi EU I CC2.</w:t>
      </w:r>
    </w:p>
    <w:p w14:paraId="4F8F52CB" w14:textId="77777777" w:rsidR="001D48E9" w:rsidRPr="008F6131" w:rsidRDefault="008F6131">
      <w:pPr>
        <w:tabs>
          <w:tab w:val="left" w:pos="360"/>
        </w:tabs>
        <w:spacing w:before="120" w:after="120"/>
        <w:ind w:left="360" w:hanging="360"/>
        <w:jc w:val="both"/>
        <w:rPr>
          <w:rFonts w:ascii="Times New Roman" w:hAnsi="Times New Roman" w:cs="Times New Roman"/>
          <w:bCs/>
          <w:sz w:val="24"/>
        </w:rPr>
      </w:pPr>
      <w:r w:rsidRPr="008F6131">
        <w:rPr>
          <w:rFonts w:ascii="Times New Roman" w:hAnsi="Times New Roman" w:cs="Times New Roman"/>
          <w:bCs/>
          <w:sz w:val="24"/>
        </w:rPr>
        <w:t>3.</w:t>
      </w:r>
      <w:r w:rsidRPr="008F6131">
        <w:rPr>
          <w:rFonts w:ascii="Times New Roman" w:hAnsi="Times New Roman" w:cs="Times New Roman"/>
          <w:bCs/>
          <w:sz w:val="24"/>
        </w:rPr>
        <w:tab/>
        <w:t>Investicijska</w:t>
      </w:r>
      <w:r w:rsidRPr="008F6131">
        <w:rPr>
          <w:rFonts w:ascii="Times New Roman" w:hAnsi="Times New Roman" w:cs="Times New Roman"/>
          <w:bCs/>
          <w:sz w:val="24"/>
        </w:rPr>
        <w:t xml:space="preserve"> podjetja v besedilo, priloženo predlogi, vključijo opis vseh omejitev, ki se uporabljajo za izračun kapitala v skladu s členom 49(1), točka (c), Uredbe (EU) 2019/2033, ter instrumentov in odbitkov, za katere veljajo te omejitve. Pojasnijo tudi glavne spre</w:t>
      </w:r>
      <w:r w:rsidRPr="008F6131">
        <w:rPr>
          <w:rFonts w:ascii="Times New Roman" w:hAnsi="Times New Roman" w:cs="Times New Roman"/>
          <w:bCs/>
          <w:sz w:val="24"/>
        </w:rPr>
        <w:t>membe razkritih zneskov v primerjavi s prejšnjimi obdobji razkritja.</w:t>
      </w:r>
    </w:p>
    <w:p w14:paraId="48680D0A" w14:textId="77777777" w:rsidR="001D48E9" w:rsidRPr="008F6131" w:rsidRDefault="008F6131">
      <w:pPr>
        <w:tabs>
          <w:tab w:val="left" w:pos="360"/>
        </w:tabs>
        <w:spacing w:before="120" w:after="120"/>
        <w:ind w:left="360" w:hanging="360"/>
        <w:jc w:val="both"/>
        <w:rPr>
          <w:rFonts w:ascii="Times New Roman" w:hAnsi="Times New Roman" w:cs="Times New Roman"/>
          <w:bCs/>
          <w:sz w:val="24"/>
        </w:rPr>
      </w:pPr>
      <w:r w:rsidRPr="008F6131">
        <w:rPr>
          <w:rFonts w:ascii="Times New Roman" w:hAnsi="Times New Roman" w:cs="Times New Roman"/>
          <w:bCs/>
          <w:sz w:val="24"/>
        </w:rPr>
        <w:t>4.</w:t>
      </w:r>
      <w:r w:rsidRPr="008F6131">
        <w:rPr>
          <w:rFonts w:ascii="Times New Roman" w:hAnsi="Times New Roman" w:cs="Times New Roman"/>
          <w:bCs/>
          <w:sz w:val="24"/>
        </w:rPr>
        <w:tab/>
        <w:t>Ta predloga je fiksna in investicijska podjetja jo razkrijejo s popolnoma isto obliko, kot je določena v Prilogi VI.</w:t>
      </w:r>
    </w:p>
    <w:p w14:paraId="5AC9038F" w14:textId="77777777" w:rsidR="001D48E9" w:rsidRPr="008F6131" w:rsidRDefault="008F6131">
      <w:pPr>
        <w:tabs>
          <w:tab w:val="left" w:pos="360"/>
        </w:tabs>
        <w:spacing w:before="120" w:after="120"/>
        <w:ind w:left="360" w:hanging="360"/>
        <w:jc w:val="both"/>
        <w:rPr>
          <w:rFonts w:ascii="Times New Roman" w:hAnsi="Times New Roman" w:cs="Times New Roman"/>
          <w:bCs/>
          <w:sz w:val="24"/>
        </w:rPr>
      </w:pPr>
      <w:r w:rsidRPr="008F6131">
        <w:rPr>
          <w:rFonts w:ascii="Times New Roman" w:hAnsi="Times New Roman" w:cs="Times New Roman"/>
          <w:bCs/>
          <w:sz w:val="24"/>
        </w:rPr>
        <w:t>5.</w:t>
      </w:r>
      <w:r w:rsidRPr="008F6131">
        <w:rPr>
          <w:rFonts w:ascii="Times New Roman" w:hAnsi="Times New Roman" w:cs="Times New Roman"/>
          <w:bCs/>
          <w:sz w:val="24"/>
        </w:rPr>
        <w:tab/>
        <w:t>Investicijska podjetja, razen malih in nepovezanih, razkrijejo i</w:t>
      </w:r>
      <w:r w:rsidRPr="008F6131">
        <w:rPr>
          <w:rFonts w:ascii="Times New Roman" w:hAnsi="Times New Roman" w:cs="Times New Roman"/>
          <w:bCs/>
          <w:sz w:val="24"/>
        </w:rPr>
        <w:t>nformacije o sestavi kapitala v skladu s predlogo EU I CC1.01 v Prilogi VI. Mala in nepovezana investicijska podjetja z instrumenti dodatnega temeljnega kapitala razkrijejo informacije o sestavi kapitala v skladu s predlogo EU I CC1.02, ki je prav tako v P</w:t>
      </w:r>
      <w:r w:rsidRPr="008F6131">
        <w:rPr>
          <w:rFonts w:ascii="Times New Roman" w:hAnsi="Times New Roman" w:cs="Times New Roman"/>
          <w:bCs/>
          <w:sz w:val="24"/>
        </w:rPr>
        <w:t>rilogi VI.</w:t>
      </w:r>
    </w:p>
    <w:p w14:paraId="6C9A775D" w14:textId="77777777" w:rsidR="001D48E9" w:rsidRPr="008F6131" w:rsidRDefault="008F6131">
      <w:pPr>
        <w:rPr>
          <w:rFonts w:ascii="Times New Roman" w:hAnsi="Times New Roman" w:cs="Times New Roman"/>
          <w:b/>
          <w:bCs/>
          <w:sz w:val="24"/>
        </w:rPr>
      </w:pPr>
      <w:r w:rsidRPr="008F6131">
        <w:rPr>
          <w:rFonts w:ascii="Times New Roman" w:hAnsi="Times New Roman" w:cs="Times New Roman"/>
          <w:b/>
          <w:bCs/>
          <w:sz w:val="24"/>
        </w:rPr>
        <w:t>Predloga EU I CC1.01 – Sestava regulativnega kapitala (investicijska podjetja razen malih in nepovezanih)</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D48E9" w:rsidRPr="008F6131" w14:paraId="07F1C7C4" w14:textId="77777777">
        <w:trPr>
          <w:trHeight w:val="395"/>
        </w:trPr>
        <w:tc>
          <w:tcPr>
            <w:tcW w:w="8812" w:type="dxa"/>
            <w:gridSpan w:val="2"/>
            <w:shd w:val="clear" w:color="auto" w:fill="D9D9D9" w:themeFill="background1" w:themeFillShade="D9"/>
          </w:tcPr>
          <w:p w14:paraId="7CE212A2" w14:textId="77777777" w:rsidR="001D48E9" w:rsidRPr="008F6131" w:rsidRDefault="008F6131">
            <w:pPr>
              <w:pStyle w:val="TableTitle"/>
              <w:spacing w:before="0" w:after="0"/>
              <w:jc w:val="left"/>
              <w:rPr>
                <w:rFonts w:ascii="Times New Roman" w:hAnsi="Times New Roman"/>
                <w:szCs w:val="22"/>
              </w:rPr>
            </w:pPr>
            <w:r w:rsidRPr="008F6131">
              <w:rPr>
                <w:rFonts w:ascii="Times New Roman" w:hAnsi="Times New Roman"/>
                <w:szCs w:val="22"/>
              </w:rPr>
              <w:t>Pravna podlaga in navodila</w:t>
            </w:r>
          </w:p>
        </w:tc>
      </w:tr>
      <w:tr w:rsidR="001D48E9" w:rsidRPr="008F6131" w14:paraId="3512D19F" w14:textId="77777777">
        <w:tblPrEx>
          <w:tblLook w:val="00A0" w:firstRow="1" w:lastRow="0" w:firstColumn="1" w:lastColumn="0" w:noHBand="0" w:noVBand="0"/>
        </w:tblPrEx>
        <w:tc>
          <w:tcPr>
            <w:tcW w:w="1129" w:type="dxa"/>
            <w:tcBorders>
              <w:bottom w:val="single" w:sz="4" w:space="0" w:color="auto"/>
            </w:tcBorders>
            <w:shd w:val="clear" w:color="auto" w:fill="D9D9D9"/>
          </w:tcPr>
          <w:p w14:paraId="618967D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Vrstica</w:t>
            </w:r>
          </w:p>
        </w:tc>
        <w:tc>
          <w:tcPr>
            <w:tcW w:w="7683" w:type="dxa"/>
            <w:tcBorders>
              <w:bottom w:val="single" w:sz="4" w:space="0" w:color="auto"/>
            </w:tcBorders>
            <w:shd w:val="clear" w:color="auto" w:fill="D9D9D9"/>
          </w:tcPr>
          <w:p w14:paraId="6F629C4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Pravna podlaga in navodila</w:t>
            </w:r>
          </w:p>
        </w:tc>
      </w:tr>
      <w:tr w:rsidR="001D48E9" w:rsidRPr="008F6131" w14:paraId="09B7D645" w14:textId="77777777">
        <w:tblPrEx>
          <w:tblLook w:val="00A0" w:firstRow="1" w:lastRow="0" w:firstColumn="1" w:lastColumn="0" w:noHBand="0" w:noVBand="0"/>
        </w:tblPrEx>
        <w:tc>
          <w:tcPr>
            <w:tcW w:w="1129" w:type="dxa"/>
            <w:shd w:val="clear" w:color="auto" w:fill="auto"/>
            <w:vAlign w:val="center"/>
          </w:tcPr>
          <w:p w14:paraId="2E009BA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color w:val="000000"/>
                <w:szCs w:val="22"/>
              </w:rPr>
              <w:t>1</w:t>
            </w:r>
          </w:p>
        </w:tc>
        <w:tc>
          <w:tcPr>
            <w:tcW w:w="7683" w:type="dxa"/>
            <w:shd w:val="clear" w:color="auto" w:fill="auto"/>
          </w:tcPr>
          <w:p w14:paraId="686015C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Kapital</w:t>
            </w:r>
          </w:p>
          <w:p w14:paraId="49316C4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0812F373"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 xml:space="preserve">Kapital </w:t>
            </w:r>
            <w:r w:rsidRPr="008F6131">
              <w:rPr>
                <w:rStyle w:val="FormatvorlageInstructionsTabelleText"/>
                <w:rFonts w:ascii="Times New Roman" w:hAnsi="Times New Roman"/>
                <w:sz w:val="22"/>
                <w:szCs w:val="22"/>
              </w:rPr>
              <w:t>investicijskega podjetja je sestavljen iz vsote njegovega navadnega lastniškega temeljnega kapitala, dodatnega temeljnega kapitala in dodatnega kapitala.</w:t>
            </w:r>
          </w:p>
          <w:p w14:paraId="5A12439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je vsota vrstice 2 in vrstice 40.</w:t>
            </w:r>
          </w:p>
        </w:tc>
      </w:tr>
      <w:tr w:rsidR="001D48E9" w:rsidRPr="008F6131" w14:paraId="306E93DF" w14:textId="77777777">
        <w:tblPrEx>
          <w:tblLook w:val="00A0" w:firstRow="1" w:lastRow="0" w:firstColumn="1" w:lastColumn="0" w:noHBand="0" w:noVBand="0"/>
        </w:tblPrEx>
        <w:tc>
          <w:tcPr>
            <w:tcW w:w="1129" w:type="dxa"/>
            <w:shd w:val="clear" w:color="auto" w:fill="auto"/>
            <w:vAlign w:val="center"/>
          </w:tcPr>
          <w:p w14:paraId="6CA3C37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color w:val="000000"/>
                <w:szCs w:val="22"/>
              </w:rPr>
              <w:t>2</w:t>
            </w:r>
          </w:p>
        </w:tc>
        <w:tc>
          <w:tcPr>
            <w:tcW w:w="7683" w:type="dxa"/>
            <w:shd w:val="clear" w:color="auto" w:fill="auto"/>
          </w:tcPr>
          <w:p w14:paraId="618DD6F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Temeljni kapital</w:t>
            </w:r>
          </w:p>
          <w:p w14:paraId="197C8099"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 xml:space="preserve">Temeljni kapital je vsota </w:t>
            </w:r>
            <w:r w:rsidRPr="008F6131">
              <w:rPr>
                <w:rStyle w:val="FormatvorlageInstructionsTabelleText"/>
                <w:rFonts w:ascii="Times New Roman" w:hAnsi="Times New Roman"/>
                <w:sz w:val="22"/>
                <w:szCs w:val="22"/>
              </w:rPr>
              <w:t>navadnega lastniškega temeljnega kapitala in dodatnega temeljnega kapitala.</w:t>
            </w:r>
          </w:p>
          <w:p w14:paraId="585E3044" w14:textId="77777777" w:rsidR="001D48E9" w:rsidRPr="008F6131" w:rsidRDefault="008F6131">
            <w:pPr>
              <w:spacing w:after="120"/>
              <w:jc w:val="both"/>
              <w:rPr>
                <w:rFonts w:ascii="Times New Roman" w:eastAsia="Times New Roman" w:hAnsi="Times New Roman" w:cs="Times New Roman"/>
                <w:b/>
                <w:bCs/>
                <w:szCs w:val="22"/>
              </w:rPr>
            </w:pPr>
            <w:r w:rsidRPr="008F6131">
              <w:rPr>
                <w:rFonts w:ascii="Times New Roman" w:hAnsi="Times New Roman" w:cs="Times New Roman"/>
                <w:bCs/>
                <w:szCs w:val="22"/>
              </w:rPr>
              <w:t>Ta vrstica je vsota vrstic 3 in 28.</w:t>
            </w:r>
          </w:p>
        </w:tc>
      </w:tr>
      <w:tr w:rsidR="001D48E9" w:rsidRPr="008F6131" w14:paraId="19CD83F9" w14:textId="77777777">
        <w:tblPrEx>
          <w:tblLook w:val="00A0" w:firstRow="1" w:lastRow="0" w:firstColumn="1" w:lastColumn="0" w:noHBand="0" w:noVBand="0"/>
        </w:tblPrEx>
        <w:tc>
          <w:tcPr>
            <w:tcW w:w="1129" w:type="dxa"/>
            <w:shd w:val="clear" w:color="auto" w:fill="auto"/>
            <w:vAlign w:val="center"/>
          </w:tcPr>
          <w:p w14:paraId="1D2B8C7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color w:val="000000"/>
                <w:szCs w:val="22"/>
              </w:rPr>
              <w:t>3</w:t>
            </w:r>
          </w:p>
        </w:tc>
        <w:tc>
          <w:tcPr>
            <w:tcW w:w="7683" w:type="dxa"/>
            <w:shd w:val="clear" w:color="auto" w:fill="auto"/>
          </w:tcPr>
          <w:p w14:paraId="2AB8320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InstructionsTabelleberschrift"/>
                <w:rFonts w:ascii="Times New Roman" w:hAnsi="Times New Roman"/>
                <w:sz w:val="22"/>
                <w:szCs w:val="22"/>
              </w:rPr>
              <w:t>Navadni lastniški temeljni kapital</w:t>
            </w:r>
          </w:p>
          <w:p w14:paraId="77651CD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7D10A1E5"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50</w:t>
            </w:r>
            <w:r w:rsidRPr="008F6131">
              <w:rPr>
                <w:rFonts w:ascii="Times New Roman" w:hAnsi="Times New Roman" w:cs="Times New Roman"/>
                <w:bCs/>
                <w:szCs w:val="22"/>
              </w:rPr>
              <w:t xml:space="preserve"> Uredbe</w:t>
            </w:r>
            <w:r w:rsidRPr="008F6131">
              <w:rPr>
                <w:rStyle w:val="FormatvorlageInstructionsTabelleText"/>
                <w:rFonts w:ascii="Times New Roman" w:hAnsi="Times New Roman"/>
                <w:sz w:val="22"/>
                <w:szCs w:val="22"/>
              </w:rPr>
              <w:t xml:space="preserve"> (EU) št. 575/2013.</w:t>
            </w:r>
          </w:p>
          <w:p w14:paraId="021FD22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 4 do 12 in vrs</w:t>
            </w:r>
            <w:r w:rsidRPr="008F6131">
              <w:rPr>
                <w:rFonts w:ascii="Times New Roman" w:hAnsi="Times New Roman" w:cs="Times New Roman"/>
                <w:bCs/>
                <w:szCs w:val="22"/>
              </w:rPr>
              <w:t>tice 27.</w:t>
            </w:r>
          </w:p>
        </w:tc>
      </w:tr>
      <w:tr w:rsidR="001D48E9" w:rsidRPr="008F6131" w14:paraId="7EAB8E7B" w14:textId="77777777">
        <w:tblPrEx>
          <w:tblLook w:val="00A0" w:firstRow="1" w:lastRow="0" w:firstColumn="1" w:lastColumn="0" w:noHBand="0" w:noVBand="0"/>
        </w:tblPrEx>
        <w:tc>
          <w:tcPr>
            <w:tcW w:w="1129" w:type="dxa"/>
            <w:shd w:val="clear" w:color="auto" w:fill="auto"/>
            <w:vAlign w:val="center"/>
          </w:tcPr>
          <w:p w14:paraId="7C4CB99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w:t>
            </w:r>
          </w:p>
        </w:tc>
        <w:tc>
          <w:tcPr>
            <w:tcW w:w="7683" w:type="dxa"/>
            <w:shd w:val="clear" w:color="auto" w:fill="auto"/>
          </w:tcPr>
          <w:p w14:paraId="2678569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 celoti vplačani kapitalski instrumenti</w:t>
            </w:r>
          </w:p>
          <w:p w14:paraId="719F4B4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716D961"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26(1), točka (a), in členi 27 do 31 Uredbe (EU) št. 575/2013.</w:t>
            </w:r>
          </w:p>
          <w:p w14:paraId="129E0CEC" w14:textId="77777777" w:rsidR="001D48E9" w:rsidRPr="008F6131" w:rsidRDefault="001D48E9">
            <w:pPr>
              <w:pStyle w:val="InstructionsText"/>
              <w:rPr>
                <w:rStyle w:val="FormatvorlageInstructionsTabelleText"/>
                <w:rFonts w:ascii="Times New Roman" w:hAnsi="Times New Roman"/>
                <w:sz w:val="22"/>
                <w:lang w:val="en-IE"/>
              </w:rPr>
            </w:pPr>
          </w:p>
          <w:p w14:paraId="5462736E"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 xml:space="preserve">Vključijo se kapitalski instrumenti vzajemnih, zadružnih ali podobnih </w:t>
            </w:r>
            <w:r w:rsidRPr="008F6131">
              <w:rPr>
                <w:rFonts w:cs="Times New Roman"/>
              </w:rPr>
              <w:t>institucij (člena 27 in 29 Uredbe (EU) št. 575/2013).</w:t>
            </w:r>
          </w:p>
          <w:p w14:paraId="5FF3178E"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povezan z instrumenti, se ne vključi.</w:t>
            </w:r>
          </w:p>
          <w:p w14:paraId="0BDB7F33" w14:textId="77777777" w:rsidR="001D48E9" w:rsidRPr="008F6131" w:rsidRDefault="008F6131">
            <w:pPr>
              <w:pStyle w:val="InstructionsText"/>
              <w:rPr>
                <w:rFonts w:cs="Times New Roman"/>
              </w:rPr>
            </w:pPr>
            <w:r w:rsidRPr="008F6131">
              <w:rPr>
                <w:rFonts w:cs="Times New Roman"/>
              </w:rPr>
              <w:lastRenderedPageBreak/>
              <w:t>Kapitalski instrumenti, ki jih vpišejo javni organi v izrednih razmerah, se vključijo, če so izpolnjeni vsi pogoji iz člena 31 Uredbe (E</w:t>
            </w:r>
            <w:r w:rsidRPr="008F6131">
              <w:rPr>
                <w:rFonts w:cs="Times New Roman"/>
              </w:rPr>
              <w:t>U) št. 575/2013.</w:t>
            </w:r>
          </w:p>
        </w:tc>
      </w:tr>
      <w:tr w:rsidR="001D48E9" w:rsidRPr="008F6131" w14:paraId="1F2EB963" w14:textId="77777777">
        <w:tblPrEx>
          <w:tblLook w:val="00A0" w:firstRow="1" w:lastRow="0" w:firstColumn="1" w:lastColumn="0" w:noHBand="0" w:noVBand="0"/>
        </w:tblPrEx>
        <w:tc>
          <w:tcPr>
            <w:tcW w:w="1129" w:type="dxa"/>
            <w:shd w:val="clear" w:color="auto" w:fill="auto"/>
            <w:vAlign w:val="center"/>
          </w:tcPr>
          <w:p w14:paraId="1686056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5</w:t>
            </w:r>
          </w:p>
        </w:tc>
        <w:tc>
          <w:tcPr>
            <w:tcW w:w="7683" w:type="dxa"/>
            <w:shd w:val="clear" w:color="auto" w:fill="auto"/>
          </w:tcPr>
          <w:p w14:paraId="2E8A696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0EF99F1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1958B13D" w14:textId="77777777" w:rsidR="001D48E9" w:rsidRPr="008F6131" w:rsidRDefault="008F6131">
            <w:pPr>
              <w:spacing w:after="120"/>
              <w:jc w:val="both"/>
              <w:rPr>
                <w:rStyle w:val="FormatvorlageInstructionsTabelleText"/>
                <w:rFonts w:ascii="Times New Roman" w:hAnsi="Times New Roman"/>
                <w:sz w:val="22"/>
                <w:szCs w:val="22"/>
              </w:rPr>
            </w:pPr>
            <w:r w:rsidRPr="008F6131">
              <w:rPr>
                <w:rFonts w:ascii="Times New Roman" w:hAnsi="Times New Roman" w:cs="Times New Roman"/>
                <w:szCs w:val="22"/>
              </w:rPr>
              <w:t>Člen 26(1), točka (b), Uredbe (EU) št. 575/2013.</w:t>
            </w:r>
          </w:p>
          <w:p w14:paraId="7A942502"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205CB23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w:t>
            </w:r>
            <w:r w:rsidRPr="008F6131">
              <w:rPr>
                <w:rStyle w:val="FormatvorlageInstructionsTabelleText"/>
                <w:rFonts w:ascii="Times New Roman" w:hAnsi="Times New Roman"/>
                <w:sz w:val="22"/>
                <w:szCs w:val="22"/>
              </w:rPr>
              <w:t>rije v okviru te postavke, je del, povezan z „vplačanimi kapitalskimi instrumenti“.</w:t>
            </w:r>
          </w:p>
        </w:tc>
      </w:tr>
      <w:tr w:rsidR="001D48E9" w:rsidRPr="008F6131" w14:paraId="72AF9414" w14:textId="77777777">
        <w:tblPrEx>
          <w:tblLook w:val="00A0" w:firstRow="1" w:lastRow="0" w:firstColumn="1" w:lastColumn="0" w:noHBand="0" w:noVBand="0"/>
        </w:tblPrEx>
        <w:tc>
          <w:tcPr>
            <w:tcW w:w="1129" w:type="dxa"/>
            <w:shd w:val="clear" w:color="auto" w:fill="auto"/>
            <w:vAlign w:val="center"/>
          </w:tcPr>
          <w:p w14:paraId="5E8ABBA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6</w:t>
            </w:r>
          </w:p>
        </w:tc>
        <w:tc>
          <w:tcPr>
            <w:tcW w:w="7683" w:type="dxa"/>
            <w:shd w:val="clear" w:color="auto" w:fill="auto"/>
          </w:tcPr>
          <w:p w14:paraId="0B4E6B8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Zadržani dobiček</w:t>
            </w:r>
          </w:p>
          <w:p w14:paraId="5A7F32A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5CC6A44E" w14:textId="77777777" w:rsidR="001D48E9" w:rsidRPr="008F6131" w:rsidRDefault="008F6131">
            <w:pPr>
              <w:spacing w:after="120"/>
              <w:jc w:val="both"/>
              <w:rPr>
                <w:rStyle w:val="FormatvorlageInstructionsTabelleText"/>
                <w:rFonts w:ascii="Times New Roman" w:hAnsi="Times New Roman"/>
                <w:sz w:val="22"/>
                <w:szCs w:val="22"/>
              </w:rPr>
            </w:pPr>
            <w:r w:rsidRPr="008F6131">
              <w:rPr>
                <w:rFonts w:ascii="Times New Roman" w:hAnsi="Times New Roman" w:cs="Times New Roman"/>
                <w:szCs w:val="22"/>
              </w:rPr>
              <w:t>Člen 26(1), točka (c), Uredbe (EU) št. 575/2013.</w:t>
            </w:r>
          </w:p>
          <w:p w14:paraId="4B9A1F4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Zadržani dobiček vključuje zadržani dobiček preteklega</w:t>
            </w:r>
            <w:r w:rsidRPr="008F6131">
              <w:rPr>
                <w:rStyle w:val="FormatvorlageInstructionsTabelleText"/>
                <w:rFonts w:ascii="Times New Roman" w:hAnsi="Times New Roman"/>
                <w:sz w:val="22"/>
                <w:szCs w:val="22"/>
              </w:rPr>
              <w:t xml:space="preserve"> leta in priznani dobiček med letom ali čisti dobiček poslovnega leta.</w:t>
            </w:r>
          </w:p>
        </w:tc>
      </w:tr>
      <w:tr w:rsidR="001D48E9" w:rsidRPr="008F6131" w14:paraId="05FCCCF6" w14:textId="77777777">
        <w:tblPrEx>
          <w:tblLook w:val="00A0" w:firstRow="1" w:lastRow="0" w:firstColumn="1" w:lastColumn="0" w:noHBand="0" w:noVBand="0"/>
        </w:tblPrEx>
        <w:tc>
          <w:tcPr>
            <w:tcW w:w="1129" w:type="dxa"/>
            <w:shd w:val="clear" w:color="auto" w:fill="auto"/>
            <w:vAlign w:val="center"/>
          </w:tcPr>
          <w:p w14:paraId="54D0AB9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7</w:t>
            </w:r>
          </w:p>
        </w:tc>
        <w:tc>
          <w:tcPr>
            <w:tcW w:w="7683" w:type="dxa"/>
            <w:shd w:val="clear" w:color="auto" w:fill="auto"/>
          </w:tcPr>
          <w:p w14:paraId="6452AD8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Akumulirani drugi vseobsegajoči donos</w:t>
            </w:r>
          </w:p>
          <w:p w14:paraId="52D7AAF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36C6DC43" w14:textId="77777777" w:rsidR="001D48E9" w:rsidRPr="008F6131" w:rsidRDefault="008F6131">
            <w:pPr>
              <w:spacing w:after="120"/>
              <w:jc w:val="both"/>
              <w:rPr>
                <w:rFonts w:ascii="Times New Roman" w:hAnsi="Times New Roman" w:cs="Times New Roman"/>
                <w:bCs/>
                <w:szCs w:val="22"/>
              </w:rPr>
            </w:pPr>
            <w:r w:rsidRPr="008F6131">
              <w:rPr>
                <w:rFonts w:ascii="Times New Roman" w:hAnsi="Times New Roman" w:cs="Times New Roman"/>
                <w:szCs w:val="22"/>
              </w:rPr>
              <w:t>Člen 26(1), točka (d), Uredbe (EU) št. 575/2013.</w:t>
            </w:r>
          </w:p>
        </w:tc>
      </w:tr>
      <w:tr w:rsidR="001D48E9" w:rsidRPr="008F6131" w14:paraId="4E127618" w14:textId="77777777">
        <w:tblPrEx>
          <w:tblLook w:val="00A0" w:firstRow="1" w:lastRow="0" w:firstColumn="1" w:lastColumn="0" w:noHBand="0" w:noVBand="0"/>
        </w:tblPrEx>
        <w:tc>
          <w:tcPr>
            <w:tcW w:w="1129" w:type="dxa"/>
            <w:shd w:val="clear" w:color="auto" w:fill="auto"/>
            <w:vAlign w:val="center"/>
          </w:tcPr>
          <w:p w14:paraId="4E4FABF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8</w:t>
            </w:r>
          </w:p>
        </w:tc>
        <w:tc>
          <w:tcPr>
            <w:tcW w:w="7683" w:type="dxa"/>
            <w:tcBorders>
              <w:bottom w:val="single" w:sz="4" w:space="0" w:color="auto"/>
            </w:tcBorders>
            <w:shd w:val="clear" w:color="auto" w:fill="auto"/>
          </w:tcPr>
          <w:p w14:paraId="61842DB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Druge rezerve</w:t>
            </w:r>
          </w:p>
          <w:p w14:paraId="26D9C3C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w:t>
            </w:r>
            <w:r w:rsidRPr="008F6131">
              <w:rPr>
                <w:rFonts w:ascii="Times New Roman" w:hAnsi="Times New Roman" w:cs="Times New Roman"/>
                <w:bCs/>
                <w:szCs w:val="22"/>
              </w:rPr>
              <w:t>Uredbe (EU) št. 2019/2033.</w:t>
            </w:r>
          </w:p>
          <w:p w14:paraId="0B389964" w14:textId="77777777" w:rsidR="001D48E9" w:rsidRPr="008F6131" w:rsidRDefault="008F6131">
            <w:pPr>
              <w:spacing w:after="120"/>
              <w:jc w:val="both"/>
              <w:rPr>
                <w:rStyle w:val="FormatvorlageInstructionsTabelleText"/>
                <w:rFonts w:ascii="Times New Roman" w:hAnsi="Times New Roman"/>
                <w:sz w:val="22"/>
                <w:szCs w:val="22"/>
              </w:rPr>
            </w:pPr>
            <w:r w:rsidRPr="008F6131">
              <w:rPr>
                <w:rFonts w:ascii="Times New Roman" w:hAnsi="Times New Roman" w:cs="Times New Roman"/>
                <w:szCs w:val="22"/>
              </w:rPr>
              <w:t>Člen 4(1), točka 117, in člen 26(1), točka (e), Uredbe (EU) št. 575/2013.</w:t>
            </w:r>
          </w:p>
          <w:p w14:paraId="15613A9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davčnih obremenitev, predvidljivih v času izračuna.</w:t>
            </w:r>
          </w:p>
        </w:tc>
      </w:tr>
      <w:tr w:rsidR="001D48E9" w:rsidRPr="008F6131" w14:paraId="32A06471" w14:textId="77777777">
        <w:tblPrEx>
          <w:tblLook w:val="00A0" w:firstRow="1" w:lastRow="0" w:firstColumn="1" w:lastColumn="0" w:noHBand="0" w:noVBand="0"/>
        </w:tblPrEx>
        <w:tc>
          <w:tcPr>
            <w:tcW w:w="1129" w:type="dxa"/>
            <w:shd w:val="clear" w:color="auto" w:fill="auto"/>
            <w:vAlign w:val="center"/>
          </w:tcPr>
          <w:p w14:paraId="3549677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9</w:t>
            </w:r>
          </w:p>
        </w:tc>
        <w:tc>
          <w:tcPr>
            <w:tcW w:w="7683" w:type="dxa"/>
            <w:shd w:val="clear" w:color="auto" w:fill="auto"/>
          </w:tcPr>
          <w:p w14:paraId="5C13E80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Manjšinski delež, pripoznan v navadnem lastniškem </w:t>
            </w:r>
            <w:r w:rsidRPr="008F6131">
              <w:rPr>
                <w:rFonts w:ascii="Times New Roman" w:hAnsi="Times New Roman" w:cs="Times New Roman"/>
                <w:b/>
                <w:bCs/>
                <w:szCs w:val="22"/>
                <w:u w:val="single"/>
              </w:rPr>
              <w:t>temeljnem kapitalu</w:t>
            </w:r>
          </w:p>
          <w:p w14:paraId="02B9F2B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Vsota vseh zneskov manjšinskih deležev odvisnih podjetij, vključena v konsolidirani navadni lastniški temeljni kapital.</w:t>
            </w:r>
          </w:p>
        </w:tc>
      </w:tr>
      <w:tr w:rsidR="001D48E9" w:rsidRPr="008F6131" w14:paraId="3364F2BE" w14:textId="77777777">
        <w:tblPrEx>
          <w:tblLook w:val="00A0" w:firstRow="1" w:lastRow="0" w:firstColumn="1" w:lastColumn="0" w:noHBand="0" w:noVBand="0"/>
        </w:tblPrEx>
        <w:tc>
          <w:tcPr>
            <w:tcW w:w="1129" w:type="dxa"/>
            <w:shd w:val="clear" w:color="auto" w:fill="auto"/>
            <w:vAlign w:val="center"/>
          </w:tcPr>
          <w:p w14:paraId="4E3A0B5C"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10</w:t>
            </w:r>
          </w:p>
        </w:tc>
        <w:tc>
          <w:tcPr>
            <w:tcW w:w="7683" w:type="dxa"/>
            <w:shd w:val="clear" w:color="auto" w:fill="auto"/>
          </w:tcPr>
          <w:p w14:paraId="23D29DC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Prilagoditve navadnega lastniškega temeljnega kapitala zaradi bonitetnih filtrov</w:t>
            </w:r>
          </w:p>
          <w:p w14:paraId="61FB3DC5" w14:textId="77777777" w:rsidR="001D48E9" w:rsidRPr="008F6131" w:rsidRDefault="008F6131">
            <w:pPr>
              <w:spacing w:after="120"/>
              <w:jc w:val="both"/>
              <w:rPr>
                <w:rStyle w:val="FormatvorlageInstructionsTabelleText"/>
                <w:rFonts w:ascii="Times New Roman" w:hAnsi="Times New Roman"/>
                <w:sz w:val="22"/>
                <w:szCs w:val="22"/>
              </w:rPr>
            </w:pPr>
            <w:r w:rsidRPr="008F6131">
              <w:rPr>
                <w:rFonts w:ascii="Times New Roman" w:hAnsi="Times New Roman" w:cs="Times New Roman"/>
                <w:szCs w:val="22"/>
              </w:rPr>
              <w:t>Člen 9(1), točka (i), Uredbe (EU</w:t>
            </w:r>
            <w:r w:rsidRPr="008F6131">
              <w:rPr>
                <w:rFonts w:ascii="Times New Roman" w:hAnsi="Times New Roman" w:cs="Times New Roman"/>
                <w:szCs w:val="22"/>
              </w:rPr>
              <w:t>) št. 2019/2033.</w:t>
            </w:r>
          </w:p>
          <w:p w14:paraId="7E7D990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Členi 32 do 35 Uredbe (EU) št. 575/2013.</w:t>
            </w:r>
          </w:p>
        </w:tc>
      </w:tr>
      <w:tr w:rsidR="001D48E9" w:rsidRPr="008F6131" w14:paraId="0F1DA285" w14:textId="77777777">
        <w:tblPrEx>
          <w:tblLook w:val="00A0" w:firstRow="1" w:lastRow="0" w:firstColumn="1" w:lastColumn="0" w:noHBand="0" w:noVBand="0"/>
        </w:tblPrEx>
        <w:tc>
          <w:tcPr>
            <w:tcW w:w="1129" w:type="dxa"/>
            <w:shd w:val="clear" w:color="auto" w:fill="auto"/>
            <w:vAlign w:val="center"/>
          </w:tcPr>
          <w:p w14:paraId="42C14242"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11</w:t>
            </w:r>
          </w:p>
        </w:tc>
        <w:tc>
          <w:tcPr>
            <w:tcW w:w="7683" w:type="dxa"/>
            <w:shd w:val="clear" w:color="auto" w:fill="auto"/>
          </w:tcPr>
          <w:p w14:paraId="0B17B2A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Druga sredstva</w:t>
            </w:r>
          </w:p>
          <w:p w14:paraId="272D478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rPr>
              <w:t>Člen 9(4) Uredbe (EU) 2019/2033.</w:t>
            </w:r>
          </w:p>
        </w:tc>
      </w:tr>
      <w:tr w:rsidR="001D48E9" w:rsidRPr="008F6131" w14:paraId="6580C0D0" w14:textId="77777777">
        <w:tblPrEx>
          <w:tblLook w:val="00A0" w:firstRow="1" w:lastRow="0" w:firstColumn="1" w:lastColumn="0" w:noHBand="0" w:noVBand="0"/>
        </w:tblPrEx>
        <w:tc>
          <w:tcPr>
            <w:tcW w:w="1129" w:type="dxa"/>
            <w:shd w:val="clear" w:color="auto" w:fill="auto"/>
            <w:vAlign w:val="center"/>
          </w:tcPr>
          <w:p w14:paraId="7EF07CB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12</w:t>
            </w:r>
          </w:p>
        </w:tc>
        <w:tc>
          <w:tcPr>
            <w:tcW w:w="7683" w:type="dxa"/>
            <w:shd w:val="clear" w:color="auto" w:fill="auto"/>
          </w:tcPr>
          <w:p w14:paraId="6AEC6AD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NAVADNEGA LASTNIŠKEGA TEMELJNEGA KAPITALA</w:t>
            </w:r>
          </w:p>
          <w:p w14:paraId="0ACC951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vrstice 13 in vrstic 17 do 26.</w:t>
            </w:r>
          </w:p>
        </w:tc>
      </w:tr>
      <w:tr w:rsidR="001D48E9" w:rsidRPr="008F6131" w14:paraId="35DA3B07" w14:textId="77777777">
        <w:tblPrEx>
          <w:tblLook w:val="00A0" w:firstRow="1" w:lastRow="0" w:firstColumn="1" w:lastColumn="0" w:noHBand="0" w:noVBand="0"/>
        </w:tblPrEx>
        <w:tc>
          <w:tcPr>
            <w:tcW w:w="1129" w:type="dxa"/>
            <w:shd w:val="clear" w:color="auto" w:fill="auto"/>
            <w:vAlign w:val="center"/>
          </w:tcPr>
          <w:p w14:paraId="1771D88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13</w:t>
            </w:r>
          </w:p>
        </w:tc>
        <w:tc>
          <w:tcPr>
            <w:tcW w:w="7683" w:type="dxa"/>
            <w:shd w:val="clear" w:color="auto" w:fill="auto"/>
          </w:tcPr>
          <w:p w14:paraId="058BD11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Lastni </w:t>
            </w:r>
            <w:r w:rsidRPr="008F6131">
              <w:rPr>
                <w:rFonts w:ascii="Times New Roman" w:hAnsi="Times New Roman" w:cs="Times New Roman"/>
                <w:b/>
                <w:bCs/>
                <w:szCs w:val="22"/>
                <w:u w:val="single"/>
              </w:rPr>
              <w:t>instrumenti navadnega lastniškega temeljnega kapitala</w:t>
            </w:r>
          </w:p>
          <w:p w14:paraId="5FE20FD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7E877250"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36(1), točka (f), in člen 42 Uredbe (EU) št. 575/2013.</w:t>
            </w:r>
          </w:p>
          <w:p w14:paraId="2D396FE2"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Lasten navadni lastniški temeljni kapital, ki ga ima institucija ali skupina poročevalka na d</w:t>
            </w:r>
            <w:r w:rsidRPr="008F6131">
              <w:rPr>
                <w:rStyle w:val="FormatvorlageInstructionsTabelleText"/>
                <w:rFonts w:ascii="Times New Roman" w:hAnsi="Times New Roman"/>
                <w:sz w:val="22"/>
              </w:rPr>
              <w:t xml:space="preserve">atum poročanja. </w:t>
            </w:r>
            <w:r w:rsidRPr="008F6131">
              <w:rPr>
                <w:rFonts w:cs="Times New Roman"/>
              </w:rPr>
              <w:t>Veljajo izjeme iz člena 42 Uredbe (EU) št. 575/2013.</w:t>
            </w:r>
          </w:p>
          <w:p w14:paraId="0F85FEA8"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Delež v delnicah, vključen v „kapitalske instrumente, ki niso sprejemljivi“, se ne razkrije v tej vrstici.</w:t>
            </w:r>
          </w:p>
          <w:p w14:paraId="2287266F"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lastRenderedPageBreak/>
              <w:t>Znesek, ki se razkrije, vključuje presežek kapitala, povezan z lastnimi delnicam</w:t>
            </w:r>
            <w:r w:rsidRPr="008F6131">
              <w:rPr>
                <w:rStyle w:val="FormatvorlageInstructionsTabelleText"/>
                <w:rFonts w:ascii="Times New Roman" w:hAnsi="Times New Roman"/>
                <w:sz w:val="22"/>
              </w:rPr>
              <w:t>i.</w:t>
            </w:r>
          </w:p>
        </w:tc>
      </w:tr>
      <w:tr w:rsidR="001D48E9" w:rsidRPr="008F6131" w14:paraId="2BDBA718" w14:textId="77777777">
        <w:tblPrEx>
          <w:tblLook w:val="00A0" w:firstRow="1" w:lastRow="0" w:firstColumn="1" w:lastColumn="0" w:noHBand="0" w:noVBand="0"/>
        </w:tblPrEx>
        <w:tc>
          <w:tcPr>
            <w:tcW w:w="1129" w:type="dxa"/>
            <w:shd w:val="clear" w:color="auto" w:fill="auto"/>
            <w:vAlign w:val="center"/>
          </w:tcPr>
          <w:p w14:paraId="1017590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14</w:t>
            </w:r>
          </w:p>
        </w:tc>
        <w:tc>
          <w:tcPr>
            <w:tcW w:w="7683" w:type="dxa"/>
            <w:shd w:val="clear" w:color="auto" w:fill="auto"/>
          </w:tcPr>
          <w:p w14:paraId="6AC03BE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Neposredni deleži v instrumentih navadnega lastniškega temeljnega kapitala</w:t>
            </w:r>
          </w:p>
          <w:p w14:paraId="6BC8357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7AB7D072"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36(1), točka (f), in člen 42 Uredbe (EU) št. 575/2013.</w:t>
            </w:r>
          </w:p>
          <w:p w14:paraId="78C4AADC"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 xml:space="preserve">Instrumenti navadnega lastniškega temeljnega kapitala, ki so v lasti investicijskega podjetja. </w:t>
            </w:r>
          </w:p>
        </w:tc>
      </w:tr>
      <w:tr w:rsidR="001D48E9" w:rsidRPr="008F6131" w14:paraId="57F790C9" w14:textId="77777777">
        <w:tblPrEx>
          <w:tblLook w:val="00A0" w:firstRow="1" w:lastRow="0" w:firstColumn="1" w:lastColumn="0" w:noHBand="0" w:noVBand="0"/>
        </w:tblPrEx>
        <w:tc>
          <w:tcPr>
            <w:tcW w:w="1129" w:type="dxa"/>
            <w:shd w:val="clear" w:color="auto" w:fill="auto"/>
            <w:vAlign w:val="center"/>
          </w:tcPr>
          <w:p w14:paraId="24A6103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15</w:t>
            </w:r>
          </w:p>
        </w:tc>
        <w:tc>
          <w:tcPr>
            <w:tcW w:w="7683" w:type="dxa"/>
            <w:shd w:val="clear" w:color="auto" w:fill="auto"/>
          </w:tcPr>
          <w:p w14:paraId="11C91FA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Posredni deleži v instrumentih navadnega lastniškega temeljnega kapitala</w:t>
            </w:r>
          </w:p>
          <w:p w14:paraId="6BCFB49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1A50C34E"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36(1), točka (f), in člen</w:t>
            </w:r>
            <w:r w:rsidRPr="008F6131">
              <w:rPr>
                <w:rFonts w:cs="Times New Roman"/>
              </w:rPr>
              <w:t xml:space="preserve"> 42 Uredbe (EU) št. 575/2013.</w:t>
            </w:r>
          </w:p>
          <w:p w14:paraId="276139EA" w14:textId="77777777" w:rsidR="001D48E9" w:rsidRPr="008F6131" w:rsidRDefault="008F6131">
            <w:pPr>
              <w:pStyle w:val="InstructionsText"/>
              <w:rPr>
                <w:rFonts w:cs="Times New Roman"/>
              </w:rPr>
            </w:pPr>
            <w:r w:rsidRPr="008F6131">
              <w:rPr>
                <w:rFonts w:cs="Times New Roman"/>
              </w:rPr>
              <w:t>Instrumenti navadnega lastniškega temeljnega kapitala, ki so v lasti investicijskega podjetja.</w:t>
            </w:r>
          </w:p>
        </w:tc>
      </w:tr>
      <w:tr w:rsidR="001D48E9" w:rsidRPr="008F6131" w14:paraId="0D31C4B5" w14:textId="77777777">
        <w:tblPrEx>
          <w:tblLook w:val="00A0" w:firstRow="1" w:lastRow="0" w:firstColumn="1" w:lastColumn="0" w:noHBand="0" w:noVBand="0"/>
        </w:tblPrEx>
        <w:tc>
          <w:tcPr>
            <w:tcW w:w="1129" w:type="dxa"/>
            <w:shd w:val="clear" w:color="auto" w:fill="auto"/>
            <w:vAlign w:val="center"/>
          </w:tcPr>
          <w:p w14:paraId="4F7A537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2E21F3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Sintetični deleži v instrumentih navadnega lastniškega temeljnega kapitala</w:t>
            </w:r>
          </w:p>
          <w:p w14:paraId="57D4EA1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1E2504B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rPr>
              <w:t>Člen 4(1), točka 114, člen 36(1), točka (f), in člen 42 Uredbe (EU) št. 575/2013.</w:t>
            </w:r>
          </w:p>
        </w:tc>
      </w:tr>
      <w:tr w:rsidR="001D48E9" w:rsidRPr="008F6131" w14:paraId="136FAE1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954156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9C57BA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Izgube tekočega poslovnega leta</w:t>
            </w:r>
          </w:p>
          <w:p w14:paraId="6825F68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rPr>
              <w:t>Člen 36(1)(a) Uredbe (EU) št. 575/2013.</w:t>
            </w:r>
          </w:p>
        </w:tc>
      </w:tr>
      <w:tr w:rsidR="001D48E9" w:rsidRPr="008F6131" w14:paraId="1715C05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E75F39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E0F5FF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Dobro ime</w:t>
            </w:r>
          </w:p>
          <w:p w14:paraId="3EE08A3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4722A4B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rPr>
              <w:t xml:space="preserve">Člen 4(1), točka 113, </w:t>
            </w:r>
            <w:r w:rsidRPr="008F6131">
              <w:rPr>
                <w:rFonts w:ascii="Times New Roman" w:hAnsi="Times New Roman" w:cs="Times New Roman"/>
              </w:rPr>
              <w:t>člen 36(1), točka (b), in člen 37 Uredbe (EU) št. 575/2013.</w:t>
            </w:r>
          </w:p>
        </w:tc>
      </w:tr>
      <w:tr w:rsidR="001D48E9" w:rsidRPr="008F6131" w14:paraId="1DD184B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87FDA5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BE7F93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Druga neopredmetena sredstva</w:t>
            </w:r>
          </w:p>
          <w:p w14:paraId="2D4FD8D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9(1), točka (i), Uredbe (EU) št. 2019/2033.</w:t>
            </w:r>
          </w:p>
          <w:p w14:paraId="6B3E9C99"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Fonts w:cs="Times New Roman"/>
              </w:rPr>
              <w:t>Člen 4(1), točka 115, člen 36(1), točka (b), in člen 37, točka (a), Uredbe (EU) št. 575/2013.</w:t>
            </w:r>
          </w:p>
          <w:p w14:paraId="5C0A9A6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Druga neopredmet</w:t>
            </w:r>
            <w:r w:rsidRPr="008F6131">
              <w:rPr>
                <w:rStyle w:val="FormatvorlageInstructionsTabelleText"/>
                <w:rFonts w:ascii="Times New Roman" w:hAnsi="Times New Roman"/>
                <w:sz w:val="22"/>
                <w:szCs w:val="22"/>
              </w:rPr>
              <w:t>ena sredstva vključujejo neopredmetena sredstva v skladu z veljavnim računovodskim standardom, pri čemer se ne upošteva dobro ime, prav tako v skladu z veljavnim računovodskim standardom.</w:t>
            </w:r>
          </w:p>
        </w:tc>
      </w:tr>
      <w:tr w:rsidR="001D48E9" w:rsidRPr="008F6131" w14:paraId="7848A10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9DDDFB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FDB300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Odložene terjatve za davek, ki se nanašajo na prihodnji dobi</w:t>
            </w:r>
            <w:r w:rsidRPr="008F6131">
              <w:rPr>
                <w:rFonts w:ascii="Times New Roman" w:hAnsi="Times New Roman" w:cs="Times New Roman"/>
                <w:b/>
                <w:bCs/>
                <w:szCs w:val="22"/>
                <w:u w:val="single"/>
              </w:rPr>
              <w:t>ček in ne izhajajo iz začasnih razlik, zmanjšane za povezane obveznosti za davek</w:t>
            </w:r>
          </w:p>
          <w:p w14:paraId="36CEC5F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rPr>
              <w:t>Člen 9(2)(a) Uredbe (EU) št. 2019/2033.</w:t>
            </w:r>
          </w:p>
          <w:p w14:paraId="358CDEB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rPr>
              <w:t>Člen 36(1), točka (c), Uredbe (EU) št. 575/2013.</w:t>
            </w:r>
          </w:p>
        </w:tc>
      </w:tr>
      <w:tr w:rsidR="001D48E9" w:rsidRPr="008F6131" w14:paraId="770B27B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555F97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E4EEF3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Kvalificiran delež izven finančnega sektorja, ki presega 15 % kapitala </w:t>
            </w:r>
            <w:r w:rsidRPr="008F6131">
              <w:rPr>
                <w:rFonts w:ascii="Times New Roman" w:hAnsi="Times New Roman" w:cs="Times New Roman"/>
                <w:b/>
                <w:bCs/>
                <w:szCs w:val="22"/>
                <w:u w:val="single"/>
              </w:rPr>
              <w:t>investicijskega podjetja</w:t>
            </w:r>
          </w:p>
          <w:p w14:paraId="553BED4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rPr>
              <w:t>Člen 10(1)(a) Uredbe (EU) št. 2019/2033.</w:t>
            </w:r>
          </w:p>
        </w:tc>
      </w:tr>
      <w:tr w:rsidR="001D48E9" w:rsidRPr="008F6131" w14:paraId="64BE1C1D"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1FE9C2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FB9388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kvalificirani deleži v podjetjih, ki niso subjekti finančnega sektorja, ki presega 60 % kapitala podjetja</w:t>
            </w:r>
          </w:p>
          <w:p w14:paraId="1FBB051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rPr>
              <w:t>Člen 10(1), točka (b), Uredbe (EU) št. 2019/2033.</w:t>
            </w:r>
          </w:p>
        </w:tc>
      </w:tr>
      <w:tr w:rsidR="001D48E9" w:rsidRPr="008F6131" w14:paraId="0FB8D41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C49748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909344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w:t>
            </w:r>
            <w:r w:rsidRPr="008F6131">
              <w:rPr>
                <w:rFonts w:ascii="Times New Roman" w:hAnsi="Times New Roman" w:cs="Times New Roman"/>
                <w:b/>
                <w:bCs/>
                <w:szCs w:val="22"/>
                <w:u w:val="single"/>
              </w:rPr>
              <w:t xml:space="preserve"> navadnega lastniškega temeljnega kapitala subjektov finančnega sektorja, v katerih institucija nima pomembne naložbe</w:t>
            </w:r>
          </w:p>
          <w:p w14:paraId="5126F60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5EB98F3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(h), Uredbe (EU) št. 575/2013.</w:t>
            </w:r>
          </w:p>
        </w:tc>
      </w:tr>
      <w:tr w:rsidR="001D48E9" w:rsidRPr="008F6131" w14:paraId="605E301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ACD09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0CB1C1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Instrumenti navadnega </w:t>
            </w:r>
            <w:r w:rsidRPr="008F6131">
              <w:rPr>
                <w:rFonts w:ascii="Times New Roman" w:hAnsi="Times New Roman" w:cs="Times New Roman"/>
                <w:b/>
                <w:bCs/>
                <w:szCs w:val="22"/>
                <w:u w:val="single"/>
              </w:rPr>
              <w:t>lastniškega temeljnega kapitala subjektov finančnega sektorja, v katerih ima institucija pomembno naložbo</w:t>
            </w:r>
          </w:p>
          <w:p w14:paraId="4B01025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(d), Uredbe (EU) 2019/2033.</w:t>
            </w:r>
          </w:p>
          <w:p w14:paraId="00C3534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(i), Uredbe (EU) št. 575/2013.</w:t>
            </w:r>
          </w:p>
        </w:tc>
      </w:tr>
      <w:tr w:rsidR="001D48E9" w:rsidRPr="008F6131" w14:paraId="5170DE9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68D5A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8D8418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Sredstva pokojninskega sklada z </w:t>
            </w:r>
            <w:r w:rsidRPr="008F6131">
              <w:rPr>
                <w:rFonts w:ascii="Times New Roman" w:hAnsi="Times New Roman" w:cs="Times New Roman"/>
                <w:b/>
                <w:bCs/>
                <w:szCs w:val="22"/>
                <w:u w:val="single"/>
              </w:rPr>
              <w:t>določenimi pravicami</w:t>
            </w:r>
          </w:p>
          <w:p w14:paraId="6B57A3A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(b), Uredbe (EU) št. 2019/2033.</w:t>
            </w:r>
          </w:p>
          <w:p w14:paraId="1C2EFB7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(e), Uredbe (EU) št. 575/2013.</w:t>
            </w:r>
          </w:p>
        </w:tc>
      </w:tr>
      <w:tr w:rsidR="001D48E9" w:rsidRPr="008F6131" w14:paraId="1F71F111" w14:textId="77777777">
        <w:tblPrEx>
          <w:tblLook w:val="00A0" w:firstRow="1" w:lastRow="0" w:firstColumn="1" w:lastColumn="0" w:noHBand="0" w:noVBand="0"/>
        </w:tblPrEx>
        <w:tc>
          <w:tcPr>
            <w:tcW w:w="1129" w:type="dxa"/>
            <w:vAlign w:val="center"/>
          </w:tcPr>
          <w:p w14:paraId="7217233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AEB3D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Drugi odbitki</w:t>
            </w:r>
          </w:p>
          <w:p w14:paraId="55364E9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Vsota vseh drugih odbitkov iz člena 36(1) Uredbe (EU) št. 575/2013.</w:t>
            </w:r>
          </w:p>
        </w:tc>
      </w:tr>
      <w:tr w:rsidR="001D48E9" w:rsidRPr="008F6131" w14:paraId="39BEB91F" w14:textId="77777777">
        <w:tblPrEx>
          <w:tblLook w:val="00A0" w:firstRow="1" w:lastRow="0" w:firstColumn="1" w:lastColumn="0" w:noHBand="0" w:noVBand="0"/>
        </w:tblPrEx>
        <w:tc>
          <w:tcPr>
            <w:tcW w:w="1129" w:type="dxa"/>
            <w:vAlign w:val="center"/>
          </w:tcPr>
          <w:p w14:paraId="7139D677"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2E5836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Navadni lastniški temeljni kapital: </w:t>
            </w:r>
            <w:r w:rsidRPr="008F6131">
              <w:rPr>
                <w:rFonts w:ascii="Times New Roman" w:hAnsi="Times New Roman" w:cs="Times New Roman"/>
                <w:b/>
                <w:bCs/>
                <w:szCs w:val="22"/>
                <w:u w:val="single"/>
              </w:rPr>
              <w:t>drugi elementi, odbitki in prilagoditve kapitala</w:t>
            </w:r>
          </w:p>
          <w:p w14:paraId="49EEB6B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65E59D4B"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instrumentov navadnega lastniškega temeljnega kapitala, za katere se uporabljajo predhodna pravila (člen 483, </w:t>
            </w:r>
            <w:r w:rsidRPr="008F6131">
              <w:rPr>
                <w:rFonts w:ascii="Times New Roman" w:hAnsi="Times New Roman"/>
                <w:bCs/>
              </w:rPr>
              <w:t>odstavki 1, 2 in 3, ter členi 484 do 487 Uredbe (EU) št. 575/2013),</w:t>
            </w:r>
          </w:p>
          <w:p w14:paraId="34D03345"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dodatnih manjšinskih deležev (člena 479 in 480 Uredbe (EU) št. 575/2013),</w:t>
            </w:r>
          </w:p>
          <w:p w14:paraId="324B9C8F"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prilagoditev navadnega lastniškega temeljnega kapitala (členi 4</w:t>
            </w:r>
            <w:r w:rsidRPr="008F6131">
              <w:rPr>
                <w:rFonts w:ascii="Times New Roman" w:hAnsi="Times New Roman"/>
                <w:bCs/>
              </w:rPr>
              <w:t>69 do 478 in 481 Uredbe (EU) št. 575/2013), prilagoditev odbitkov od navadnega lastniškega temeljnega kapitala zaradi prehodnih določb,</w:t>
            </w:r>
          </w:p>
          <w:p w14:paraId="19C1E029" w14:textId="77777777" w:rsidR="001D48E9" w:rsidRPr="008F6131" w:rsidRDefault="008F6131">
            <w:pPr>
              <w:spacing w:after="120"/>
              <w:ind w:left="360" w:hanging="360"/>
              <w:contextualSpacing/>
              <w:jc w:val="both"/>
              <w:rPr>
                <w:rFonts w:ascii="Times New Roman" w:eastAsia="Times New Roman" w:hAnsi="Times New Roman"/>
                <w:b/>
                <w:bCs/>
                <w:u w:val="single"/>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navadnega lastniškega temeljnega kapitala ali odbitkov od elementa navadnega lastniškega temeljnega k</w:t>
            </w:r>
            <w:r w:rsidRPr="008F6131">
              <w:rPr>
                <w:rFonts w:ascii="Times New Roman" w:hAnsi="Times New Roman"/>
                <w:bCs/>
              </w:rPr>
              <w:t>apitala, ki se ne morejo razvrstiti v eno od vrstic 4 do 26.</w:t>
            </w:r>
          </w:p>
          <w:p w14:paraId="3DC13FF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Ta vrstica se ne uporabi za vključitev kapitalskih postavk ali odbitkov, ki v skladu z Uredbo (EU) 2019/2033 ali Uredbo (EU) št. 575/2013 niso zajeti v izračun količnikov kapitalske ustreznosti.</w:t>
            </w:r>
          </w:p>
        </w:tc>
      </w:tr>
      <w:tr w:rsidR="001D48E9" w:rsidRPr="008F6131" w14:paraId="0EDE5796" w14:textId="77777777">
        <w:tblPrEx>
          <w:tblLook w:val="00A0" w:firstRow="1" w:lastRow="0" w:firstColumn="1" w:lastColumn="0" w:noHBand="0" w:noVBand="0"/>
        </w:tblPrEx>
        <w:tc>
          <w:tcPr>
            <w:tcW w:w="1129" w:type="dxa"/>
            <w:vAlign w:val="center"/>
          </w:tcPr>
          <w:p w14:paraId="64D0B96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66631F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TEMELJNI KAPITAL</w:t>
            </w:r>
          </w:p>
          <w:p w14:paraId="0996858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6E8D4E8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61 Uredbe (EU) št. 575/2013.</w:t>
            </w:r>
          </w:p>
          <w:p w14:paraId="3E09892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29 do 31 in vrstice 39.</w:t>
            </w:r>
          </w:p>
        </w:tc>
      </w:tr>
      <w:tr w:rsidR="001D48E9" w:rsidRPr="008F6131" w14:paraId="7E2C3D36" w14:textId="77777777">
        <w:tblPrEx>
          <w:tblLook w:val="00A0" w:firstRow="1" w:lastRow="0" w:firstColumn="1" w:lastColumn="0" w:noHBand="0" w:noVBand="0"/>
        </w:tblPrEx>
        <w:tc>
          <w:tcPr>
            <w:tcW w:w="1129" w:type="dxa"/>
            <w:vAlign w:val="center"/>
          </w:tcPr>
          <w:p w14:paraId="02D2C97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B88C2D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szCs w:val="22"/>
                <w:u w:val="single"/>
              </w:rPr>
              <w:t>V celoti vplačani, neposredno izdani kapitalski instrumenti</w:t>
            </w:r>
          </w:p>
          <w:p w14:paraId="78A854D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6CCB30F0"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51, točka (a), in členi 52, 53 ter 54 Uredbe (EU) št. 575/2013.</w:t>
            </w:r>
          </w:p>
          <w:p w14:paraId="4A2164F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vplačanega presežka kapitala, povezanega z instrumenti.</w:t>
            </w:r>
          </w:p>
        </w:tc>
      </w:tr>
      <w:tr w:rsidR="001D48E9" w:rsidRPr="008F6131" w14:paraId="0ED0D1C6" w14:textId="77777777">
        <w:tblPrEx>
          <w:tblLook w:val="00A0" w:firstRow="1" w:lastRow="0" w:firstColumn="1" w:lastColumn="0" w:noHBand="0" w:noVBand="0"/>
        </w:tblPrEx>
        <w:tc>
          <w:tcPr>
            <w:tcW w:w="1129" w:type="dxa"/>
            <w:vAlign w:val="center"/>
          </w:tcPr>
          <w:p w14:paraId="023531C3"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4DC2C41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43EA177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069381BC" w14:textId="77777777" w:rsidR="001D48E9" w:rsidRPr="008F6131" w:rsidRDefault="008F6131">
            <w:pPr>
              <w:pStyle w:val="InstructionsText"/>
              <w:rPr>
                <w:rStyle w:val="FormatvorlageInstructionsTabelleText"/>
                <w:rFonts w:ascii="Times New Roman" w:hAnsi="Times New Roman"/>
                <w:sz w:val="22"/>
              </w:rPr>
            </w:pPr>
            <w:r w:rsidRPr="008F6131">
              <w:rPr>
                <w:rFonts w:cs="Times New Roman"/>
              </w:rPr>
              <w:t>Člen 51, točka (b), Uredbe (EU) št. 575/2013.</w:t>
            </w:r>
          </w:p>
          <w:p w14:paraId="63E4B7AD"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5867526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v okviru te postavke, je del, povezan z „vplačanimi kapitalskimi instrumenti“.</w:t>
            </w:r>
          </w:p>
        </w:tc>
      </w:tr>
      <w:tr w:rsidR="001D48E9" w:rsidRPr="008F6131" w14:paraId="39141EA4" w14:textId="77777777">
        <w:tblPrEx>
          <w:tblLook w:val="00A0" w:firstRow="1" w:lastRow="0" w:firstColumn="1" w:lastColumn="0" w:noHBand="0" w:noVBand="0"/>
        </w:tblPrEx>
        <w:tc>
          <w:tcPr>
            <w:tcW w:w="1129" w:type="dxa"/>
            <w:tcBorders>
              <w:bottom w:val="single" w:sz="4" w:space="0" w:color="auto"/>
            </w:tcBorders>
            <w:vAlign w:val="center"/>
          </w:tcPr>
          <w:p w14:paraId="7C0C4DA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0CE14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DODATNEGA TEMELJNEGA KAPITALA</w:t>
            </w:r>
          </w:p>
          <w:p w14:paraId="2C2A5ABF" w14:textId="77777777" w:rsidR="001D48E9" w:rsidRPr="008F6131" w:rsidRDefault="008F6131">
            <w:pPr>
              <w:spacing w:before="60" w:after="60"/>
              <w:rPr>
                <w:rFonts w:ascii="Times New Roman" w:hAnsi="Times New Roman" w:cs="Times New Roman"/>
                <w:szCs w:val="22"/>
              </w:rPr>
            </w:pPr>
            <w:r w:rsidRPr="008F6131">
              <w:rPr>
                <w:rFonts w:ascii="Times New Roman" w:hAnsi="Times New Roman" w:cs="Times New Roman"/>
                <w:szCs w:val="22"/>
              </w:rPr>
              <w:t>Člen 56 Uredbe (EU) št. 575/2013.</w:t>
            </w:r>
          </w:p>
          <w:p w14:paraId="6FE82D0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vrstice 32 in vrstic 36 do 38.</w:t>
            </w:r>
          </w:p>
        </w:tc>
      </w:tr>
      <w:tr w:rsidR="001D48E9" w:rsidRPr="008F6131" w14:paraId="7F8FEF5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3E83CF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F76A85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Lastni instrumenti dodatnega temeljnega kapitala</w:t>
            </w:r>
          </w:p>
          <w:p w14:paraId="5624F3B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62A577DC"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Fonts w:cs="Times New Roman"/>
              </w:rPr>
              <w:t>Člen 52(1), točka (b), člen 56, točka (a), in člen 57 Uredbe (EU) št. 575/2013.</w:t>
            </w:r>
          </w:p>
          <w:p w14:paraId="00F4135C"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Lastni instrumenti dodatnega temeljnega kapitala, ki jih ima investicijsko podjetje na datum poročanja. Veljajo izjeme iz člena 57 Uredbe (EU) </w:t>
            </w:r>
            <w:r w:rsidRPr="008F6131">
              <w:rPr>
                <w:rStyle w:val="FormatvorlageInstructionsTabelleText"/>
                <w:rFonts w:ascii="Times New Roman" w:hAnsi="Times New Roman"/>
                <w:sz w:val="22"/>
              </w:rPr>
              <w:t>št. 575/2013.</w:t>
            </w:r>
          </w:p>
          <w:p w14:paraId="2E975B22"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Znesek, ki se razkrije, vključuje presežek kapitala, povezan z lastnimi delnicami.</w:t>
            </w:r>
          </w:p>
        </w:tc>
      </w:tr>
      <w:tr w:rsidR="001D48E9" w:rsidRPr="008F6131" w14:paraId="62E022E0" w14:textId="77777777">
        <w:tblPrEx>
          <w:tblLook w:val="00A0" w:firstRow="1" w:lastRow="0" w:firstColumn="1" w:lastColumn="0" w:noHBand="0" w:noVBand="0"/>
        </w:tblPrEx>
        <w:tc>
          <w:tcPr>
            <w:tcW w:w="1129" w:type="dxa"/>
            <w:shd w:val="clear" w:color="auto" w:fill="auto"/>
            <w:vAlign w:val="center"/>
          </w:tcPr>
          <w:p w14:paraId="4FDE70C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398738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Neposredni deleži v instrumentih dodatnega temeljnega kapitala</w:t>
            </w:r>
          </w:p>
          <w:p w14:paraId="2A95E77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53DD10F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Člen 56, točka (a), Uredbe (EU) </w:t>
            </w:r>
            <w:r w:rsidRPr="008F6131">
              <w:rPr>
                <w:rFonts w:ascii="Times New Roman" w:hAnsi="Times New Roman" w:cs="Times New Roman"/>
                <w:bCs/>
                <w:szCs w:val="22"/>
              </w:rPr>
              <w:t>št. 575/2013.</w:t>
            </w:r>
          </w:p>
        </w:tc>
      </w:tr>
      <w:tr w:rsidR="001D48E9" w:rsidRPr="008F6131" w14:paraId="76AA1958" w14:textId="77777777">
        <w:tblPrEx>
          <w:tblLook w:val="00A0" w:firstRow="1" w:lastRow="0" w:firstColumn="1" w:lastColumn="0" w:noHBand="0" w:noVBand="0"/>
        </w:tblPrEx>
        <w:tc>
          <w:tcPr>
            <w:tcW w:w="1129" w:type="dxa"/>
            <w:shd w:val="clear" w:color="auto" w:fill="auto"/>
            <w:vAlign w:val="center"/>
          </w:tcPr>
          <w:p w14:paraId="4BA6DB1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B2FFAE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Posredni deleži v instrumentih dodatnega temeljnega kapitala</w:t>
            </w:r>
          </w:p>
          <w:p w14:paraId="5AB8C82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7DE288E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56, točka (a), Uredbe (EU) št. 575/2013.</w:t>
            </w:r>
          </w:p>
        </w:tc>
      </w:tr>
      <w:tr w:rsidR="001D48E9" w:rsidRPr="008F6131" w14:paraId="242B14F7" w14:textId="77777777">
        <w:tblPrEx>
          <w:tblLook w:val="00A0" w:firstRow="1" w:lastRow="0" w:firstColumn="1" w:lastColumn="0" w:noHBand="0" w:noVBand="0"/>
        </w:tblPrEx>
        <w:tc>
          <w:tcPr>
            <w:tcW w:w="1129" w:type="dxa"/>
            <w:shd w:val="clear" w:color="auto" w:fill="auto"/>
            <w:vAlign w:val="center"/>
          </w:tcPr>
          <w:p w14:paraId="769B3DA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C9A07A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Sintetični deleži v instrumentih dodatnega temeljnega kapitala</w:t>
            </w:r>
          </w:p>
          <w:p w14:paraId="7C24DB4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w:t>
            </w:r>
            <w:r w:rsidRPr="008F6131">
              <w:rPr>
                <w:rFonts w:ascii="Times New Roman" w:hAnsi="Times New Roman" w:cs="Times New Roman"/>
                <w:bCs/>
                <w:szCs w:val="22"/>
              </w:rPr>
              <w:t>9(2), točka (c), Uredbe (EU) 2019/2033.</w:t>
            </w:r>
          </w:p>
          <w:p w14:paraId="2CFDEAF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56, točka (a), Uredbe (EU) št. 575/2013.</w:t>
            </w:r>
          </w:p>
        </w:tc>
      </w:tr>
      <w:tr w:rsidR="001D48E9" w:rsidRPr="008F6131" w14:paraId="61427FA7" w14:textId="77777777">
        <w:tblPrEx>
          <w:tblLook w:val="00A0" w:firstRow="1" w:lastRow="0" w:firstColumn="1" w:lastColumn="0" w:noHBand="0" w:noVBand="0"/>
        </w:tblPrEx>
        <w:tc>
          <w:tcPr>
            <w:tcW w:w="1129" w:type="dxa"/>
            <w:shd w:val="clear" w:color="auto" w:fill="auto"/>
            <w:vAlign w:val="center"/>
          </w:tcPr>
          <w:p w14:paraId="23D0136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85682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dodatnega temeljnega kapitala subjektov finančnega sektorja, v katerih institucija nima pomembne naložbe</w:t>
            </w:r>
          </w:p>
          <w:p w14:paraId="18F9852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3776BD2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56, točka (c), Uredbe (EU) št. 575/2013.</w:t>
            </w:r>
          </w:p>
        </w:tc>
      </w:tr>
      <w:tr w:rsidR="001D48E9" w:rsidRPr="008F6131" w14:paraId="4C2E2591" w14:textId="77777777">
        <w:tblPrEx>
          <w:tblLook w:val="00A0" w:firstRow="1" w:lastRow="0" w:firstColumn="1" w:lastColumn="0" w:noHBand="0" w:noVBand="0"/>
        </w:tblPrEx>
        <w:tc>
          <w:tcPr>
            <w:tcW w:w="1129" w:type="dxa"/>
            <w:shd w:val="clear" w:color="auto" w:fill="auto"/>
            <w:vAlign w:val="center"/>
          </w:tcPr>
          <w:p w14:paraId="4F2817F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02C209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dodatnega temeljnega kapitala subjektov finančnega sektorja, v katerih ima institucija pomembno naložbo</w:t>
            </w:r>
          </w:p>
          <w:p w14:paraId="47EB341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253A647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Člen 56, točka (d), Uredbe (EU) </w:t>
            </w:r>
            <w:r w:rsidRPr="008F6131">
              <w:rPr>
                <w:rFonts w:ascii="Times New Roman" w:hAnsi="Times New Roman" w:cs="Times New Roman"/>
                <w:bCs/>
                <w:szCs w:val="22"/>
              </w:rPr>
              <w:t>št. 575/2013.</w:t>
            </w:r>
          </w:p>
        </w:tc>
      </w:tr>
      <w:tr w:rsidR="001D48E9" w:rsidRPr="008F6131" w14:paraId="6A6DB7FD" w14:textId="77777777">
        <w:tblPrEx>
          <w:tblLook w:val="00A0" w:firstRow="1" w:lastRow="0" w:firstColumn="1" w:lastColumn="0" w:noHBand="0" w:noVBand="0"/>
        </w:tblPrEx>
        <w:tc>
          <w:tcPr>
            <w:tcW w:w="1129" w:type="dxa"/>
            <w:shd w:val="clear" w:color="auto" w:fill="auto"/>
            <w:vAlign w:val="center"/>
          </w:tcPr>
          <w:p w14:paraId="216405D1"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53FEA1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Drugi odbitki</w:t>
            </w:r>
          </w:p>
          <w:p w14:paraId="5004FD1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Vsota vseh drugih odbitkov v skladu s členom 56 Uredbe (EU) št. 575/2013, ki niso vključeni v nobeno od zgornjih vrstic.</w:t>
            </w:r>
          </w:p>
        </w:tc>
      </w:tr>
      <w:tr w:rsidR="001D48E9" w:rsidRPr="008F6131" w14:paraId="6A8C906B" w14:textId="77777777">
        <w:tblPrEx>
          <w:tblLook w:val="00A0" w:firstRow="1" w:lastRow="0" w:firstColumn="1" w:lastColumn="0" w:noHBand="0" w:noVBand="0"/>
        </w:tblPrEx>
        <w:tc>
          <w:tcPr>
            <w:tcW w:w="1129" w:type="dxa"/>
            <w:shd w:val="clear" w:color="auto" w:fill="auto"/>
            <w:vAlign w:val="center"/>
          </w:tcPr>
          <w:p w14:paraId="0E3848F1"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0530BD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temeljni kapital: drugi elementi, odbitki in prilagoditve kapitala</w:t>
            </w:r>
          </w:p>
          <w:p w14:paraId="2CF9D2C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Ta vrstica </w:t>
            </w:r>
            <w:r w:rsidRPr="008F6131">
              <w:rPr>
                <w:rFonts w:ascii="Times New Roman" w:hAnsi="Times New Roman" w:cs="Times New Roman"/>
                <w:bCs/>
                <w:szCs w:val="22"/>
              </w:rPr>
              <w:t>vključuje vsoto naslednjih postavk, kjer je ustrezno:</w:t>
            </w:r>
          </w:p>
          <w:p w14:paraId="071710EE"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instrumentov dodatnega temeljnega kapitala, za katere se uporabljajo predhodna pravila (člen 483, odstavka 4 in 5, členi 484 do 487 ter člena 489 in 491 Uredbe (EU) št. 5</w:t>
            </w:r>
            <w:r w:rsidRPr="008F6131">
              <w:rPr>
                <w:rFonts w:ascii="Times New Roman" w:hAnsi="Times New Roman"/>
                <w:bCs/>
              </w:rPr>
              <w:t>75/2013),</w:t>
            </w:r>
          </w:p>
          <w:p w14:paraId="1AF133A2"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instrumentov, ki jih izdajo odvisna podjetja, ki se pripoznajo v dodatnem temeljnem kapitalu (členi 83, 85 in 86 Uredbe (EU) št. 575/2013): vsota vseh zneskov kvalificiranega temeljnega kapitala odvisnih podjetij, vključena v </w:t>
            </w:r>
            <w:r w:rsidRPr="008F6131">
              <w:rPr>
                <w:rFonts w:ascii="Times New Roman" w:hAnsi="Times New Roman"/>
                <w:bCs/>
              </w:rPr>
              <w:t>konsolidirani dodatni temeljni kapital, kar vključuje tudi kapital, ki ga izda subjekt s posebnim namenom (člen 83 Uredbe (EU) št. 575/2013),</w:t>
            </w:r>
          </w:p>
          <w:p w14:paraId="32569808"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dodatnega pripoznanja v instrumentih dodatnega temeljnega kapitala, ki jih izdajo </w:t>
            </w:r>
            <w:r w:rsidRPr="008F6131">
              <w:rPr>
                <w:rFonts w:ascii="Times New Roman" w:hAnsi="Times New Roman"/>
                <w:bCs/>
              </w:rPr>
              <w:t xml:space="preserve">odvisna podjetja (člen 480 Uredbe (EU) </w:t>
            </w:r>
            <w:r w:rsidRPr="008F6131">
              <w:rPr>
                <w:rFonts w:ascii="Times New Roman" w:hAnsi="Times New Roman"/>
                <w:bCs/>
              </w:rPr>
              <w:lastRenderedPageBreak/>
              <w:t>št. 575/2013), prilagoditev kvalificiranega temeljnega kapitala, vključenega v konsolidirani dodatni temeljni kapital zaradi prehodnih določb,</w:t>
            </w:r>
          </w:p>
          <w:p w14:paraId="3F133E01"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drugih prehodnih prilagoditev dodatnega temeljnega kapitala (členi 472, </w:t>
            </w:r>
            <w:r w:rsidRPr="008F6131">
              <w:rPr>
                <w:rFonts w:ascii="Times New Roman" w:hAnsi="Times New Roman"/>
                <w:bCs/>
              </w:rPr>
              <w:t>473a, 474, 475, 478 in 481 Uredbe (EU) št. 575/2013): prilagoditve odbitkov zaradi prehodnih določb,</w:t>
            </w:r>
          </w:p>
          <w:p w14:paraId="603E70B2"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presežka odbitka od postavk dodatnega temeljnega kapitala nad dodatnim temeljnim kapitalom, odbitega od navadnega lastniškega temeljnega kapitala v sklad</w:t>
            </w:r>
            <w:r w:rsidRPr="008F6131">
              <w:rPr>
                <w:rFonts w:ascii="Times New Roman" w:hAnsi="Times New Roman"/>
                <w:bCs/>
              </w:rPr>
              <w:t>u s členom 36(1), točka (j), Uredbe (EU) št. 575/2013: dodatni temeljni kapital ne more biti negativen, vendar je mogoče, da odbitki od postavk dodatnega temeljnega kapitala presegajo znesek razpoložljivih postavk dodatnega temeljnega kapitala. kadar pride</w:t>
            </w:r>
            <w:r w:rsidRPr="008F6131">
              <w:rPr>
                <w:rFonts w:ascii="Times New Roman" w:hAnsi="Times New Roman"/>
                <w:bCs/>
              </w:rPr>
              <w:t xml:space="preserve"> do tega, ta postavka predstavlja znesek, potreben za povečanje zneska, sporočenega v vrstici 28, na nič, in je enaka obratni vrednosti presežka odbitkov od postavk dodatnega temeljnega kapitala nad postavkami dodatnega temeljnega kapitala, ki je vključen </w:t>
            </w:r>
            <w:r w:rsidRPr="008F6131">
              <w:rPr>
                <w:rFonts w:ascii="Times New Roman" w:hAnsi="Times New Roman"/>
                <w:bCs/>
              </w:rPr>
              <w:t>med druge odbitke v vrstici 38,</w:t>
            </w:r>
          </w:p>
          <w:p w14:paraId="56764FAE"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temeljnega kapitala ali odbitkov od elementa dodatnega temeljnega kapitala, ki se ne morejo razvrstiti v eno od vrstic 29 do 38.</w:t>
            </w:r>
          </w:p>
          <w:p w14:paraId="13DB991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Ta vrstica se ne uporabi za vključitev kapitalskih postavk ali odb</w:t>
            </w:r>
            <w:r w:rsidRPr="008F6131">
              <w:rPr>
                <w:rFonts w:ascii="Times New Roman" w:hAnsi="Times New Roman" w:cs="Times New Roman"/>
                <w:bCs/>
                <w:szCs w:val="22"/>
              </w:rPr>
              <w:t>itkov, ki v skladu z Uredbo (EU) 2019/2033 ali Uredbo (EU) št. 575/2013 niso zajeti v izračun količnikov kapitalske ustreznosti.</w:t>
            </w:r>
          </w:p>
        </w:tc>
      </w:tr>
      <w:tr w:rsidR="001D48E9" w:rsidRPr="008F6131" w14:paraId="18267FA0" w14:textId="77777777">
        <w:tblPrEx>
          <w:tblLook w:val="00A0" w:firstRow="1" w:lastRow="0" w:firstColumn="1" w:lastColumn="0" w:noHBand="0" w:noVBand="0"/>
        </w:tblPrEx>
        <w:tc>
          <w:tcPr>
            <w:tcW w:w="1129" w:type="dxa"/>
            <w:shd w:val="clear" w:color="auto" w:fill="auto"/>
            <w:vAlign w:val="center"/>
          </w:tcPr>
          <w:p w14:paraId="2D8D584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27F610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w:t>
            </w:r>
          </w:p>
          <w:p w14:paraId="0BB8F6F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Uredbe (EU) 2019/2033.</w:t>
            </w:r>
          </w:p>
          <w:p w14:paraId="51E85EBD"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71</w:t>
            </w:r>
            <w:r w:rsidRPr="008F6131">
              <w:rPr>
                <w:rFonts w:ascii="Times New Roman" w:hAnsi="Times New Roman" w:cs="Times New Roman"/>
                <w:bCs/>
                <w:szCs w:val="22"/>
              </w:rPr>
              <w:t xml:space="preserve"> Uredbe</w:t>
            </w:r>
            <w:r w:rsidRPr="008F6131">
              <w:rPr>
                <w:rStyle w:val="FormatvorlageInstructionsTabelleText"/>
                <w:rFonts w:ascii="Times New Roman" w:hAnsi="Times New Roman"/>
                <w:sz w:val="22"/>
                <w:szCs w:val="22"/>
              </w:rPr>
              <w:t xml:space="preserve"> (EU) št. 575/2013.</w:t>
            </w:r>
          </w:p>
          <w:p w14:paraId="5A876B2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Razkrije se vsota vrstic 41 do 43 in </w:t>
            </w:r>
            <w:r w:rsidRPr="008F6131">
              <w:rPr>
                <w:rFonts w:ascii="Times New Roman" w:hAnsi="Times New Roman" w:cs="Times New Roman"/>
                <w:bCs/>
                <w:szCs w:val="22"/>
              </w:rPr>
              <w:t>vrstice 50.</w:t>
            </w:r>
          </w:p>
        </w:tc>
      </w:tr>
      <w:tr w:rsidR="001D48E9" w:rsidRPr="008F6131" w14:paraId="40A4AD9B" w14:textId="77777777">
        <w:tblPrEx>
          <w:tblLook w:val="00A0" w:firstRow="1" w:lastRow="0" w:firstColumn="1" w:lastColumn="0" w:noHBand="0" w:noVBand="0"/>
        </w:tblPrEx>
        <w:tc>
          <w:tcPr>
            <w:tcW w:w="1129" w:type="dxa"/>
            <w:shd w:val="clear" w:color="auto" w:fill="auto"/>
            <w:vAlign w:val="center"/>
          </w:tcPr>
          <w:p w14:paraId="17FAE96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FD8EAD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szCs w:val="22"/>
                <w:u w:val="single"/>
              </w:rPr>
              <w:t>V celoti vplačani, neposredno izdani kapitalski instrumenti</w:t>
            </w:r>
          </w:p>
          <w:p w14:paraId="0FB4F19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2BA551BA"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Člen 62, točka (a), in člena 63 ter 65 Uredbe (EU) št. 575/2013.</w:t>
            </w:r>
          </w:p>
          <w:p w14:paraId="003D099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 xml:space="preserve">Znesek, ki se razkrije, ne vključuje vplačanega presežka </w:t>
            </w:r>
            <w:r w:rsidRPr="008F6131">
              <w:rPr>
                <w:rStyle w:val="FormatvorlageInstructionsTabelleText"/>
                <w:rFonts w:ascii="Times New Roman" w:hAnsi="Times New Roman"/>
                <w:sz w:val="22"/>
                <w:szCs w:val="22"/>
              </w:rPr>
              <w:t>kapitala, povezanega z instrumenti.</w:t>
            </w:r>
          </w:p>
        </w:tc>
      </w:tr>
      <w:tr w:rsidR="001D48E9" w:rsidRPr="008F6131" w14:paraId="67661A54" w14:textId="77777777">
        <w:tblPrEx>
          <w:tblLook w:val="00A0" w:firstRow="1" w:lastRow="0" w:firstColumn="1" w:lastColumn="0" w:noHBand="0" w:noVBand="0"/>
        </w:tblPrEx>
        <w:tc>
          <w:tcPr>
            <w:tcW w:w="1129" w:type="dxa"/>
            <w:shd w:val="clear" w:color="auto" w:fill="auto"/>
            <w:vAlign w:val="center"/>
          </w:tcPr>
          <w:p w14:paraId="08A4FA6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C2773F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5098EB8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15906C3E"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62, točka (b), in člen 65 Uredbe (EU) št. 575/2013.</w:t>
            </w:r>
          </w:p>
          <w:p w14:paraId="609543F7"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Vplačani presežek kapitala ima enak pomen kot v skladu z veljavnim </w:t>
            </w:r>
            <w:r w:rsidRPr="008F6131">
              <w:rPr>
                <w:rStyle w:val="FormatvorlageInstructionsTabelleText"/>
                <w:rFonts w:ascii="Times New Roman" w:hAnsi="Times New Roman"/>
                <w:sz w:val="22"/>
              </w:rPr>
              <w:t>računovodskim standardom.</w:t>
            </w:r>
          </w:p>
          <w:p w14:paraId="595D3278"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Znesek, ki se razkrije v okviru te postavke, je del, povezan z „vplačanimi kapitalskimi instrumenti“.</w:t>
            </w:r>
          </w:p>
        </w:tc>
      </w:tr>
      <w:tr w:rsidR="001D48E9" w:rsidRPr="008F6131" w14:paraId="6D4D86C9" w14:textId="77777777">
        <w:tblPrEx>
          <w:tblLook w:val="00A0" w:firstRow="1" w:lastRow="0" w:firstColumn="1" w:lastColumn="0" w:noHBand="0" w:noVBand="0"/>
        </w:tblPrEx>
        <w:tc>
          <w:tcPr>
            <w:tcW w:w="1129" w:type="dxa"/>
            <w:shd w:val="clear" w:color="auto" w:fill="auto"/>
            <w:vAlign w:val="center"/>
          </w:tcPr>
          <w:p w14:paraId="530D089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0E8CC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DODATNEGA KAPITALA</w:t>
            </w:r>
          </w:p>
          <w:p w14:paraId="673B698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Člen 66 Uredbe (EU) št. 575/2013.</w:t>
            </w:r>
          </w:p>
        </w:tc>
      </w:tr>
      <w:tr w:rsidR="001D48E9" w:rsidRPr="008F6131" w14:paraId="48C0DB77" w14:textId="77777777">
        <w:tblPrEx>
          <w:tblLook w:val="00A0" w:firstRow="1" w:lastRow="0" w:firstColumn="1" w:lastColumn="0" w:noHBand="0" w:noVBand="0"/>
        </w:tblPrEx>
        <w:tc>
          <w:tcPr>
            <w:tcW w:w="1129" w:type="dxa"/>
            <w:shd w:val="clear" w:color="auto" w:fill="auto"/>
            <w:vAlign w:val="center"/>
          </w:tcPr>
          <w:p w14:paraId="5238C62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6717A19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Lastni instrumenti dodatnega kapitala</w:t>
            </w:r>
          </w:p>
          <w:p w14:paraId="109FC1C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w:t>
            </w:r>
            <w:r w:rsidRPr="008F6131">
              <w:rPr>
                <w:rFonts w:ascii="Times New Roman" w:hAnsi="Times New Roman" w:cs="Times New Roman"/>
                <w:bCs/>
                <w:szCs w:val="22"/>
              </w:rPr>
              <w:t>n 9(1), točka (i), Uredbe (EU) št. 2019/2033.</w:t>
            </w:r>
          </w:p>
          <w:p w14:paraId="5BD9BC8B"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63, točka (b)(i), člen 66, točka (a), in člen 67 Uredbe (EU) št. 575/2013.</w:t>
            </w:r>
          </w:p>
          <w:p w14:paraId="4B2304C0"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Lastni instrumenti dodatnega kapitala, ki jih ima institucija ali skupina poročevalka na datum poročanja. Veljajo izjeme iz </w:t>
            </w:r>
            <w:r w:rsidRPr="008F6131">
              <w:rPr>
                <w:rStyle w:val="FormatvorlageInstructionsTabelleText"/>
                <w:rFonts w:ascii="Times New Roman" w:hAnsi="Times New Roman"/>
                <w:sz w:val="22"/>
              </w:rPr>
              <w:t>člena 67 Uredbe (EU) št. 575/2013.</w:t>
            </w:r>
          </w:p>
          <w:p w14:paraId="197A14F1"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Delež v delnicah, vključen v „kapitalske instrumente, ki niso sprejemljivi“, se ne razkrije v tej vrstici.</w:t>
            </w:r>
          </w:p>
          <w:p w14:paraId="7B821732"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lastRenderedPageBreak/>
              <w:t>Znesek, ki se razkrije, vključuje presežek kapitala, povezan z lastnimi delnicami.</w:t>
            </w:r>
          </w:p>
        </w:tc>
      </w:tr>
      <w:tr w:rsidR="001D48E9" w:rsidRPr="008F6131" w14:paraId="04DE74FB" w14:textId="77777777">
        <w:tblPrEx>
          <w:tblLook w:val="00A0" w:firstRow="1" w:lastRow="0" w:firstColumn="1" w:lastColumn="0" w:noHBand="0" w:noVBand="0"/>
        </w:tblPrEx>
        <w:tc>
          <w:tcPr>
            <w:tcW w:w="1129" w:type="dxa"/>
            <w:shd w:val="clear" w:color="auto" w:fill="auto"/>
            <w:vAlign w:val="center"/>
          </w:tcPr>
          <w:p w14:paraId="29B0394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892127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Neposredni deleži v </w:t>
            </w:r>
            <w:r w:rsidRPr="008F6131">
              <w:rPr>
                <w:rFonts w:ascii="Times New Roman" w:hAnsi="Times New Roman" w:cs="Times New Roman"/>
                <w:b/>
                <w:bCs/>
                <w:szCs w:val="22"/>
                <w:u w:val="single"/>
              </w:rPr>
              <w:t>instrumentih dodatnega kapitala</w:t>
            </w:r>
          </w:p>
          <w:p w14:paraId="46DC1A01"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Člen 63, točka (b), člen 66, točka (a), in člen 67 Uredbe (EU) št. 575/2013.</w:t>
            </w:r>
          </w:p>
        </w:tc>
      </w:tr>
      <w:tr w:rsidR="001D48E9" w:rsidRPr="008F6131" w14:paraId="4FA197CE" w14:textId="77777777">
        <w:tblPrEx>
          <w:tblLook w:val="00A0" w:firstRow="1" w:lastRow="0" w:firstColumn="1" w:lastColumn="0" w:noHBand="0" w:noVBand="0"/>
        </w:tblPrEx>
        <w:tc>
          <w:tcPr>
            <w:tcW w:w="1129" w:type="dxa"/>
            <w:shd w:val="clear" w:color="auto" w:fill="auto"/>
            <w:vAlign w:val="center"/>
          </w:tcPr>
          <w:p w14:paraId="653A61C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C5E9A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Posredni deleži v instrumentih dodatnega kapitala</w:t>
            </w:r>
          </w:p>
          <w:p w14:paraId="42A1AE1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Člen 4(1), točka 114, člen 63, točka (b), člen 66, točka (a), in člen 67 Uredbe (EU) št. </w:t>
            </w:r>
            <w:r w:rsidRPr="008F6131">
              <w:rPr>
                <w:rStyle w:val="FormatvorlageInstructionsTabelleText"/>
                <w:rFonts w:ascii="Times New Roman" w:hAnsi="Times New Roman"/>
                <w:sz w:val="22"/>
                <w:szCs w:val="22"/>
              </w:rPr>
              <w:t>575/2013.</w:t>
            </w:r>
          </w:p>
        </w:tc>
      </w:tr>
      <w:tr w:rsidR="001D48E9" w:rsidRPr="008F6131" w14:paraId="33CDADB9" w14:textId="77777777">
        <w:tblPrEx>
          <w:tblLook w:val="00A0" w:firstRow="1" w:lastRow="0" w:firstColumn="1" w:lastColumn="0" w:noHBand="0" w:noVBand="0"/>
        </w:tblPrEx>
        <w:tc>
          <w:tcPr>
            <w:tcW w:w="1129" w:type="dxa"/>
            <w:shd w:val="clear" w:color="auto" w:fill="auto"/>
            <w:vAlign w:val="center"/>
          </w:tcPr>
          <w:p w14:paraId="05498AB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715A350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Sintetični deleži v instrumentih dodatnega kapitala</w:t>
            </w:r>
          </w:p>
          <w:p w14:paraId="2CB195D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Člen 4(1), točka 126, člen 63, točka (b), člen 66, točka (a), in člen 67 Uredbe (EU) št. 575/2013.</w:t>
            </w:r>
          </w:p>
        </w:tc>
      </w:tr>
      <w:tr w:rsidR="001D48E9" w:rsidRPr="008F6131" w14:paraId="6B309148" w14:textId="77777777">
        <w:tblPrEx>
          <w:tblLook w:val="00A0" w:firstRow="1" w:lastRow="0" w:firstColumn="1" w:lastColumn="0" w:noHBand="0" w:noVBand="0"/>
        </w:tblPrEx>
        <w:tc>
          <w:tcPr>
            <w:tcW w:w="1129" w:type="dxa"/>
            <w:shd w:val="clear" w:color="auto" w:fill="auto"/>
            <w:vAlign w:val="center"/>
          </w:tcPr>
          <w:p w14:paraId="748E658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5D9C54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Instrumenti dodatnega kapitala subjektov finančnega sektorja, v katerih </w:t>
            </w:r>
            <w:r w:rsidRPr="008F6131">
              <w:rPr>
                <w:rFonts w:ascii="Times New Roman" w:hAnsi="Times New Roman" w:cs="Times New Roman"/>
                <w:b/>
                <w:bCs/>
                <w:szCs w:val="22"/>
                <w:u w:val="single"/>
              </w:rPr>
              <w:t>institucija nima pomembne naložbe</w:t>
            </w:r>
          </w:p>
          <w:p w14:paraId="5E7241E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6056561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66, točka (c), Uredbe (EU) št. 575/2013.</w:t>
            </w:r>
          </w:p>
        </w:tc>
      </w:tr>
      <w:tr w:rsidR="001D48E9" w:rsidRPr="008F6131" w14:paraId="1CB1661A"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41425F7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A54DF5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dodatnega kapitala subjektov finančnega sektorja, v katerih ima institucija pomembno naložbo</w:t>
            </w:r>
          </w:p>
          <w:p w14:paraId="15093CFD"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4(1), točka 2</w:t>
            </w:r>
            <w:r w:rsidRPr="008F6131">
              <w:rPr>
                <w:rStyle w:val="FormatvorlageInstructionsTabelleText"/>
                <w:rFonts w:ascii="Times New Roman" w:hAnsi="Times New Roman"/>
                <w:sz w:val="22"/>
              </w:rPr>
              <w:t>7, člen 66, točka (d), ter členi 68, 69 in 79 Uredbe (EU) št. 575/2013.</w:t>
            </w:r>
          </w:p>
          <w:p w14:paraId="1E757FB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Deleži institucije v instrumentih dodatnega kapitala subjektov finančnega sektorja (kot so opredeljeni v členu 4(1), točka 27, Uredbe (EU) št. 575/2013), v katerih ima investicijsko po</w:t>
            </w:r>
            <w:r w:rsidRPr="008F6131">
              <w:rPr>
                <w:rStyle w:val="FormatvorlageInstructionsTabelleText"/>
                <w:rFonts w:ascii="Times New Roman" w:hAnsi="Times New Roman"/>
                <w:sz w:val="22"/>
                <w:szCs w:val="22"/>
              </w:rPr>
              <w:t>djetje pomembno naložbo, se v celoti odbijejo.</w:t>
            </w:r>
          </w:p>
        </w:tc>
      </w:tr>
      <w:tr w:rsidR="001D48E9" w:rsidRPr="008F6131" w14:paraId="10ACEF4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CA6A605"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03BFEF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 drugi elementi, odbitki in prilagoditve kapitala</w:t>
            </w:r>
          </w:p>
          <w:p w14:paraId="18B0E17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54C71BC7"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instrumentov dodatnega kapitala, za </w:t>
            </w:r>
            <w:r w:rsidRPr="008F6131">
              <w:rPr>
                <w:rFonts w:ascii="Times New Roman" w:hAnsi="Times New Roman"/>
                <w:bCs/>
              </w:rPr>
              <w:t>katere se uporabljajo predhodna pravila (člen 483, odstavka 6 in 7, ter členi 484, 486, 488, 490 in 491 Uredbe (EU) št. 575/2013),</w:t>
            </w:r>
          </w:p>
          <w:p w14:paraId="75817F4E"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instrumentov, ki jih izdajo odvisna podjetja, ki se pripoznajo v dodatnem kapitalu (členi 83, 87 in 88 Uredbe (EU) št. 575/</w:t>
            </w:r>
            <w:r w:rsidRPr="008F6131">
              <w:rPr>
                <w:rFonts w:ascii="Times New Roman" w:hAnsi="Times New Roman"/>
                <w:bCs/>
              </w:rPr>
              <w:t>2013): vsota vseh zneskov kvalificiranega kapitala odvisnih podjetij, vključena v konsolidirani dodatni kapital, kar vključuje tudi kvalificirani dodatni kapital, ki ga izda subjekt s posebnim namenom (člen 83 Uredbe (EU) št. 575/2013),</w:t>
            </w:r>
          </w:p>
          <w:p w14:paraId="03FDD9D6"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w:t>
            </w:r>
            <w:r w:rsidRPr="008F6131">
              <w:rPr>
                <w:rFonts w:ascii="Times New Roman" w:hAnsi="Times New Roman"/>
                <w:bCs/>
              </w:rPr>
              <w:t>ditev zaradi dodatnega pripoznanja v dodatnem kapitalu instrumentov, ki jih izdajo odvisna podjetja (člen 480 Uredbe (EU) št. 575/2013), prilagoditve kvalificiranega kapitala v konsolidiranem dodatnem kapitalu zaradi prehodnih določb,</w:t>
            </w:r>
          </w:p>
          <w:p w14:paraId="3C9A9C04"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w:t>
            </w:r>
            <w:r w:rsidRPr="008F6131">
              <w:rPr>
                <w:rFonts w:ascii="Times New Roman" w:hAnsi="Times New Roman"/>
                <w:bCs/>
              </w:rPr>
              <w:t>ilagoditev dodatnega kapitala (členi 472, 473a, 476, 477, 478 in 481 Uredbe (EU) št. 575/2013): prilagoditve odbitkov od dodatnega kapitala zaradi prehodnih določb,</w:t>
            </w:r>
          </w:p>
          <w:p w14:paraId="126024EA"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presežka odbitka od postavk dodatnega kapitala nad dodatnim kapitalom, odbitega od dodatn</w:t>
            </w:r>
            <w:r w:rsidRPr="008F6131">
              <w:rPr>
                <w:rFonts w:ascii="Times New Roman" w:hAnsi="Times New Roman"/>
                <w:bCs/>
              </w:rPr>
              <w:t>ega temeljnega kapitala v skladu s členom 56, točka (e), Uredbe (EU) št. 575/2013: dodatni kapital ne more biti negativen, vendar je mogoče, da odbitki od postavk dodatnega kapitala presegajo znesek razpoložljivih postavk dodatnega kapitala. Kadar pride do</w:t>
            </w:r>
            <w:r w:rsidRPr="008F6131">
              <w:rPr>
                <w:rFonts w:ascii="Times New Roman" w:hAnsi="Times New Roman"/>
                <w:bCs/>
              </w:rPr>
              <w:t xml:space="preserve"> tega, ta postavka predstavlja znesek, potreben za povečanje zneska, sporočenega v vrstici 40, na nič,</w:t>
            </w:r>
          </w:p>
          <w:p w14:paraId="0D74E839"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kapitala ali odbitkov od elementa dodatnega kapitala, ki se ne morejo razvrstiti v eno od vrstic 41 do 49.</w:t>
            </w:r>
          </w:p>
          <w:p w14:paraId="58FD838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lastRenderedPageBreak/>
              <w:t xml:space="preserve">Ta vrstica se ne </w:t>
            </w:r>
            <w:r w:rsidRPr="008F6131">
              <w:rPr>
                <w:rFonts w:ascii="Times New Roman" w:hAnsi="Times New Roman" w:cs="Times New Roman"/>
                <w:bCs/>
                <w:szCs w:val="22"/>
              </w:rPr>
              <w:t>uporabi za vključitev kapitalskih postavk ali odbitkov, ki v skladu z Uredbo (EU) 2019/2033 ali Uredbo (EU) št. 575/2013 niso zajeti v izračun količnikov kapitalske ustreznosti.</w:t>
            </w:r>
          </w:p>
        </w:tc>
      </w:tr>
    </w:tbl>
    <w:p w14:paraId="5564209A" w14:textId="77777777" w:rsidR="001D48E9" w:rsidRPr="008F6131" w:rsidRDefault="001D48E9">
      <w:pPr>
        <w:spacing w:before="120" w:after="120"/>
        <w:jc w:val="both"/>
        <w:rPr>
          <w:rFonts w:ascii="Times New Roman" w:hAnsi="Times New Roman" w:cs="Times New Roman"/>
          <w:bCs/>
          <w:sz w:val="24"/>
        </w:rPr>
      </w:pPr>
    </w:p>
    <w:p w14:paraId="7D439B6B" w14:textId="77777777" w:rsidR="001D48E9" w:rsidRPr="008F6131" w:rsidRDefault="008F6131">
      <w:pPr>
        <w:ind w:left="720"/>
        <w:rPr>
          <w:rFonts w:ascii="Times New Roman" w:hAnsi="Times New Roman" w:cs="Times New Roman"/>
          <w:b/>
          <w:bCs/>
          <w:sz w:val="24"/>
        </w:rPr>
      </w:pPr>
      <w:r w:rsidRPr="008F6131">
        <w:rPr>
          <w:rFonts w:ascii="Times New Roman" w:hAnsi="Times New Roman" w:cs="Times New Roman"/>
          <w:b/>
          <w:bCs/>
          <w:sz w:val="24"/>
        </w:rPr>
        <w:t xml:space="preserve">Predloga EU I CC1.02 – Sestava regulativnega kapitala (mala in </w:t>
      </w:r>
      <w:r w:rsidRPr="008F6131">
        <w:rPr>
          <w:rFonts w:ascii="Times New Roman" w:hAnsi="Times New Roman" w:cs="Times New Roman"/>
          <w:b/>
          <w:bCs/>
          <w:sz w:val="24"/>
        </w:rPr>
        <w:t>nepovezana investicijska podjetja)</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D48E9" w:rsidRPr="008F6131" w14:paraId="2B928CCB" w14:textId="77777777">
        <w:trPr>
          <w:trHeight w:val="395"/>
        </w:trPr>
        <w:tc>
          <w:tcPr>
            <w:tcW w:w="8812" w:type="dxa"/>
            <w:gridSpan w:val="2"/>
            <w:shd w:val="clear" w:color="auto" w:fill="D9D9D9" w:themeFill="background1" w:themeFillShade="D9"/>
          </w:tcPr>
          <w:p w14:paraId="25AE5228" w14:textId="77777777" w:rsidR="001D48E9" w:rsidRPr="008F6131" w:rsidRDefault="008F6131">
            <w:pPr>
              <w:pStyle w:val="TableTitle"/>
              <w:spacing w:before="0" w:after="0"/>
              <w:jc w:val="left"/>
              <w:rPr>
                <w:rFonts w:ascii="Times New Roman" w:hAnsi="Times New Roman"/>
                <w:szCs w:val="22"/>
              </w:rPr>
            </w:pPr>
            <w:r w:rsidRPr="008F6131">
              <w:rPr>
                <w:rFonts w:ascii="Times New Roman" w:hAnsi="Times New Roman"/>
                <w:szCs w:val="22"/>
              </w:rPr>
              <w:t>Pravna podlaga in navodila</w:t>
            </w:r>
          </w:p>
        </w:tc>
      </w:tr>
      <w:tr w:rsidR="001D48E9" w:rsidRPr="008F6131" w14:paraId="5157650F" w14:textId="77777777">
        <w:tblPrEx>
          <w:tblLook w:val="00A0" w:firstRow="1" w:lastRow="0" w:firstColumn="1" w:lastColumn="0" w:noHBand="0" w:noVBand="0"/>
        </w:tblPrEx>
        <w:tc>
          <w:tcPr>
            <w:tcW w:w="1129" w:type="dxa"/>
            <w:tcBorders>
              <w:bottom w:val="single" w:sz="4" w:space="0" w:color="auto"/>
            </w:tcBorders>
            <w:shd w:val="clear" w:color="auto" w:fill="D9D9D9"/>
          </w:tcPr>
          <w:p w14:paraId="30300D6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Vrstica</w:t>
            </w:r>
          </w:p>
        </w:tc>
        <w:tc>
          <w:tcPr>
            <w:tcW w:w="7683" w:type="dxa"/>
            <w:tcBorders>
              <w:bottom w:val="single" w:sz="4" w:space="0" w:color="auto"/>
            </w:tcBorders>
            <w:shd w:val="clear" w:color="auto" w:fill="D9D9D9"/>
          </w:tcPr>
          <w:p w14:paraId="3E800BF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Pravna podlaga in navodila</w:t>
            </w:r>
          </w:p>
        </w:tc>
      </w:tr>
      <w:tr w:rsidR="001D48E9" w:rsidRPr="008F6131" w14:paraId="0475660A" w14:textId="77777777">
        <w:tblPrEx>
          <w:tblLook w:val="00A0" w:firstRow="1" w:lastRow="0" w:firstColumn="1" w:lastColumn="0" w:noHBand="0" w:noVBand="0"/>
        </w:tblPrEx>
        <w:tc>
          <w:tcPr>
            <w:tcW w:w="1129" w:type="dxa"/>
            <w:shd w:val="clear" w:color="auto" w:fill="auto"/>
            <w:vAlign w:val="center"/>
          </w:tcPr>
          <w:p w14:paraId="20CCCCF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w:t>
            </w:r>
          </w:p>
        </w:tc>
        <w:tc>
          <w:tcPr>
            <w:tcW w:w="7683" w:type="dxa"/>
            <w:shd w:val="clear" w:color="auto" w:fill="auto"/>
          </w:tcPr>
          <w:p w14:paraId="6BE0C5E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Kapital</w:t>
            </w:r>
          </w:p>
          <w:p w14:paraId="2914E70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21F0466C"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 xml:space="preserve">Kapital investicijskega podjetja je sestavljen iz vsote njegovega navadnega lastniškega temeljnega </w:t>
            </w:r>
            <w:r w:rsidRPr="008F6131">
              <w:rPr>
                <w:rStyle w:val="FormatvorlageInstructionsTabelleText"/>
                <w:rFonts w:ascii="Times New Roman" w:hAnsi="Times New Roman"/>
                <w:sz w:val="22"/>
                <w:szCs w:val="22"/>
              </w:rPr>
              <w:t>kapitala, dodatnega temeljnega kapitala in dodatnega kapitala.</w:t>
            </w:r>
          </w:p>
          <w:p w14:paraId="19CA644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2 in 25.</w:t>
            </w:r>
          </w:p>
        </w:tc>
      </w:tr>
      <w:tr w:rsidR="001D48E9" w:rsidRPr="008F6131" w14:paraId="04DEB256" w14:textId="77777777">
        <w:tblPrEx>
          <w:tblLook w:val="00A0" w:firstRow="1" w:lastRow="0" w:firstColumn="1" w:lastColumn="0" w:noHBand="0" w:noVBand="0"/>
        </w:tblPrEx>
        <w:tc>
          <w:tcPr>
            <w:tcW w:w="1129" w:type="dxa"/>
            <w:shd w:val="clear" w:color="auto" w:fill="auto"/>
            <w:vAlign w:val="center"/>
          </w:tcPr>
          <w:p w14:paraId="26D83F3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w:t>
            </w:r>
          </w:p>
        </w:tc>
        <w:tc>
          <w:tcPr>
            <w:tcW w:w="7683" w:type="dxa"/>
            <w:shd w:val="clear" w:color="auto" w:fill="auto"/>
          </w:tcPr>
          <w:p w14:paraId="50FEC41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Temeljni kapital</w:t>
            </w:r>
          </w:p>
          <w:p w14:paraId="58B50097"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Temeljni kapital je vsota navadnega lastniškega temeljnega kapitala in dodatnega temeljnega kapitala.</w:t>
            </w:r>
          </w:p>
          <w:p w14:paraId="32E48C1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3 in 20.</w:t>
            </w:r>
          </w:p>
        </w:tc>
      </w:tr>
      <w:tr w:rsidR="001D48E9" w:rsidRPr="008F6131" w14:paraId="69C5A1FB" w14:textId="77777777">
        <w:tblPrEx>
          <w:tblLook w:val="00A0" w:firstRow="1" w:lastRow="0" w:firstColumn="1" w:lastColumn="0" w:noHBand="0" w:noVBand="0"/>
        </w:tblPrEx>
        <w:tc>
          <w:tcPr>
            <w:tcW w:w="1129" w:type="dxa"/>
            <w:shd w:val="clear" w:color="auto" w:fill="auto"/>
            <w:vAlign w:val="center"/>
          </w:tcPr>
          <w:p w14:paraId="6E6C434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3</w:t>
            </w:r>
          </w:p>
        </w:tc>
        <w:tc>
          <w:tcPr>
            <w:tcW w:w="7683" w:type="dxa"/>
            <w:shd w:val="clear" w:color="auto" w:fill="auto"/>
          </w:tcPr>
          <w:p w14:paraId="4A5D601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InstructionsTabelleberschrift"/>
                <w:rFonts w:ascii="Times New Roman" w:hAnsi="Times New Roman"/>
                <w:sz w:val="22"/>
                <w:szCs w:val="22"/>
              </w:rPr>
              <w:t>Navadni lastniški temeljni kapital</w:t>
            </w:r>
          </w:p>
          <w:p w14:paraId="7B3D459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78A4E616"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50 Uredbe (EU) št. 575/2013.</w:t>
            </w:r>
          </w:p>
          <w:p w14:paraId="691BC79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 4 do 11 in vrstice 19.</w:t>
            </w:r>
          </w:p>
        </w:tc>
      </w:tr>
      <w:tr w:rsidR="001D48E9" w:rsidRPr="008F6131" w14:paraId="0D5A5EFD" w14:textId="77777777">
        <w:tblPrEx>
          <w:tblLook w:val="00A0" w:firstRow="1" w:lastRow="0" w:firstColumn="1" w:lastColumn="0" w:noHBand="0" w:noVBand="0"/>
        </w:tblPrEx>
        <w:tc>
          <w:tcPr>
            <w:tcW w:w="1129" w:type="dxa"/>
            <w:shd w:val="clear" w:color="auto" w:fill="auto"/>
            <w:vAlign w:val="center"/>
          </w:tcPr>
          <w:p w14:paraId="5DE4131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4</w:t>
            </w:r>
          </w:p>
        </w:tc>
        <w:tc>
          <w:tcPr>
            <w:tcW w:w="7683" w:type="dxa"/>
            <w:shd w:val="clear" w:color="auto" w:fill="auto"/>
          </w:tcPr>
          <w:p w14:paraId="11BE462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szCs w:val="22"/>
                <w:u w:val="single"/>
              </w:rPr>
              <w:t>V celoti vplačani kapitalski instrumenti</w:t>
            </w:r>
          </w:p>
          <w:p w14:paraId="4B973C3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3EDB3DF"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26(1), </w:t>
            </w:r>
            <w:r w:rsidRPr="008F6131">
              <w:rPr>
                <w:rStyle w:val="FormatvorlageInstructionsTabelleText"/>
                <w:rFonts w:ascii="Times New Roman" w:hAnsi="Times New Roman"/>
                <w:sz w:val="22"/>
              </w:rPr>
              <w:t>točka (a), in členi 27 do 31 Uredbe (EU) št. 575/2013.</w:t>
            </w:r>
          </w:p>
          <w:p w14:paraId="511A13BB"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Vključijo se kapitalski instrumenti vzajemnih, zadružnih ali podobnih institucij (člena 27 in 29 Uredbe (EU) št. 575/2013).</w:t>
            </w:r>
          </w:p>
          <w:p w14:paraId="7073BCBB"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povezan z instrumenti, se ne vključi.</w:t>
            </w:r>
          </w:p>
          <w:p w14:paraId="231C3CEF"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Kapitalski instrumenti, ki jih vpišejo javni organi v izrednih razmerah, se vključijo, če so izpolnjeni vsi pogoji iz člena 31 Uredbe (EU) št. 575/2013.</w:t>
            </w:r>
          </w:p>
        </w:tc>
      </w:tr>
      <w:tr w:rsidR="001D48E9" w:rsidRPr="008F6131" w14:paraId="32E7558B" w14:textId="77777777">
        <w:tblPrEx>
          <w:tblLook w:val="00A0" w:firstRow="1" w:lastRow="0" w:firstColumn="1" w:lastColumn="0" w:noHBand="0" w:noVBand="0"/>
        </w:tblPrEx>
        <w:tc>
          <w:tcPr>
            <w:tcW w:w="1129" w:type="dxa"/>
            <w:shd w:val="clear" w:color="auto" w:fill="auto"/>
            <w:vAlign w:val="center"/>
          </w:tcPr>
          <w:p w14:paraId="5EFAD24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5</w:t>
            </w:r>
          </w:p>
        </w:tc>
        <w:tc>
          <w:tcPr>
            <w:tcW w:w="7683" w:type="dxa"/>
            <w:shd w:val="clear" w:color="auto" w:fill="auto"/>
          </w:tcPr>
          <w:p w14:paraId="576284E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79915CD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58A3BCE2"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 xml:space="preserve">Člen 26(1), točka </w:t>
            </w:r>
            <w:r w:rsidRPr="008F6131">
              <w:rPr>
                <w:rStyle w:val="FormatvorlageInstructionsTabelleText"/>
                <w:rFonts w:ascii="Times New Roman" w:hAnsi="Times New Roman"/>
                <w:sz w:val="22"/>
                <w:szCs w:val="22"/>
              </w:rPr>
              <w:t>(b), Uredbe (EU) št. 575/2013.</w:t>
            </w:r>
          </w:p>
          <w:p w14:paraId="1C921208"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2ACA6DE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v okviru te postavke, je del, povezan z „vplačanimi kapitalskimi instrumenti“.</w:t>
            </w:r>
          </w:p>
        </w:tc>
      </w:tr>
      <w:tr w:rsidR="001D48E9" w:rsidRPr="008F6131" w14:paraId="0E80A930" w14:textId="77777777">
        <w:tblPrEx>
          <w:tblLook w:val="00A0" w:firstRow="1" w:lastRow="0" w:firstColumn="1" w:lastColumn="0" w:noHBand="0" w:noVBand="0"/>
        </w:tblPrEx>
        <w:tc>
          <w:tcPr>
            <w:tcW w:w="1129" w:type="dxa"/>
            <w:shd w:val="clear" w:color="auto" w:fill="auto"/>
            <w:vAlign w:val="center"/>
          </w:tcPr>
          <w:p w14:paraId="6FC97D6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6</w:t>
            </w:r>
          </w:p>
        </w:tc>
        <w:tc>
          <w:tcPr>
            <w:tcW w:w="7683" w:type="dxa"/>
            <w:shd w:val="clear" w:color="auto" w:fill="auto"/>
          </w:tcPr>
          <w:p w14:paraId="1FDDA6D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Zadržani dobiček</w:t>
            </w:r>
          </w:p>
          <w:p w14:paraId="1555B99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w:t>
            </w:r>
            <w:r w:rsidRPr="008F6131">
              <w:rPr>
                <w:rFonts w:ascii="Times New Roman" w:hAnsi="Times New Roman" w:cs="Times New Roman"/>
                <w:bCs/>
                <w:szCs w:val="22"/>
              </w:rPr>
              <w:t xml:space="preserve"> točka (i), Uredbe (EU) št. 2019/2033.</w:t>
            </w:r>
          </w:p>
          <w:p w14:paraId="14BE37B1" w14:textId="77777777" w:rsidR="001D48E9" w:rsidRPr="008F6131" w:rsidRDefault="008F6131">
            <w:pPr>
              <w:spacing w:after="120"/>
              <w:jc w:val="both"/>
              <w:rPr>
                <w:rFonts w:ascii="Times New Roman" w:eastAsia="Times New Roman" w:hAnsi="Times New Roman" w:cs="Times New Roman"/>
                <w:bCs/>
                <w:szCs w:val="22"/>
              </w:rPr>
            </w:pPr>
            <w:r w:rsidRPr="008F6131">
              <w:rPr>
                <w:rStyle w:val="FormatvorlageInstructionsTabelleText"/>
                <w:rFonts w:ascii="Times New Roman" w:hAnsi="Times New Roman"/>
                <w:sz w:val="22"/>
                <w:szCs w:val="22"/>
              </w:rPr>
              <w:t>Člen 26(1), točka (c), Uredbe (EU) št. 575/2013.</w:t>
            </w:r>
          </w:p>
          <w:p w14:paraId="606B469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lastRenderedPageBreak/>
              <w:t>Zadržani dobiček vključuje zadržani dobiček preteklega leta in priznani dobiček med letom ali čisti dobiček poslovnega leta.</w:t>
            </w:r>
          </w:p>
        </w:tc>
      </w:tr>
      <w:tr w:rsidR="001D48E9" w:rsidRPr="008F6131" w14:paraId="7A675838" w14:textId="77777777">
        <w:tblPrEx>
          <w:tblLook w:val="00A0" w:firstRow="1" w:lastRow="0" w:firstColumn="1" w:lastColumn="0" w:noHBand="0" w:noVBand="0"/>
        </w:tblPrEx>
        <w:tc>
          <w:tcPr>
            <w:tcW w:w="1129" w:type="dxa"/>
            <w:shd w:val="clear" w:color="auto" w:fill="auto"/>
            <w:vAlign w:val="center"/>
          </w:tcPr>
          <w:p w14:paraId="78E75A1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7</w:t>
            </w:r>
          </w:p>
        </w:tc>
        <w:tc>
          <w:tcPr>
            <w:tcW w:w="7683" w:type="dxa"/>
            <w:shd w:val="clear" w:color="auto" w:fill="auto"/>
          </w:tcPr>
          <w:p w14:paraId="5E784BB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Akumulirani drugi </w:t>
            </w:r>
            <w:r w:rsidRPr="008F6131">
              <w:rPr>
                <w:rFonts w:ascii="Times New Roman" w:hAnsi="Times New Roman" w:cs="Times New Roman"/>
                <w:b/>
                <w:bCs/>
                <w:szCs w:val="22"/>
                <w:u w:val="single"/>
              </w:rPr>
              <w:t>vseobsegajoči donos</w:t>
            </w:r>
          </w:p>
          <w:p w14:paraId="47FEB02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10B7E8B6" w14:textId="77777777" w:rsidR="001D48E9" w:rsidRPr="008F6131" w:rsidRDefault="008F6131">
            <w:pPr>
              <w:spacing w:after="120"/>
              <w:jc w:val="both"/>
              <w:rPr>
                <w:rFonts w:ascii="Times New Roman" w:hAnsi="Times New Roman" w:cs="Times New Roman"/>
                <w:bCs/>
                <w:szCs w:val="22"/>
              </w:rPr>
            </w:pPr>
            <w:r w:rsidRPr="008F6131">
              <w:rPr>
                <w:rStyle w:val="FormatvorlageInstructionsTabelleText"/>
                <w:rFonts w:ascii="Times New Roman" w:hAnsi="Times New Roman"/>
                <w:sz w:val="22"/>
                <w:szCs w:val="22"/>
              </w:rPr>
              <w:t>Člen 26(1), točka (d), Uredbe (EU) št. 575/2013.</w:t>
            </w:r>
          </w:p>
        </w:tc>
      </w:tr>
      <w:tr w:rsidR="001D48E9" w:rsidRPr="008F6131" w14:paraId="6BA97E9B" w14:textId="77777777">
        <w:tblPrEx>
          <w:tblLook w:val="00A0" w:firstRow="1" w:lastRow="0" w:firstColumn="1" w:lastColumn="0" w:noHBand="0" w:noVBand="0"/>
        </w:tblPrEx>
        <w:tc>
          <w:tcPr>
            <w:tcW w:w="1129" w:type="dxa"/>
            <w:shd w:val="clear" w:color="auto" w:fill="auto"/>
            <w:vAlign w:val="center"/>
          </w:tcPr>
          <w:p w14:paraId="69B04ED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8</w:t>
            </w:r>
          </w:p>
        </w:tc>
        <w:tc>
          <w:tcPr>
            <w:tcW w:w="7683" w:type="dxa"/>
            <w:tcBorders>
              <w:bottom w:val="single" w:sz="4" w:space="0" w:color="auto"/>
            </w:tcBorders>
            <w:shd w:val="clear" w:color="auto" w:fill="auto"/>
          </w:tcPr>
          <w:p w14:paraId="2BCD303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Druge rezerve</w:t>
            </w:r>
          </w:p>
          <w:p w14:paraId="79BEE0C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2AC3153B"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4(1), točka 117, in člen 26(1), točka (e), Uredbe (EU) št. 575/2013</w:t>
            </w:r>
            <w:r w:rsidRPr="008F6131">
              <w:rPr>
                <w:rStyle w:val="FormatvorlageInstructionsTabelleText"/>
                <w:rFonts w:ascii="Times New Roman" w:hAnsi="Times New Roman"/>
                <w:sz w:val="22"/>
                <w:szCs w:val="22"/>
              </w:rPr>
              <w:t>.</w:t>
            </w:r>
          </w:p>
          <w:p w14:paraId="19123C8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davčnih obremenitev, predvidljivih v času izračuna.</w:t>
            </w:r>
          </w:p>
        </w:tc>
      </w:tr>
      <w:tr w:rsidR="001D48E9" w:rsidRPr="008F6131" w14:paraId="1DA4544F" w14:textId="77777777">
        <w:tblPrEx>
          <w:tblLook w:val="00A0" w:firstRow="1" w:lastRow="0" w:firstColumn="1" w:lastColumn="0" w:noHBand="0" w:noVBand="0"/>
        </w:tblPrEx>
        <w:tc>
          <w:tcPr>
            <w:tcW w:w="1129" w:type="dxa"/>
            <w:shd w:val="clear" w:color="auto" w:fill="auto"/>
            <w:vAlign w:val="center"/>
          </w:tcPr>
          <w:p w14:paraId="606ADF8A"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9</w:t>
            </w:r>
          </w:p>
        </w:tc>
        <w:tc>
          <w:tcPr>
            <w:tcW w:w="7683" w:type="dxa"/>
            <w:shd w:val="clear" w:color="auto" w:fill="auto"/>
          </w:tcPr>
          <w:p w14:paraId="7F0EAC3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Prilagoditve navadnega lastniškega temeljnega kapitala zaradi bonitetnih filtrov</w:t>
            </w:r>
          </w:p>
          <w:p w14:paraId="70F28AB5"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9(1), točka (i), Uredbe (EU) št. 2019/2033.</w:t>
            </w:r>
          </w:p>
          <w:p w14:paraId="23C026F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 xml:space="preserve">Členi 32 do 35 Uredbe (EU) </w:t>
            </w:r>
            <w:r w:rsidRPr="008F6131">
              <w:rPr>
                <w:rStyle w:val="FormatvorlageInstructionsTabelleText"/>
                <w:rFonts w:ascii="Times New Roman" w:hAnsi="Times New Roman"/>
                <w:sz w:val="22"/>
                <w:szCs w:val="22"/>
              </w:rPr>
              <w:t>št. 575/2013.</w:t>
            </w:r>
          </w:p>
        </w:tc>
      </w:tr>
      <w:tr w:rsidR="001D48E9" w:rsidRPr="008F6131" w14:paraId="6721B1DF" w14:textId="77777777">
        <w:tblPrEx>
          <w:tblLook w:val="00A0" w:firstRow="1" w:lastRow="0" w:firstColumn="1" w:lastColumn="0" w:noHBand="0" w:noVBand="0"/>
        </w:tblPrEx>
        <w:tc>
          <w:tcPr>
            <w:tcW w:w="1129" w:type="dxa"/>
            <w:shd w:val="clear" w:color="auto" w:fill="auto"/>
            <w:vAlign w:val="center"/>
          </w:tcPr>
          <w:p w14:paraId="44432E78"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10</w:t>
            </w:r>
          </w:p>
        </w:tc>
        <w:tc>
          <w:tcPr>
            <w:tcW w:w="7683" w:type="dxa"/>
            <w:shd w:val="clear" w:color="auto" w:fill="auto"/>
          </w:tcPr>
          <w:p w14:paraId="605A8E4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Druga sredstva</w:t>
            </w:r>
          </w:p>
          <w:p w14:paraId="0D112E1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9(4) Uredbe (EU) 2019/2033.</w:t>
            </w:r>
          </w:p>
        </w:tc>
      </w:tr>
      <w:tr w:rsidR="001D48E9" w:rsidRPr="008F6131" w14:paraId="4FB45BF4" w14:textId="77777777">
        <w:tblPrEx>
          <w:tblLook w:val="00A0" w:firstRow="1" w:lastRow="0" w:firstColumn="1" w:lastColumn="0" w:noHBand="0" w:noVBand="0"/>
        </w:tblPrEx>
        <w:tc>
          <w:tcPr>
            <w:tcW w:w="1129" w:type="dxa"/>
            <w:shd w:val="clear" w:color="auto" w:fill="auto"/>
            <w:vAlign w:val="center"/>
          </w:tcPr>
          <w:p w14:paraId="12B1947A"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11</w:t>
            </w:r>
          </w:p>
        </w:tc>
        <w:tc>
          <w:tcPr>
            <w:tcW w:w="7683" w:type="dxa"/>
            <w:shd w:val="clear" w:color="auto" w:fill="auto"/>
          </w:tcPr>
          <w:p w14:paraId="4199C55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NAVADNEGA LASTNIŠKEGA TEMELJNEGA KAPITALA</w:t>
            </w:r>
          </w:p>
          <w:p w14:paraId="43347D3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 12 do 18.</w:t>
            </w:r>
          </w:p>
        </w:tc>
      </w:tr>
      <w:tr w:rsidR="001D48E9" w:rsidRPr="008F6131" w14:paraId="48A80E9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538899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503398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Izgube tekočega poslovnega leta</w:t>
            </w:r>
          </w:p>
          <w:p w14:paraId="17C3ABF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 xml:space="preserve">Člen 36(1)(a) Uredbe (EU) </w:t>
            </w:r>
            <w:r w:rsidRPr="008F6131">
              <w:rPr>
                <w:rFonts w:ascii="Times New Roman" w:hAnsi="Times New Roman" w:cs="Times New Roman"/>
                <w:szCs w:val="22"/>
              </w:rPr>
              <w:t>št. 575/2013.</w:t>
            </w:r>
          </w:p>
        </w:tc>
      </w:tr>
      <w:tr w:rsidR="001D48E9" w:rsidRPr="008F6131" w14:paraId="321D5B3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244D97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656F0C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Dobro ime</w:t>
            </w:r>
          </w:p>
          <w:p w14:paraId="605F368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3FBC33D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Člen 4(1), točka 113, člen 36(1), točka (b), in člen 37 Uredbe (EU) št. 575/2013.</w:t>
            </w:r>
          </w:p>
        </w:tc>
      </w:tr>
      <w:tr w:rsidR="001D48E9" w:rsidRPr="008F6131" w14:paraId="3FEB189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B40B82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CE576F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Druga neopredmetena sredstva</w:t>
            </w:r>
          </w:p>
          <w:p w14:paraId="3A12213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64925237"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Člen 4(1), točka 115, člen 36(1), točka (b), in člen 37, točka (a), Uredbe (EU) št. 575/2013.</w:t>
            </w:r>
          </w:p>
          <w:p w14:paraId="5C68EA2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 xml:space="preserve">Druga neopredmetena sredstva so neopredmetena sredstva v skladu z veljavnim računovodskim standardom, pri čemer se ne upošteva dobro ime, prav </w:t>
            </w:r>
            <w:r w:rsidRPr="008F6131">
              <w:rPr>
                <w:rStyle w:val="FormatvorlageInstructionsTabelleText"/>
                <w:rFonts w:ascii="Times New Roman" w:hAnsi="Times New Roman"/>
                <w:sz w:val="22"/>
                <w:szCs w:val="22"/>
              </w:rPr>
              <w:t>tako v skladu z veljavnim računovodskim standardom.</w:t>
            </w:r>
          </w:p>
        </w:tc>
      </w:tr>
      <w:tr w:rsidR="001D48E9" w:rsidRPr="008F6131" w14:paraId="71AAC6B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91BCE9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AD27B3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Odložene terjatve za davek, ki se nanašajo na prihodnji dobiček in ne izhajajo iz začasnih razlik, zmanjšane za povezane obveznosti za davek</w:t>
            </w:r>
          </w:p>
          <w:p w14:paraId="77CD8B1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9(2)(a) Uredbe (EU) št. 2019/2033.</w:t>
            </w:r>
          </w:p>
          <w:p w14:paraId="235E3F3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w:t>
            </w:r>
            <w:r w:rsidRPr="008F6131">
              <w:rPr>
                <w:rFonts w:ascii="Times New Roman" w:hAnsi="Times New Roman" w:cs="Times New Roman"/>
                <w:bCs/>
                <w:szCs w:val="22"/>
              </w:rPr>
              <w:t>ka (c), Uredbe (EU) št. 575/2013.</w:t>
            </w:r>
          </w:p>
        </w:tc>
      </w:tr>
      <w:tr w:rsidR="001D48E9" w:rsidRPr="008F6131" w14:paraId="77F008C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F962FC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FB2A77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Kvalificiran delež izven finančnega sektorja, ki presega 15 % kapitala investicijskega podjetja</w:t>
            </w:r>
          </w:p>
          <w:p w14:paraId="03D0AFA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10(1)(a) Uredbe (EU) št. 2019/2033.</w:t>
            </w:r>
          </w:p>
        </w:tc>
      </w:tr>
      <w:tr w:rsidR="001D48E9" w:rsidRPr="008F6131" w14:paraId="33A394A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E8D124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5032E4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Skupaj kvalificirani deleži v podjetjih, ki niso subjekti </w:t>
            </w:r>
            <w:r w:rsidRPr="008F6131">
              <w:rPr>
                <w:rFonts w:ascii="Times New Roman" w:hAnsi="Times New Roman" w:cs="Times New Roman"/>
                <w:b/>
                <w:bCs/>
                <w:szCs w:val="22"/>
                <w:u w:val="single"/>
              </w:rPr>
              <w:t>finančnega sektorja, ki presega 60 % kapitala podjetja</w:t>
            </w:r>
          </w:p>
          <w:p w14:paraId="3613E0C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10(1)(a) Uredbe (EU) št. 2019/2033.</w:t>
            </w:r>
          </w:p>
        </w:tc>
      </w:tr>
      <w:tr w:rsidR="001D48E9" w:rsidRPr="008F6131" w14:paraId="544FB6C4" w14:textId="77777777">
        <w:tblPrEx>
          <w:tblLook w:val="00A0" w:firstRow="1" w:lastRow="0" w:firstColumn="1" w:lastColumn="0" w:noHBand="0" w:noVBand="0"/>
        </w:tblPrEx>
        <w:tc>
          <w:tcPr>
            <w:tcW w:w="1129" w:type="dxa"/>
            <w:vAlign w:val="center"/>
          </w:tcPr>
          <w:p w14:paraId="258A9A6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151D25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Drugi odbitki</w:t>
            </w:r>
          </w:p>
          <w:p w14:paraId="4AFFD9B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Vsota vseh drugih odbitkov iz člena 36(1) Uredbe (EU) št. 575/2013.</w:t>
            </w:r>
          </w:p>
        </w:tc>
      </w:tr>
      <w:tr w:rsidR="001D48E9" w:rsidRPr="008F6131" w14:paraId="5B4075B6" w14:textId="77777777">
        <w:tblPrEx>
          <w:tblLook w:val="00A0" w:firstRow="1" w:lastRow="0" w:firstColumn="1" w:lastColumn="0" w:noHBand="0" w:noVBand="0"/>
        </w:tblPrEx>
        <w:tc>
          <w:tcPr>
            <w:tcW w:w="1129" w:type="dxa"/>
            <w:vAlign w:val="center"/>
          </w:tcPr>
          <w:p w14:paraId="11235805"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3F470F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Navadni lastniški temeljni kapital: drugi elementi, odbitki in </w:t>
            </w:r>
            <w:r w:rsidRPr="008F6131">
              <w:rPr>
                <w:rFonts w:ascii="Times New Roman" w:hAnsi="Times New Roman" w:cs="Times New Roman"/>
                <w:b/>
                <w:bCs/>
                <w:szCs w:val="22"/>
                <w:u w:val="single"/>
              </w:rPr>
              <w:t>prilagoditve kapitala</w:t>
            </w:r>
          </w:p>
          <w:p w14:paraId="239F641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34CF9974"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instrumentov navadnega lastniškega temeljnega kapitala, za katere se uporabljajo predhodna pravila (člen 483, odstavki 1, 2 in 3, ter čle</w:t>
            </w:r>
            <w:r w:rsidRPr="008F6131">
              <w:rPr>
                <w:rFonts w:ascii="Times New Roman" w:hAnsi="Times New Roman"/>
                <w:bCs/>
              </w:rPr>
              <w:t>ni 484 do 487 Uredbe (EU) št. 575/2013),</w:t>
            </w:r>
          </w:p>
          <w:p w14:paraId="1B3EBB7A"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dodatnih manjšinskih deležev (člena 479 in 480 Uredbe (EU) št. 575/2013),</w:t>
            </w:r>
          </w:p>
          <w:p w14:paraId="50AB03F9"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drugih prehodnih prilagoditev navadnega lastniškega temeljnega kapitala (členi 469 do 478 in 481 </w:t>
            </w:r>
            <w:r w:rsidRPr="008F6131">
              <w:rPr>
                <w:rFonts w:ascii="Times New Roman" w:hAnsi="Times New Roman"/>
                <w:bCs/>
              </w:rPr>
              <w:t>Uredbe (EU) št. 575/2013), prilagoditev odbitkov od navadnega lastniškega temeljnega kapitala zaradi prehodnih določb,</w:t>
            </w:r>
          </w:p>
          <w:p w14:paraId="4BC43A54" w14:textId="77777777" w:rsidR="001D48E9" w:rsidRPr="008F6131" w:rsidRDefault="008F6131">
            <w:pPr>
              <w:spacing w:after="120"/>
              <w:ind w:left="360" w:hanging="360"/>
              <w:contextualSpacing/>
              <w:jc w:val="both"/>
              <w:rPr>
                <w:rFonts w:ascii="Times New Roman" w:eastAsia="Times New Roman" w:hAnsi="Times New Roman"/>
                <w:b/>
                <w:bCs/>
                <w:u w:val="single"/>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navadnega lastniškega temeljnega kapitala ali odbitkov od elementa navadnega lastniškega temeljnega kapitala, ki se ne</w:t>
            </w:r>
            <w:r w:rsidRPr="008F6131">
              <w:rPr>
                <w:rFonts w:ascii="Times New Roman" w:hAnsi="Times New Roman"/>
                <w:bCs/>
              </w:rPr>
              <w:t xml:space="preserve"> morejo razvrstiti v eno od vrstic 4 do 18.</w:t>
            </w:r>
          </w:p>
          <w:p w14:paraId="41FE7E4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Ta vrstica se ne uporabi za vključitev kapitalskih postavk ali odbitkov, ki v skladu z Uredbo (EU) 2019/2033 ali Uredbo (EU) št. 575/2013 niso zajeti v izračun količnikov kapitalske ustreznosti.</w:t>
            </w:r>
          </w:p>
        </w:tc>
      </w:tr>
      <w:tr w:rsidR="001D48E9" w:rsidRPr="008F6131" w14:paraId="2782FAEB" w14:textId="77777777">
        <w:tblPrEx>
          <w:tblLook w:val="00A0" w:firstRow="1" w:lastRow="0" w:firstColumn="1" w:lastColumn="0" w:noHBand="0" w:noVBand="0"/>
        </w:tblPrEx>
        <w:tc>
          <w:tcPr>
            <w:tcW w:w="1129" w:type="dxa"/>
            <w:vAlign w:val="center"/>
          </w:tcPr>
          <w:p w14:paraId="52F0BF3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8E4F46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w:t>
            </w:r>
            <w:r w:rsidRPr="008F6131">
              <w:rPr>
                <w:rFonts w:ascii="Times New Roman" w:hAnsi="Times New Roman" w:cs="Times New Roman"/>
                <w:b/>
                <w:bCs/>
                <w:szCs w:val="22"/>
                <w:u w:val="single"/>
              </w:rPr>
              <w:t>JNI KAPITAL</w:t>
            </w:r>
          </w:p>
          <w:p w14:paraId="0281EA1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4CFD5A61" w14:textId="77777777" w:rsidR="001D48E9" w:rsidRPr="008F6131" w:rsidRDefault="008F6131">
            <w:pPr>
              <w:spacing w:after="120"/>
              <w:jc w:val="both"/>
              <w:rPr>
                <w:rFonts w:ascii="Times New Roman" w:hAnsi="Times New Roman" w:cs="Times New Roman"/>
                <w:szCs w:val="22"/>
              </w:rPr>
            </w:pPr>
            <w:r w:rsidRPr="008F6131">
              <w:rPr>
                <w:rFonts w:ascii="Times New Roman" w:hAnsi="Times New Roman" w:cs="Times New Roman"/>
                <w:szCs w:val="22"/>
              </w:rPr>
              <w:t>Člen 61 Uredbe (EU) št. 575/2013.</w:t>
            </w:r>
          </w:p>
          <w:p w14:paraId="2E810AA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21 do 24.</w:t>
            </w:r>
          </w:p>
        </w:tc>
      </w:tr>
      <w:tr w:rsidR="001D48E9" w:rsidRPr="008F6131" w14:paraId="166D5EE6" w14:textId="77777777">
        <w:tblPrEx>
          <w:tblLook w:val="00A0" w:firstRow="1" w:lastRow="0" w:firstColumn="1" w:lastColumn="0" w:noHBand="0" w:noVBand="0"/>
        </w:tblPrEx>
        <w:tc>
          <w:tcPr>
            <w:tcW w:w="1129" w:type="dxa"/>
            <w:vAlign w:val="center"/>
          </w:tcPr>
          <w:p w14:paraId="66E0D71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AA7B53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szCs w:val="22"/>
                <w:u w:val="single"/>
              </w:rPr>
              <w:t>V celoti vplačan, neposredno izdan kapital</w:t>
            </w:r>
          </w:p>
          <w:p w14:paraId="6EE0CDF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414B1ACF"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51, točka (a), in členi 52, 53 ter 54 </w:t>
            </w:r>
            <w:r w:rsidRPr="008F6131">
              <w:rPr>
                <w:rStyle w:val="FormatvorlageInstructionsTabelleText"/>
                <w:rFonts w:ascii="Times New Roman" w:hAnsi="Times New Roman"/>
                <w:sz w:val="22"/>
              </w:rPr>
              <w:t>Uredbe (EU) št. 575/2013.</w:t>
            </w:r>
          </w:p>
          <w:p w14:paraId="79503E2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vplačanega presežka kapitala, povezanega z instrumenti.</w:t>
            </w:r>
          </w:p>
        </w:tc>
      </w:tr>
      <w:tr w:rsidR="001D48E9" w:rsidRPr="008F6131" w14:paraId="6BAD75E8" w14:textId="77777777">
        <w:tblPrEx>
          <w:tblLook w:val="00A0" w:firstRow="1" w:lastRow="0" w:firstColumn="1" w:lastColumn="0" w:noHBand="0" w:noVBand="0"/>
        </w:tblPrEx>
        <w:tc>
          <w:tcPr>
            <w:tcW w:w="1129" w:type="dxa"/>
            <w:vAlign w:val="center"/>
          </w:tcPr>
          <w:p w14:paraId="7CDE536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8336D7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67FA50C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8FAD711"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51, točka (b), Uredbe (EU) </w:t>
            </w:r>
            <w:r w:rsidRPr="008F6131">
              <w:rPr>
                <w:rStyle w:val="FormatvorlageInstructionsTabelleText"/>
                <w:rFonts w:ascii="Times New Roman" w:hAnsi="Times New Roman"/>
                <w:sz w:val="22"/>
              </w:rPr>
              <w:t>št. 575/2013.</w:t>
            </w:r>
          </w:p>
          <w:p w14:paraId="1A194DB1"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57C640B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v okviru te postavke, je del, povezan z „vplačanimi kapitalskimi instrumenti“.</w:t>
            </w:r>
          </w:p>
        </w:tc>
      </w:tr>
      <w:tr w:rsidR="001D48E9" w:rsidRPr="008F6131" w14:paraId="3FFB01AB" w14:textId="77777777">
        <w:tblPrEx>
          <w:tblLook w:val="00A0" w:firstRow="1" w:lastRow="0" w:firstColumn="1" w:lastColumn="0" w:noHBand="0" w:noVBand="0"/>
        </w:tblPrEx>
        <w:tc>
          <w:tcPr>
            <w:tcW w:w="1129" w:type="dxa"/>
            <w:tcBorders>
              <w:bottom w:val="single" w:sz="4" w:space="0" w:color="auto"/>
            </w:tcBorders>
            <w:vAlign w:val="center"/>
          </w:tcPr>
          <w:p w14:paraId="789145C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82EF74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SKUPAJ ODBITKI OD DODATNEGA TEMELJNEGA </w:t>
            </w:r>
            <w:r w:rsidRPr="008F6131">
              <w:rPr>
                <w:rFonts w:ascii="Times New Roman" w:hAnsi="Times New Roman" w:cs="Times New Roman"/>
                <w:b/>
                <w:bCs/>
                <w:szCs w:val="22"/>
                <w:u w:val="single"/>
              </w:rPr>
              <w:t>KAPITALA</w:t>
            </w:r>
          </w:p>
          <w:p w14:paraId="3CD12EBE" w14:textId="77777777" w:rsidR="001D48E9" w:rsidRPr="008F6131" w:rsidRDefault="008F6131">
            <w:pPr>
              <w:spacing w:before="60" w:after="60"/>
              <w:rPr>
                <w:rFonts w:ascii="Times New Roman" w:eastAsia="Times New Roman" w:hAnsi="Times New Roman" w:cs="Times New Roman"/>
                <w:b/>
                <w:bCs/>
                <w:szCs w:val="22"/>
                <w:u w:val="single"/>
              </w:rPr>
            </w:pPr>
            <w:r w:rsidRPr="008F6131">
              <w:rPr>
                <w:rFonts w:ascii="Times New Roman" w:hAnsi="Times New Roman" w:cs="Times New Roman"/>
                <w:szCs w:val="22"/>
              </w:rPr>
              <w:t>Člen 56 Uredbe (EU) št. 575/2013.</w:t>
            </w:r>
          </w:p>
        </w:tc>
      </w:tr>
      <w:tr w:rsidR="001D48E9" w:rsidRPr="008F6131" w14:paraId="1E5E5B69" w14:textId="77777777">
        <w:tblPrEx>
          <w:tblLook w:val="00A0" w:firstRow="1" w:lastRow="0" w:firstColumn="1" w:lastColumn="0" w:noHBand="0" w:noVBand="0"/>
        </w:tblPrEx>
        <w:tc>
          <w:tcPr>
            <w:tcW w:w="1129" w:type="dxa"/>
            <w:tcBorders>
              <w:bottom w:val="single" w:sz="4" w:space="0" w:color="auto"/>
            </w:tcBorders>
            <w:vAlign w:val="center"/>
          </w:tcPr>
          <w:p w14:paraId="1B7BE460"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AF4F5E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temeljni kapital: drugi elementi, odbitki in prilagoditve kapitala</w:t>
            </w:r>
          </w:p>
          <w:p w14:paraId="2289FC7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22A6B2B4"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lastRenderedPageBreak/>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instrumentov dodatnega </w:t>
            </w:r>
            <w:r w:rsidRPr="008F6131">
              <w:rPr>
                <w:rFonts w:ascii="Times New Roman" w:hAnsi="Times New Roman"/>
                <w:bCs/>
              </w:rPr>
              <w:t>temeljnega kapitala, za katere se uporabljajo predhodna pravila (člen 483, odstavka 4 in 5, členi 484 do 487 ter člena 489 in 491 Uredbe (EU) št. 575/2013),</w:t>
            </w:r>
          </w:p>
          <w:p w14:paraId="70225E95"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instrumentov, ki jih izdajo odvisna podjetja, ki se pripoznajo v dodatnem temeljnem kapitalu (čle</w:t>
            </w:r>
            <w:r w:rsidRPr="008F6131">
              <w:rPr>
                <w:rFonts w:ascii="Times New Roman" w:hAnsi="Times New Roman"/>
                <w:bCs/>
              </w:rPr>
              <w:t xml:space="preserve">ni 83, 85 in 86 Uredbe (EU) št. 575/2013): vsota vseh zneskov kvalificiranega temeljnega kapitala odvisnih podjetij, vključena v konsolidirani dodatni temeljni kapital, kar vključuje tudi kapital, ki ga izda subjekt s posebnim namenom (člen 83 Uredbe (EU) </w:t>
            </w:r>
            <w:r w:rsidRPr="008F6131">
              <w:rPr>
                <w:rFonts w:ascii="Times New Roman" w:hAnsi="Times New Roman"/>
                <w:bCs/>
              </w:rPr>
              <w:t>št. 575/2013),</w:t>
            </w:r>
          </w:p>
          <w:p w14:paraId="719366FF"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dodatnega pripoznanja v instrumentih dodatnega temeljnega kapitala, ki jih izdajo odvisna podjetja (člen 480 Uredbe (EU) št. 575/2013), prilagoditev kvalificiranega temeljnega kapitala, vključenega v konsolidi</w:t>
            </w:r>
            <w:r w:rsidRPr="008F6131">
              <w:rPr>
                <w:rFonts w:ascii="Times New Roman" w:hAnsi="Times New Roman"/>
                <w:bCs/>
              </w:rPr>
              <w:t>rani dodatni temeljni kapital zaradi prehodnih določb,</w:t>
            </w:r>
          </w:p>
          <w:p w14:paraId="3EE341FE"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prilagoditev dodatnega temeljnega kapitala (členi 472, 473a, 474, 475, 478 in 481 Uredbe (EU) št. 575/2013): prilagoditve odbitkov zaradi prehodnih določb,</w:t>
            </w:r>
          </w:p>
          <w:p w14:paraId="2F6782C5"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presežka odbitka od </w:t>
            </w:r>
            <w:r w:rsidRPr="008F6131">
              <w:rPr>
                <w:rFonts w:ascii="Times New Roman" w:hAnsi="Times New Roman"/>
                <w:bCs/>
              </w:rPr>
              <w:t>postavk dodatnega temeljnega kapitala nad dodatnim temeljnim kapitalom, odbitega od navadnega lastniškega temeljnega kapitala v skladu s členom 36(1), točka (j), Uredbe (EU) št. 575/2013: dodatni temeljni kapital ne more biti negativen, vendar je mogoče, d</w:t>
            </w:r>
            <w:r w:rsidRPr="008F6131">
              <w:rPr>
                <w:rFonts w:ascii="Times New Roman" w:hAnsi="Times New Roman"/>
                <w:bCs/>
              </w:rPr>
              <w:t>a odbitki od postavk dodatnega temeljnega kapitala presegajo znesek razpoložljivih postavk dodatnega temeljnega kapitala. kadar pride do tega, ta postavka predstavlja znesek, potreben za povečanje zneska, sporočenega v vrstici 20, na nič, in je enaka obrat</w:t>
            </w:r>
            <w:r w:rsidRPr="008F6131">
              <w:rPr>
                <w:rFonts w:ascii="Times New Roman" w:hAnsi="Times New Roman"/>
                <w:bCs/>
              </w:rPr>
              <w:t>ni vrednosti presežka odbitkov od postavk dodatnega temeljnega kapitala nad postavkami dodatnega temeljnega kapitala, ki je vključen med druge odbitke v vrstici 18,</w:t>
            </w:r>
          </w:p>
          <w:p w14:paraId="31107CB6"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temeljnega kapitala ali odbitkov od elementa dodatnega temeljn</w:t>
            </w:r>
            <w:r w:rsidRPr="008F6131">
              <w:rPr>
                <w:rFonts w:ascii="Times New Roman" w:hAnsi="Times New Roman"/>
                <w:bCs/>
              </w:rPr>
              <w:t>ega kapitala, ki se ne morejo razvrstiti v eno od vrstic 21 do 23.</w:t>
            </w:r>
          </w:p>
          <w:p w14:paraId="608D0DF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Ta vrstica se ne uporabi za vključitev kapitalskih postavk ali odbitkov, ki v skladu z Uredbo (EU) 2019/2033 ali Uredbo (EU) št. 575/2013 niso zajeti v izračun količnikov kapitalske ustrezn</w:t>
            </w:r>
            <w:r w:rsidRPr="008F6131">
              <w:rPr>
                <w:rFonts w:ascii="Times New Roman" w:hAnsi="Times New Roman" w:cs="Times New Roman"/>
                <w:bCs/>
                <w:szCs w:val="22"/>
              </w:rPr>
              <w:t>osti.</w:t>
            </w:r>
          </w:p>
        </w:tc>
      </w:tr>
      <w:tr w:rsidR="001D48E9" w:rsidRPr="008F6131" w14:paraId="45173243" w14:textId="77777777">
        <w:tblPrEx>
          <w:tblLook w:val="00A0" w:firstRow="1" w:lastRow="0" w:firstColumn="1" w:lastColumn="0" w:noHBand="0" w:noVBand="0"/>
        </w:tblPrEx>
        <w:tc>
          <w:tcPr>
            <w:tcW w:w="1129" w:type="dxa"/>
            <w:shd w:val="clear" w:color="auto" w:fill="auto"/>
            <w:vAlign w:val="center"/>
          </w:tcPr>
          <w:p w14:paraId="24E57CF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2F82E4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w:t>
            </w:r>
          </w:p>
          <w:p w14:paraId="5614411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6213083E"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71 Uredbe (EU) št. 575/2013.</w:t>
            </w:r>
          </w:p>
          <w:p w14:paraId="0F30256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26 do 29.</w:t>
            </w:r>
          </w:p>
        </w:tc>
      </w:tr>
      <w:tr w:rsidR="001D48E9" w:rsidRPr="008F6131" w14:paraId="6EA58059" w14:textId="77777777">
        <w:tblPrEx>
          <w:tblLook w:val="00A0" w:firstRow="1" w:lastRow="0" w:firstColumn="1" w:lastColumn="0" w:noHBand="0" w:noVBand="0"/>
        </w:tblPrEx>
        <w:tc>
          <w:tcPr>
            <w:tcW w:w="1129" w:type="dxa"/>
            <w:shd w:val="clear" w:color="auto" w:fill="auto"/>
            <w:vAlign w:val="center"/>
          </w:tcPr>
          <w:p w14:paraId="25F0126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FDC52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
                <w:bCs/>
                <w:szCs w:val="22"/>
                <w:u w:val="single"/>
              </w:rPr>
              <w:t>V celoti vplačani, neposredno izdani kapitalski instrumenti</w:t>
            </w:r>
          </w:p>
          <w:p w14:paraId="7380CED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2F8CFDDB"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 xml:space="preserve">Člen 62, </w:t>
            </w:r>
            <w:r w:rsidRPr="008F6131">
              <w:rPr>
                <w:rStyle w:val="FormatvorlageInstructionsTabelleText"/>
                <w:rFonts w:ascii="Times New Roman" w:hAnsi="Times New Roman"/>
                <w:sz w:val="22"/>
              </w:rPr>
              <w:t>točka (a), in člena 63 ter 65 Uredbe (EU) št. 575/2013.</w:t>
            </w:r>
          </w:p>
          <w:p w14:paraId="4EF380E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vplačanega presežka kapitala, povezanega z instrumenti.</w:t>
            </w:r>
          </w:p>
        </w:tc>
      </w:tr>
      <w:tr w:rsidR="001D48E9" w:rsidRPr="008F6131" w14:paraId="15F9C7CA" w14:textId="77777777">
        <w:tblPrEx>
          <w:tblLook w:val="00A0" w:firstRow="1" w:lastRow="0" w:firstColumn="1" w:lastColumn="0" w:noHBand="0" w:noVBand="0"/>
        </w:tblPrEx>
        <w:tc>
          <w:tcPr>
            <w:tcW w:w="1129" w:type="dxa"/>
            <w:shd w:val="clear" w:color="auto" w:fill="auto"/>
            <w:vAlign w:val="center"/>
          </w:tcPr>
          <w:p w14:paraId="5E39D36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B6F5CF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2A4DA3E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7F95B5A6"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62, točka (b), in </w:t>
            </w:r>
            <w:r w:rsidRPr="008F6131">
              <w:rPr>
                <w:rStyle w:val="FormatvorlageInstructionsTabelleText"/>
                <w:rFonts w:ascii="Times New Roman" w:hAnsi="Times New Roman"/>
                <w:sz w:val="22"/>
              </w:rPr>
              <w:t>člen 65 Uredbe (EU) št. 575/2013.</w:t>
            </w:r>
          </w:p>
          <w:p w14:paraId="2D668E40"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526C0B49"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Znesek, ki se razkrije v okviru te postavke, je del, povezan z „vplačanimi kapitalskimi instrumenti“.</w:t>
            </w:r>
          </w:p>
        </w:tc>
      </w:tr>
      <w:tr w:rsidR="001D48E9" w:rsidRPr="008F6131" w14:paraId="7F940C21" w14:textId="77777777">
        <w:tblPrEx>
          <w:tblLook w:val="00A0" w:firstRow="1" w:lastRow="0" w:firstColumn="1" w:lastColumn="0" w:noHBand="0" w:noVBand="0"/>
        </w:tblPrEx>
        <w:tc>
          <w:tcPr>
            <w:tcW w:w="1129" w:type="dxa"/>
            <w:shd w:val="clear" w:color="auto" w:fill="auto"/>
            <w:vAlign w:val="center"/>
          </w:tcPr>
          <w:p w14:paraId="2A7242D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79E26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D</w:t>
            </w:r>
            <w:r w:rsidRPr="008F6131">
              <w:rPr>
                <w:rFonts w:ascii="Times New Roman" w:hAnsi="Times New Roman" w:cs="Times New Roman"/>
                <w:b/>
                <w:bCs/>
                <w:szCs w:val="22"/>
                <w:u w:val="single"/>
              </w:rPr>
              <w:t>ODATNEGA KAPITALA</w:t>
            </w:r>
          </w:p>
          <w:p w14:paraId="6AEF762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lastRenderedPageBreak/>
              <w:t>Člen 66 Uredbe (EU) št. 575/2013.</w:t>
            </w:r>
          </w:p>
        </w:tc>
      </w:tr>
      <w:tr w:rsidR="001D48E9" w:rsidRPr="008F6131" w14:paraId="015626D7" w14:textId="77777777">
        <w:tblPrEx>
          <w:tblLook w:val="00A0" w:firstRow="1" w:lastRow="0" w:firstColumn="1" w:lastColumn="0" w:noHBand="0" w:noVBand="0"/>
        </w:tblPrEx>
        <w:tc>
          <w:tcPr>
            <w:tcW w:w="1129" w:type="dxa"/>
            <w:shd w:val="clear" w:color="auto" w:fill="auto"/>
            <w:vAlign w:val="center"/>
          </w:tcPr>
          <w:p w14:paraId="6DA25216"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lastRenderedPageBreak/>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733F8D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 drugi elementi, odbitki in prilagoditve kapitala</w:t>
            </w:r>
          </w:p>
          <w:p w14:paraId="6FDD809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1F9B9EDD"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instrumentov dodatnega </w:t>
            </w:r>
            <w:r w:rsidRPr="008F6131">
              <w:rPr>
                <w:rFonts w:ascii="Times New Roman" w:hAnsi="Times New Roman"/>
                <w:bCs/>
              </w:rPr>
              <w:t>kapitala, za katere se uporabljajo predhodna pravila (člen 483, odstavka 6 in 7, ter členi 484, 486, 488, 490 in 491 Uredbe (EU) št. 575/2013),</w:t>
            </w:r>
          </w:p>
          <w:p w14:paraId="302A5522"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instrumentov, ki jih izdajo odvisna podjetja, ki se pripoznajo v dodatnem kapitalu (členi 83, 87 in 88 Uredbe </w:t>
            </w:r>
            <w:r w:rsidRPr="008F6131">
              <w:rPr>
                <w:rFonts w:ascii="Times New Roman" w:hAnsi="Times New Roman"/>
                <w:bCs/>
              </w:rPr>
              <w:t>(EU) št. 575/2013): vsota vseh zneskov kvalificiranega kapitala odvisnih podjetij, vključena v konsolidirani dodatni kapital, kar vključuje tudi kvalificirani dodatni kapital, ki ga izda subjekt s posebnim namenom (člen 83 Uredbe (EU) št. 575/2013),</w:t>
            </w:r>
          </w:p>
          <w:p w14:paraId="6310D2D0"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w:t>
            </w:r>
            <w:r w:rsidRPr="008F6131">
              <w:rPr>
                <w:rFonts w:ascii="Times New Roman" w:hAnsi="Times New Roman"/>
                <w:bCs/>
              </w:rPr>
              <w:t>odnih prilagoditev zaradi dodatnega pripoznanja v dodatnem kapitalu instrumentov, ki jih izdajo odvisna podjetja (člen 480 Uredbe (EU) št. 575/2013), prilagoditve kvalificiranega kapitala v konsolidiranem dodatnem kapitalu zaradi prehodnih določb,</w:t>
            </w:r>
          </w:p>
          <w:p w14:paraId="1774711F"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w:t>
            </w:r>
            <w:r w:rsidRPr="008F6131">
              <w:rPr>
                <w:rFonts w:ascii="Times New Roman" w:hAnsi="Times New Roman"/>
                <w:bCs/>
              </w:rPr>
              <w:t xml:space="preserve"> prehodnih prilagoditev dodatnega kapitala (členi 472, 473a, 476, 477, 478 in 481 Uredbe (EU) št. 575/2013): prilagoditve odbitkov od dodatnega kapitala zaradi prehodnih določb,</w:t>
            </w:r>
          </w:p>
          <w:p w14:paraId="692479E4"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presežka odbitka od postavk dodatnega kapitala nad dodatnim kapitalom, odbit</w:t>
            </w:r>
            <w:r w:rsidRPr="008F6131">
              <w:rPr>
                <w:rFonts w:ascii="Times New Roman" w:hAnsi="Times New Roman"/>
                <w:bCs/>
              </w:rPr>
              <w:t>ega od dodatnega temeljnega kapitala v skladu s členom 56, točka (e), Uredbe (EU) št. 575/2013: dodatni kapital ne more biti negativen, vendar je mogoče, da odbitki od postavk dodatnega kapitala presegajo znesek razpoložljivih postavk dodatnega kapitala. K</w:t>
            </w:r>
            <w:r w:rsidRPr="008F6131">
              <w:rPr>
                <w:rFonts w:ascii="Times New Roman" w:hAnsi="Times New Roman"/>
                <w:bCs/>
              </w:rPr>
              <w:t>adar pride do tega, ta postavka predstavlja znesek, potreben za povečanje zneska, sporočenega v vrstici 25, na nič,</w:t>
            </w:r>
          </w:p>
          <w:p w14:paraId="3765128B"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kapitala ali odbitkov od elementa dodatnega kapitala, ki se ne morejo razvrstiti v eno od vrstic 26 do 28.</w:t>
            </w:r>
          </w:p>
          <w:p w14:paraId="3B853BD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Ta v</w:t>
            </w:r>
            <w:r w:rsidRPr="008F6131">
              <w:rPr>
                <w:rFonts w:ascii="Times New Roman" w:hAnsi="Times New Roman" w:cs="Times New Roman"/>
                <w:bCs/>
                <w:szCs w:val="22"/>
              </w:rPr>
              <w:t>rstica se ne uporabi za vključitev kapitalskih postavk ali odbitkov, ki v skladu z Uredbo (EU) 2019/2033 ali Uredbo (EU) št. 575/2013 niso zajeti v izračun količnikov kapitalske ustreznosti.</w:t>
            </w:r>
          </w:p>
        </w:tc>
      </w:tr>
    </w:tbl>
    <w:p w14:paraId="611CB742" w14:textId="77777777" w:rsidR="001D48E9" w:rsidRPr="008F6131" w:rsidRDefault="001D48E9">
      <w:pPr>
        <w:ind w:left="720"/>
        <w:rPr>
          <w:rFonts w:ascii="Times New Roman" w:hAnsi="Times New Roman" w:cs="Times New Roman"/>
          <w:b/>
          <w:bCs/>
          <w:sz w:val="24"/>
        </w:rPr>
      </w:pPr>
    </w:p>
    <w:p w14:paraId="25AF3ED0" w14:textId="77777777" w:rsidR="001D48E9" w:rsidRPr="008F6131" w:rsidRDefault="008F6131">
      <w:pPr>
        <w:ind w:left="720"/>
        <w:rPr>
          <w:rFonts w:ascii="Times New Roman" w:hAnsi="Times New Roman" w:cs="Times New Roman"/>
          <w:b/>
          <w:bCs/>
          <w:sz w:val="24"/>
        </w:rPr>
      </w:pPr>
      <w:r w:rsidRPr="008F6131">
        <w:rPr>
          <w:rFonts w:ascii="Times New Roman" w:hAnsi="Times New Roman" w:cs="Times New Roman"/>
          <w:b/>
          <w:bCs/>
          <w:sz w:val="24"/>
        </w:rPr>
        <w:t xml:space="preserve">Predloga EU I CC1.03 – Sestava regulativnega kapitala </w:t>
      </w:r>
      <w:r w:rsidRPr="008F6131">
        <w:rPr>
          <w:rFonts w:ascii="Times New Roman" w:hAnsi="Times New Roman" w:cs="Times New Roman"/>
          <w:b/>
          <w:bCs/>
          <w:sz w:val="24"/>
        </w:rPr>
        <w:t>(preskus kapitala skupine)</w:t>
      </w:r>
    </w:p>
    <w:p w14:paraId="4F097CB7" w14:textId="77777777" w:rsidR="001D48E9" w:rsidRPr="008F6131" w:rsidRDefault="008F6131">
      <w:pPr>
        <w:tabs>
          <w:tab w:val="left" w:pos="360"/>
        </w:tabs>
        <w:spacing w:before="120" w:after="120"/>
        <w:ind w:left="360" w:hanging="360"/>
        <w:jc w:val="both"/>
        <w:rPr>
          <w:rFonts w:ascii="Times New Roman" w:hAnsi="Times New Roman" w:cs="Times New Roman"/>
          <w:bCs/>
          <w:sz w:val="24"/>
        </w:rPr>
      </w:pPr>
      <w:r w:rsidRPr="008F6131">
        <w:rPr>
          <w:rFonts w:ascii="Times New Roman" w:hAnsi="Times New Roman" w:cs="Times New Roman"/>
          <w:bCs/>
          <w:sz w:val="24"/>
        </w:rPr>
        <w:t>6.</w:t>
      </w:r>
      <w:r w:rsidRPr="008F6131">
        <w:rPr>
          <w:rFonts w:ascii="Times New Roman" w:hAnsi="Times New Roman" w:cs="Times New Roman"/>
          <w:bCs/>
          <w:sz w:val="24"/>
        </w:rPr>
        <w:tab/>
        <w:t>Podjetja iz člena 8(3) Uredbe (EU) 2019/2033, ki imajo korist od uporabe tega istega člena, razkrijejo informacije o sestavi kapitala v skladu s predlogo EU I CC1.03 in naslednjimi navodili.</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D48E9" w:rsidRPr="008F6131" w14:paraId="09BD04E0" w14:textId="77777777">
        <w:tc>
          <w:tcPr>
            <w:tcW w:w="1129" w:type="dxa"/>
            <w:shd w:val="clear" w:color="auto" w:fill="D9D9D9"/>
          </w:tcPr>
          <w:p w14:paraId="3A02597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Vrstica</w:t>
            </w:r>
          </w:p>
        </w:tc>
        <w:tc>
          <w:tcPr>
            <w:tcW w:w="7620" w:type="dxa"/>
            <w:shd w:val="clear" w:color="auto" w:fill="D9D9D9"/>
          </w:tcPr>
          <w:p w14:paraId="072DF92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 xml:space="preserve">Pravna podlaga in </w:t>
            </w:r>
            <w:r w:rsidRPr="008F6131">
              <w:rPr>
                <w:rFonts w:ascii="Times New Roman" w:hAnsi="Times New Roman" w:cs="Times New Roman"/>
                <w:szCs w:val="22"/>
              </w:rPr>
              <w:t>navodila</w:t>
            </w:r>
          </w:p>
        </w:tc>
      </w:tr>
      <w:tr w:rsidR="001D48E9" w:rsidRPr="008F6131" w14:paraId="795967D3" w14:textId="77777777">
        <w:tc>
          <w:tcPr>
            <w:tcW w:w="1129" w:type="dxa"/>
            <w:vAlign w:val="center"/>
          </w:tcPr>
          <w:p w14:paraId="3370AA7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color w:val="000000"/>
                <w:szCs w:val="22"/>
              </w:rPr>
              <w:t>1</w:t>
            </w:r>
          </w:p>
        </w:tc>
        <w:tc>
          <w:tcPr>
            <w:tcW w:w="7620" w:type="dxa"/>
          </w:tcPr>
          <w:p w14:paraId="04486DB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KAPITAL</w:t>
            </w:r>
          </w:p>
          <w:p w14:paraId="69A5370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023D00E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Kapital investicijskega podjetja sestavlja vsota njegovega temeljnega in dodatnega kapitala.</w:t>
            </w:r>
          </w:p>
        </w:tc>
      </w:tr>
      <w:tr w:rsidR="001D48E9" w:rsidRPr="008F6131" w14:paraId="74BEE289" w14:textId="77777777">
        <w:tc>
          <w:tcPr>
            <w:tcW w:w="1129" w:type="dxa"/>
            <w:vAlign w:val="center"/>
          </w:tcPr>
          <w:p w14:paraId="75F100C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color w:val="000000"/>
                <w:szCs w:val="22"/>
              </w:rPr>
              <w:t>2</w:t>
            </w:r>
          </w:p>
        </w:tc>
        <w:tc>
          <w:tcPr>
            <w:tcW w:w="7620" w:type="dxa"/>
          </w:tcPr>
          <w:p w14:paraId="39B82EF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TEMELJNI KAPITAL</w:t>
            </w:r>
          </w:p>
          <w:p w14:paraId="69EE444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Temeljni kapital je vsota navadnega lastniškega temeljnega kapitala in dodatnega temeljneg</w:t>
            </w:r>
            <w:r w:rsidRPr="008F6131">
              <w:rPr>
                <w:rStyle w:val="FormatvorlageInstructionsTabelleText"/>
                <w:rFonts w:ascii="Times New Roman" w:hAnsi="Times New Roman"/>
                <w:sz w:val="22"/>
                <w:szCs w:val="22"/>
              </w:rPr>
              <w:t>a kapitala.</w:t>
            </w:r>
          </w:p>
        </w:tc>
      </w:tr>
      <w:tr w:rsidR="001D48E9" w:rsidRPr="008F6131" w14:paraId="366A3E4B" w14:textId="77777777">
        <w:tc>
          <w:tcPr>
            <w:tcW w:w="1129" w:type="dxa"/>
            <w:vAlign w:val="center"/>
          </w:tcPr>
          <w:p w14:paraId="5A05942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color w:val="000000"/>
                <w:szCs w:val="22"/>
              </w:rPr>
              <w:t>3</w:t>
            </w:r>
          </w:p>
        </w:tc>
        <w:tc>
          <w:tcPr>
            <w:tcW w:w="7620" w:type="dxa"/>
          </w:tcPr>
          <w:p w14:paraId="2312B700"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InstructionsTabelleberschrift"/>
                <w:rFonts w:ascii="Times New Roman" w:hAnsi="Times New Roman"/>
                <w:sz w:val="22"/>
                <w:szCs w:val="22"/>
              </w:rPr>
              <w:t>NAVADNI LASTNIŠKI TEMELJNI KAPITAL</w:t>
            </w:r>
          </w:p>
          <w:p w14:paraId="2003525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lastRenderedPageBreak/>
              <w:t>Člen 9(1) Uredbe (EU) 2019/2033.</w:t>
            </w:r>
          </w:p>
          <w:p w14:paraId="3A7BB20C" w14:textId="77777777" w:rsidR="001D48E9" w:rsidRPr="008F6131" w:rsidRDefault="008F6131">
            <w:pPr>
              <w:spacing w:after="120"/>
              <w:jc w:val="both"/>
              <w:rPr>
                <w:rFonts w:ascii="Times New Roman" w:eastAsia="Times New Roman" w:hAnsi="Times New Roman" w:cs="Times New Roman"/>
                <w:bCs/>
                <w:szCs w:val="22"/>
              </w:rPr>
            </w:pPr>
            <w:r w:rsidRPr="008F6131">
              <w:rPr>
                <w:rStyle w:val="FormatvorlageInstructionsTabelleText"/>
                <w:rFonts w:ascii="Times New Roman" w:hAnsi="Times New Roman"/>
                <w:sz w:val="22"/>
                <w:szCs w:val="22"/>
              </w:rPr>
              <w:t>Člen 50 Uredbe (EU) št. 575/2013.</w:t>
            </w:r>
          </w:p>
        </w:tc>
      </w:tr>
      <w:tr w:rsidR="001D48E9" w:rsidRPr="008F6131" w14:paraId="31338A30" w14:textId="77777777">
        <w:tc>
          <w:tcPr>
            <w:tcW w:w="1129" w:type="dxa"/>
            <w:vAlign w:val="center"/>
          </w:tcPr>
          <w:p w14:paraId="24E4851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4</w:t>
            </w:r>
          </w:p>
        </w:tc>
        <w:tc>
          <w:tcPr>
            <w:tcW w:w="7620" w:type="dxa"/>
          </w:tcPr>
          <w:p w14:paraId="6DD3500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kapitalski instrumenti</w:t>
            </w:r>
          </w:p>
          <w:p w14:paraId="5EB2C42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B1B3C39"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26(1), točka (a), in členi 27 do 31 Uredbe </w:t>
            </w:r>
            <w:r w:rsidRPr="008F6131">
              <w:rPr>
                <w:rStyle w:val="FormatvorlageInstructionsTabelleText"/>
                <w:rFonts w:ascii="Times New Roman" w:hAnsi="Times New Roman"/>
                <w:sz w:val="22"/>
              </w:rPr>
              <w:t>(EU) št. 575/2013.</w:t>
            </w:r>
          </w:p>
          <w:p w14:paraId="2EE21174"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Vključijo se kapitalski instrumenti vzajemnih, zadružnih ali podobnih institucij (člena 27 in 29 Uredbe (EU) št. 575/2013).</w:t>
            </w:r>
          </w:p>
          <w:p w14:paraId="31C45234"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povezan z instrumenti, se ne vključi.</w:t>
            </w:r>
          </w:p>
          <w:p w14:paraId="53925E2B"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Kapitalski instrumenti, ki jih vpišejo javni or</w:t>
            </w:r>
            <w:r w:rsidRPr="008F6131">
              <w:rPr>
                <w:rStyle w:val="FormatvorlageInstructionsTabelleText"/>
                <w:rFonts w:ascii="Times New Roman" w:hAnsi="Times New Roman"/>
                <w:sz w:val="22"/>
              </w:rPr>
              <w:t>gani v izrednih razmerah, se vključijo, če so izpolnjeni vsi pogoji iz člena 31 Uredbe (EU) št. 575/2013.</w:t>
            </w:r>
          </w:p>
        </w:tc>
      </w:tr>
      <w:tr w:rsidR="001D48E9" w:rsidRPr="008F6131" w14:paraId="2660E5B7" w14:textId="77777777">
        <w:tc>
          <w:tcPr>
            <w:tcW w:w="1129" w:type="dxa"/>
            <w:vAlign w:val="center"/>
          </w:tcPr>
          <w:p w14:paraId="214922D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5</w:t>
            </w:r>
          </w:p>
        </w:tc>
        <w:tc>
          <w:tcPr>
            <w:tcW w:w="7620" w:type="dxa"/>
          </w:tcPr>
          <w:p w14:paraId="0DCB407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497405D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31009CE"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26(1), točka (b), Uredbe (EU) št. 575/2013.</w:t>
            </w:r>
          </w:p>
          <w:p w14:paraId="1954E660"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Vplačani </w:t>
            </w:r>
            <w:r w:rsidRPr="008F6131">
              <w:rPr>
                <w:rStyle w:val="FormatvorlageInstructionsTabelleText"/>
                <w:rFonts w:ascii="Times New Roman" w:hAnsi="Times New Roman"/>
                <w:sz w:val="22"/>
              </w:rPr>
              <w:t>presežek kapitala ima enak pomen kot v skladu z veljavnim računovodskim standardom.</w:t>
            </w:r>
          </w:p>
          <w:p w14:paraId="6916AFB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v okviru te postavke, je del, povezan z „vplačanimi kapitalskimi instrumenti“.</w:t>
            </w:r>
          </w:p>
        </w:tc>
      </w:tr>
      <w:tr w:rsidR="001D48E9" w:rsidRPr="008F6131" w14:paraId="2947449D" w14:textId="77777777">
        <w:tc>
          <w:tcPr>
            <w:tcW w:w="1129" w:type="dxa"/>
            <w:vAlign w:val="center"/>
          </w:tcPr>
          <w:p w14:paraId="6E59613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6</w:t>
            </w:r>
          </w:p>
        </w:tc>
        <w:tc>
          <w:tcPr>
            <w:tcW w:w="7620" w:type="dxa"/>
          </w:tcPr>
          <w:p w14:paraId="75F35C9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Zadržani dobiček</w:t>
            </w:r>
          </w:p>
          <w:p w14:paraId="1434C09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46CD1455" w14:textId="77777777" w:rsidR="001D48E9" w:rsidRPr="008F6131" w:rsidRDefault="008F6131">
            <w:pPr>
              <w:spacing w:after="120"/>
              <w:jc w:val="both"/>
              <w:rPr>
                <w:rFonts w:ascii="Times New Roman" w:eastAsia="Times New Roman" w:hAnsi="Times New Roman" w:cs="Times New Roman"/>
                <w:bCs/>
                <w:szCs w:val="22"/>
              </w:rPr>
            </w:pPr>
            <w:r w:rsidRPr="008F6131">
              <w:rPr>
                <w:rStyle w:val="FormatvorlageInstructionsTabelleText"/>
                <w:rFonts w:ascii="Times New Roman" w:hAnsi="Times New Roman"/>
                <w:sz w:val="22"/>
                <w:szCs w:val="22"/>
              </w:rPr>
              <w:t>Č</w:t>
            </w:r>
            <w:r w:rsidRPr="008F6131">
              <w:rPr>
                <w:rStyle w:val="FormatvorlageInstructionsTabelleText"/>
                <w:rFonts w:ascii="Times New Roman" w:hAnsi="Times New Roman"/>
                <w:sz w:val="22"/>
                <w:szCs w:val="22"/>
              </w:rPr>
              <w:t>len 26(1), točka (c), Uredbe (EU) št. 575/2013.</w:t>
            </w:r>
          </w:p>
          <w:p w14:paraId="4491D28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Zadržani dobiček vključuje zadržani dobiček preteklega leta in priznani dobiček med letom ali čisti dobiček poslovnega leta.</w:t>
            </w:r>
          </w:p>
        </w:tc>
      </w:tr>
      <w:tr w:rsidR="001D48E9" w:rsidRPr="008F6131" w14:paraId="39891374" w14:textId="77777777">
        <w:tc>
          <w:tcPr>
            <w:tcW w:w="1129" w:type="dxa"/>
            <w:vAlign w:val="center"/>
          </w:tcPr>
          <w:p w14:paraId="2E20094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7</w:t>
            </w:r>
          </w:p>
        </w:tc>
        <w:tc>
          <w:tcPr>
            <w:tcW w:w="7620" w:type="dxa"/>
          </w:tcPr>
          <w:p w14:paraId="1E101B1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Zadržani dobiček preteklih let</w:t>
            </w:r>
          </w:p>
          <w:p w14:paraId="6AEC33B2" w14:textId="77777777" w:rsidR="001D48E9" w:rsidRPr="008F6131" w:rsidRDefault="008F6131">
            <w:pPr>
              <w:spacing w:after="120"/>
              <w:jc w:val="both"/>
              <w:rPr>
                <w:rFonts w:ascii="Times New Roman" w:hAnsi="Times New Roman" w:cs="Times New Roman"/>
                <w:szCs w:val="22"/>
              </w:rPr>
            </w:pPr>
            <w:r w:rsidRPr="008F6131">
              <w:rPr>
                <w:rFonts w:ascii="Times New Roman" w:hAnsi="Times New Roman" w:cs="Times New Roman"/>
                <w:szCs w:val="22"/>
              </w:rPr>
              <w:t xml:space="preserve">Člen 4(1), točka 123, in člen 26(1), točka </w:t>
            </w:r>
            <w:r w:rsidRPr="008F6131">
              <w:rPr>
                <w:rFonts w:ascii="Times New Roman" w:hAnsi="Times New Roman" w:cs="Times New Roman"/>
                <w:szCs w:val="22"/>
              </w:rPr>
              <w:t>(c), Uredbe (EU) št. 575/2013.</w:t>
            </w:r>
          </w:p>
          <w:p w14:paraId="0288148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V členu 4(1), točka 123, Uredbe (EU) št. 575/2013 je zadržani dobiček opredeljen kot „prenesen[i] dobičk[i] in izgube, ki izhajajo iz dobičkov ali izgub iz preteklih let, v skladu z veljavnim računovodskim okvirom“.</w:t>
            </w:r>
          </w:p>
        </w:tc>
      </w:tr>
      <w:tr w:rsidR="001D48E9" w:rsidRPr="008F6131" w14:paraId="60C5E6F5" w14:textId="77777777">
        <w:tc>
          <w:tcPr>
            <w:tcW w:w="1129" w:type="dxa"/>
            <w:vAlign w:val="center"/>
          </w:tcPr>
          <w:p w14:paraId="5ABC25C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8</w:t>
            </w:r>
          </w:p>
        </w:tc>
        <w:tc>
          <w:tcPr>
            <w:tcW w:w="7620" w:type="dxa"/>
          </w:tcPr>
          <w:p w14:paraId="7F013B1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Prizna</w:t>
            </w:r>
            <w:r w:rsidRPr="008F6131">
              <w:rPr>
                <w:rFonts w:ascii="Times New Roman" w:hAnsi="Times New Roman" w:cs="Times New Roman"/>
                <w:b/>
                <w:bCs/>
                <w:szCs w:val="22"/>
                <w:u w:val="single"/>
              </w:rPr>
              <w:t>n dobiček ali izguba</w:t>
            </w:r>
          </w:p>
          <w:p w14:paraId="6D441932" w14:textId="77777777" w:rsidR="001D48E9" w:rsidRPr="008F6131" w:rsidRDefault="008F6131">
            <w:pPr>
              <w:spacing w:after="120"/>
              <w:jc w:val="both"/>
              <w:rPr>
                <w:rFonts w:ascii="Times New Roman" w:eastAsia="Times New Roman" w:hAnsi="Times New Roman" w:cs="Times New Roman"/>
                <w:szCs w:val="22"/>
              </w:rPr>
            </w:pPr>
            <w:r w:rsidRPr="008F6131">
              <w:rPr>
                <w:rFonts w:ascii="Times New Roman" w:hAnsi="Times New Roman" w:cs="Times New Roman"/>
                <w:szCs w:val="22"/>
              </w:rPr>
              <w:t>Člen 4(1), točka 121, člen 26(2) in člen 36(1), točka (a), Uredbe (EU) št. 575/2013.</w:t>
            </w:r>
          </w:p>
          <w:p w14:paraId="68879683" w14:textId="77777777" w:rsidR="001D48E9" w:rsidRPr="008F6131" w:rsidRDefault="008F6131">
            <w:pPr>
              <w:spacing w:after="120"/>
              <w:jc w:val="both"/>
              <w:rPr>
                <w:rFonts w:ascii="Times New Roman" w:eastAsia="Times New Roman" w:hAnsi="Times New Roman" w:cs="Times New Roman"/>
                <w:szCs w:val="22"/>
              </w:rPr>
            </w:pPr>
            <w:r w:rsidRPr="008F6131">
              <w:rPr>
                <w:rFonts w:ascii="Times New Roman" w:hAnsi="Times New Roman" w:cs="Times New Roman"/>
                <w:szCs w:val="22"/>
              </w:rPr>
              <w:t>V skladu s členom 26(2) Uredbe (EU) št. 575/2013 se lahko kot zadržani dobički vključijo dobički med letom ali čisti dobički poslovnega leta ob predho</w:t>
            </w:r>
            <w:r w:rsidRPr="008F6131">
              <w:rPr>
                <w:rFonts w:ascii="Times New Roman" w:hAnsi="Times New Roman" w:cs="Times New Roman"/>
                <w:szCs w:val="22"/>
              </w:rPr>
              <w:t>dnem dovoljenju pristojnega organa, če so izpolnjeni določeni pogoji.</w:t>
            </w:r>
          </w:p>
          <w:p w14:paraId="34A6097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Obratno se v skladu s členom 36(1), točka (a), Uredbe (EU) št. 575/2013 od navadnega lastniškega temeljnega kapitala odbijejo izgube.</w:t>
            </w:r>
          </w:p>
        </w:tc>
      </w:tr>
      <w:tr w:rsidR="001D48E9" w:rsidRPr="008F6131" w14:paraId="4C30650B" w14:textId="77777777">
        <w:tc>
          <w:tcPr>
            <w:tcW w:w="1129" w:type="dxa"/>
            <w:vAlign w:val="center"/>
          </w:tcPr>
          <w:p w14:paraId="233A1ED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9</w:t>
            </w:r>
          </w:p>
        </w:tc>
        <w:tc>
          <w:tcPr>
            <w:tcW w:w="7620" w:type="dxa"/>
          </w:tcPr>
          <w:p w14:paraId="07BE162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Akumulirani drugi vseobsegajoči donos</w:t>
            </w:r>
          </w:p>
          <w:p w14:paraId="22643C7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w:t>
            </w:r>
            <w:r w:rsidRPr="008F6131">
              <w:rPr>
                <w:rFonts w:ascii="Times New Roman" w:hAnsi="Times New Roman" w:cs="Times New Roman"/>
                <w:bCs/>
                <w:szCs w:val="22"/>
              </w:rPr>
              <w:t>9(1), točka (i), Uredbe (EU) št. 2019/2033.</w:t>
            </w:r>
          </w:p>
          <w:p w14:paraId="7A7095D1" w14:textId="77777777" w:rsidR="001D48E9" w:rsidRPr="008F6131" w:rsidRDefault="008F6131">
            <w:pPr>
              <w:spacing w:after="120"/>
              <w:jc w:val="both"/>
              <w:rPr>
                <w:rFonts w:ascii="Times New Roman" w:hAnsi="Times New Roman" w:cs="Times New Roman"/>
                <w:bCs/>
                <w:szCs w:val="22"/>
              </w:rPr>
            </w:pPr>
            <w:r w:rsidRPr="008F6131">
              <w:rPr>
                <w:rStyle w:val="FormatvorlageInstructionsTabelleText"/>
                <w:rFonts w:ascii="Times New Roman" w:hAnsi="Times New Roman"/>
                <w:sz w:val="22"/>
                <w:szCs w:val="22"/>
              </w:rPr>
              <w:t>Člen 26(1), točka (d), Uredbe (EU) št. 575/2013.</w:t>
            </w:r>
          </w:p>
        </w:tc>
      </w:tr>
      <w:tr w:rsidR="001D48E9" w:rsidRPr="008F6131" w14:paraId="704646A1" w14:textId="77777777">
        <w:tc>
          <w:tcPr>
            <w:tcW w:w="1129" w:type="dxa"/>
            <w:vAlign w:val="center"/>
          </w:tcPr>
          <w:p w14:paraId="77A1230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10</w:t>
            </w:r>
          </w:p>
        </w:tc>
        <w:tc>
          <w:tcPr>
            <w:tcW w:w="7620" w:type="dxa"/>
          </w:tcPr>
          <w:p w14:paraId="7BCA6B3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Druge rezerve</w:t>
            </w:r>
          </w:p>
          <w:p w14:paraId="1F7FC72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04087A4B"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4(1), točka 117, in člen 26(1), točka (e), Uredbe (EU) št. 575/2013.</w:t>
            </w:r>
          </w:p>
          <w:p w14:paraId="54482F2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lastRenderedPageBreak/>
              <w:t>Znesek, ki se razkrije</w:t>
            </w:r>
            <w:r w:rsidRPr="008F6131">
              <w:rPr>
                <w:rStyle w:val="FormatvorlageInstructionsTabelleText"/>
                <w:rFonts w:ascii="Times New Roman" w:hAnsi="Times New Roman"/>
                <w:sz w:val="22"/>
                <w:szCs w:val="22"/>
              </w:rPr>
              <w:t>, ne vključuje davčnih obremenitev, predvidljivih v času izračuna.</w:t>
            </w:r>
          </w:p>
        </w:tc>
      </w:tr>
      <w:tr w:rsidR="001D48E9" w:rsidRPr="008F6131" w14:paraId="370CF400" w14:textId="77777777">
        <w:tc>
          <w:tcPr>
            <w:tcW w:w="1129" w:type="dxa"/>
            <w:vAlign w:val="center"/>
          </w:tcPr>
          <w:p w14:paraId="53108FAA"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lastRenderedPageBreak/>
              <w:t>11</w:t>
            </w:r>
          </w:p>
        </w:tc>
        <w:tc>
          <w:tcPr>
            <w:tcW w:w="7620" w:type="dxa"/>
          </w:tcPr>
          <w:p w14:paraId="3D644C4B"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Prilagoditve navadnega lastniškega temeljnega kapitala zaradi bonitetnih filtrov</w:t>
            </w:r>
          </w:p>
          <w:p w14:paraId="4BCFA36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77BD5FB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Členi 32 do 35 Uredbe (EU) št. 575/2013.</w:t>
            </w:r>
          </w:p>
        </w:tc>
      </w:tr>
      <w:tr w:rsidR="001D48E9" w:rsidRPr="008F6131" w14:paraId="6B1A851C" w14:textId="77777777">
        <w:tc>
          <w:tcPr>
            <w:tcW w:w="1129" w:type="dxa"/>
            <w:vAlign w:val="center"/>
          </w:tcPr>
          <w:p w14:paraId="06F970A8" w14:textId="77777777" w:rsidR="001D48E9" w:rsidRPr="008F6131" w:rsidRDefault="008F6131">
            <w:pPr>
              <w:spacing w:after="120"/>
              <w:jc w:val="both"/>
              <w:rPr>
                <w:rFonts w:ascii="Times New Roman" w:hAnsi="Times New Roman" w:cs="Times New Roman"/>
                <w:color w:val="000000"/>
                <w:szCs w:val="22"/>
              </w:rPr>
            </w:pPr>
            <w:r w:rsidRPr="008F6131">
              <w:rPr>
                <w:rFonts w:ascii="Times New Roman" w:hAnsi="Times New Roman" w:cs="Times New Roman"/>
                <w:color w:val="000000"/>
                <w:szCs w:val="22"/>
              </w:rPr>
              <w:t>12</w:t>
            </w:r>
          </w:p>
        </w:tc>
        <w:tc>
          <w:tcPr>
            <w:tcW w:w="7620" w:type="dxa"/>
          </w:tcPr>
          <w:p w14:paraId="2A63898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Druga </w:t>
            </w:r>
            <w:r w:rsidRPr="008F6131">
              <w:rPr>
                <w:rFonts w:ascii="Times New Roman" w:hAnsi="Times New Roman" w:cs="Times New Roman"/>
                <w:b/>
                <w:bCs/>
                <w:szCs w:val="22"/>
                <w:u w:val="single"/>
              </w:rPr>
              <w:t>sredstva</w:t>
            </w:r>
          </w:p>
          <w:p w14:paraId="47A048E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9(4) Uredbe (EU) 2019/2033.</w:t>
            </w:r>
          </w:p>
        </w:tc>
      </w:tr>
      <w:tr w:rsidR="001D48E9" w:rsidRPr="008F6131" w14:paraId="183F4057" w14:textId="77777777">
        <w:tc>
          <w:tcPr>
            <w:tcW w:w="1129" w:type="dxa"/>
            <w:vAlign w:val="center"/>
          </w:tcPr>
          <w:p w14:paraId="73717B4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13</w:t>
            </w:r>
          </w:p>
        </w:tc>
        <w:tc>
          <w:tcPr>
            <w:tcW w:w="7620" w:type="dxa"/>
          </w:tcPr>
          <w:p w14:paraId="6393599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NAVADNEGA LASTNIŠKEGA TEMELJNEGA KAPITALA</w:t>
            </w:r>
          </w:p>
          <w:p w14:paraId="26E0C70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 14 do 23.</w:t>
            </w:r>
          </w:p>
        </w:tc>
      </w:tr>
      <w:tr w:rsidR="001D48E9" w:rsidRPr="008F6131" w14:paraId="3EDB1891" w14:textId="77777777">
        <w:tc>
          <w:tcPr>
            <w:tcW w:w="1129" w:type="dxa"/>
            <w:vAlign w:val="center"/>
          </w:tcPr>
          <w:p w14:paraId="4D940E5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14</w:t>
            </w:r>
          </w:p>
        </w:tc>
        <w:tc>
          <w:tcPr>
            <w:tcW w:w="7620" w:type="dxa"/>
            <w:shd w:val="clear" w:color="auto" w:fill="auto"/>
          </w:tcPr>
          <w:p w14:paraId="43F6028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Lastni instrumenti navadnega lastniškega temeljnega kapitala</w:t>
            </w:r>
          </w:p>
          <w:p w14:paraId="4FCCE63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02A8A3A7"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36(1), točka (f), in člen 42 Uredbe (EU) št. 575/2013.</w:t>
            </w:r>
          </w:p>
          <w:p w14:paraId="1A9ADEB7"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Lasten navadni lastniški temeljni kapital, ki ga ima institucija ali skupina poročevalka na datum poročanja. Veljajo izjeme iz člena 42 Uredbe (EU) št. 575/2013.</w:t>
            </w:r>
          </w:p>
          <w:p w14:paraId="425EC9EE"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Delež v delnicah, v</w:t>
            </w:r>
            <w:r w:rsidRPr="008F6131">
              <w:rPr>
                <w:rStyle w:val="FormatvorlageInstructionsTabelleText"/>
                <w:rFonts w:ascii="Times New Roman" w:hAnsi="Times New Roman"/>
                <w:sz w:val="22"/>
              </w:rPr>
              <w:t>ključen v „kapitalske instrumente, ki niso sprejemljivi“, se ne poroča v tej vrstici.</w:t>
            </w:r>
          </w:p>
          <w:p w14:paraId="497589D3"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Znesek, ki se razkrije, vključuje presežek kapitala, povezan z lastnimi delnicami.</w:t>
            </w:r>
          </w:p>
          <w:p w14:paraId="3D353FBD" w14:textId="77777777" w:rsidR="001D48E9" w:rsidRPr="008F6131" w:rsidRDefault="001D48E9">
            <w:pPr>
              <w:pStyle w:val="InstructionsText"/>
              <w:rPr>
                <w:rFonts w:cs="Times New Roman"/>
              </w:rPr>
            </w:pPr>
          </w:p>
        </w:tc>
      </w:tr>
      <w:tr w:rsidR="001D48E9" w:rsidRPr="008F6131" w14:paraId="66740196" w14:textId="77777777">
        <w:tc>
          <w:tcPr>
            <w:tcW w:w="1129" w:type="dxa"/>
            <w:vAlign w:val="center"/>
          </w:tcPr>
          <w:p w14:paraId="764A438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0D452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Izgube tekočega poslovnega leta</w:t>
            </w:r>
          </w:p>
          <w:p w14:paraId="0A2271C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 xml:space="preserve">Člen 36(1)(a) Uredbe (EU) </w:t>
            </w:r>
            <w:r w:rsidRPr="008F6131">
              <w:rPr>
                <w:rFonts w:ascii="Times New Roman" w:hAnsi="Times New Roman" w:cs="Times New Roman"/>
                <w:szCs w:val="22"/>
              </w:rPr>
              <w:t>št. 575/2013.</w:t>
            </w:r>
          </w:p>
        </w:tc>
      </w:tr>
      <w:tr w:rsidR="001D48E9" w:rsidRPr="008F6131" w14:paraId="23D60C03" w14:textId="77777777">
        <w:tc>
          <w:tcPr>
            <w:tcW w:w="1129" w:type="dxa"/>
            <w:vAlign w:val="center"/>
          </w:tcPr>
          <w:p w14:paraId="0B6DC1F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B6FED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Dobro ime</w:t>
            </w:r>
          </w:p>
          <w:p w14:paraId="635B5D5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4318A74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Člen 4(1), točka 113, člen 36(1), točka (b), in člen 37 Uredbe (EU) št. 575/2013.</w:t>
            </w:r>
          </w:p>
        </w:tc>
      </w:tr>
      <w:tr w:rsidR="001D48E9" w:rsidRPr="008F6131" w14:paraId="3B662F5B" w14:textId="77777777">
        <w:tc>
          <w:tcPr>
            <w:tcW w:w="1129" w:type="dxa"/>
            <w:vAlign w:val="center"/>
          </w:tcPr>
          <w:p w14:paraId="659791E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C60BD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Druga neopredmetena sredstva</w:t>
            </w:r>
          </w:p>
          <w:p w14:paraId="02C0E950"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3DC34A01"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Člen 4(1), točka 115, člen 36(1), točka (b), in člen 37, točka (a), Uredbe (EU) št. 575/2013.</w:t>
            </w:r>
          </w:p>
          <w:p w14:paraId="07FACBB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Druga neopredmetena sredstva so neopredmetena sredstva v skladu z veljavnim računovodskim standardom, pri čemer se ne upošteva dobro ime, prav tako</w:t>
            </w:r>
            <w:r w:rsidRPr="008F6131">
              <w:rPr>
                <w:rStyle w:val="FormatvorlageInstructionsTabelleText"/>
                <w:rFonts w:ascii="Times New Roman" w:hAnsi="Times New Roman"/>
                <w:sz w:val="22"/>
                <w:szCs w:val="22"/>
              </w:rPr>
              <w:t xml:space="preserve"> v skladu z veljavnim računovodskim standardom.</w:t>
            </w:r>
          </w:p>
        </w:tc>
      </w:tr>
      <w:tr w:rsidR="001D48E9" w:rsidRPr="008F6131" w14:paraId="5E8BB86E" w14:textId="77777777">
        <w:tc>
          <w:tcPr>
            <w:tcW w:w="1129" w:type="dxa"/>
            <w:vAlign w:val="center"/>
          </w:tcPr>
          <w:p w14:paraId="5A3383E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5850E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Odložene terjatve za davek, ki se nanašajo na prihodnji dobiček in ne izhajajo iz začasnih razlik, zmanjšane za povezane obveznosti za davek</w:t>
            </w:r>
          </w:p>
          <w:p w14:paraId="282527F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9(2)(a) Uredbe (EU) št. 2019/2033.</w:t>
            </w:r>
          </w:p>
          <w:p w14:paraId="347A9AA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w:t>
            </w:r>
            <w:r w:rsidRPr="008F6131">
              <w:rPr>
                <w:rFonts w:ascii="Times New Roman" w:hAnsi="Times New Roman" w:cs="Times New Roman"/>
                <w:bCs/>
                <w:szCs w:val="22"/>
              </w:rPr>
              <w:t>c), Uredbe (EU) št. 575/2013.</w:t>
            </w:r>
          </w:p>
        </w:tc>
      </w:tr>
      <w:tr w:rsidR="001D48E9" w:rsidRPr="008F6131" w14:paraId="50C8B46B" w14:textId="77777777">
        <w:tc>
          <w:tcPr>
            <w:tcW w:w="1129" w:type="dxa"/>
            <w:vAlign w:val="center"/>
          </w:tcPr>
          <w:p w14:paraId="312F43E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4CDCFD"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Kvalificiran delež izven finančnega sektorja, ki presega 15 % kapitala investicijskega podjetja</w:t>
            </w:r>
          </w:p>
          <w:p w14:paraId="08C6E19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10(1)(a) Uredbe (EU) št. 2019/2033.</w:t>
            </w:r>
          </w:p>
        </w:tc>
      </w:tr>
      <w:tr w:rsidR="001D48E9" w:rsidRPr="008F6131" w14:paraId="2C81768A" w14:textId="77777777">
        <w:tc>
          <w:tcPr>
            <w:tcW w:w="1129" w:type="dxa"/>
            <w:vAlign w:val="center"/>
          </w:tcPr>
          <w:p w14:paraId="3EBE5BE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D9013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Skupaj kvalificirani deleži v podjetjih, ki niso subjekti </w:t>
            </w:r>
            <w:r w:rsidRPr="008F6131">
              <w:rPr>
                <w:rFonts w:ascii="Times New Roman" w:hAnsi="Times New Roman" w:cs="Times New Roman"/>
                <w:b/>
                <w:bCs/>
                <w:szCs w:val="22"/>
                <w:u w:val="single"/>
              </w:rPr>
              <w:t>finančnega sektorja, ki presega 60 % kapitala podjetja</w:t>
            </w:r>
          </w:p>
          <w:p w14:paraId="4B0F7ED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lastRenderedPageBreak/>
              <w:t>Člen 10(1), točka (b), Uredbe (EU) št. 2019/2033.</w:t>
            </w:r>
          </w:p>
        </w:tc>
      </w:tr>
      <w:tr w:rsidR="001D48E9" w:rsidRPr="008F6131" w14:paraId="6BA01F6E" w14:textId="77777777">
        <w:tc>
          <w:tcPr>
            <w:tcW w:w="1129" w:type="dxa"/>
            <w:vAlign w:val="center"/>
          </w:tcPr>
          <w:p w14:paraId="7DAD58B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lastRenderedPageBreak/>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310A0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navadnega lastniškega temeljnega kapitala subjektov finančnega sektorja, v katerih institucija nima pomembne naložbe</w:t>
            </w:r>
          </w:p>
          <w:p w14:paraId="3A5A3BCE"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w:t>
            </w:r>
            <w:r w:rsidRPr="008F6131">
              <w:rPr>
                <w:rFonts w:ascii="Times New Roman" w:hAnsi="Times New Roman" w:cs="Times New Roman"/>
                <w:bCs/>
                <w:szCs w:val="22"/>
              </w:rPr>
              <w:t>ka (c), Uredbe (EU) 2019/2033.</w:t>
            </w:r>
          </w:p>
          <w:p w14:paraId="32B52D85"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(h), Uredbe (EU) št. 575/2013.</w:t>
            </w:r>
          </w:p>
        </w:tc>
      </w:tr>
      <w:tr w:rsidR="001D48E9" w:rsidRPr="008F6131" w14:paraId="3A86BE6F" w14:textId="77777777">
        <w:tc>
          <w:tcPr>
            <w:tcW w:w="1129" w:type="dxa"/>
            <w:vAlign w:val="center"/>
          </w:tcPr>
          <w:p w14:paraId="78E2B02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8D99D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Sredstva pokojninskega sklada z določenimi pravicami</w:t>
            </w:r>
          </w:p>
          <w:p w14:paraId="7254CCA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(b), Uredbe (EU) št. 2019/2033.</w:t>
            </w:r>
          </w:p>
          <w:p w14:paraId="3A3C68A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36(1), točka (e), Uredbe (EU) št. 575/2013.</w:t>
            </w:r>
          </w:p>
        </w:tc>
      </w:tr>
      <w:tr w:rsidR="001D48E9" w:rsidRPr="008F6131" w14:paraId="1C5D0218" w14:textId="77777777">
        <w:tc>
          <w:tcPr>
            <w:tcW w:w="1129" w:type="dxa"/>
            <w:vAlign w:val="center"/>
          </w:tcPr>
          <w:p w14:paraId="5E4468E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79A28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xml:space="preserve">(–) </w:t>
            </w:r>
            <w:r w:rsidRPr="008F6131">
              <w:rPr>
                <w:rFonts w:ascii="Times New Roman" w:hAnsi="Times New Roman" w:cs="Times New Roman"/>
                <w:b/>
                <w:bCs/>
                <w:szCs w:val="22"/>
                <w:u w:val="single"/>
              </w:rPr>
              <w:t>Drugi odbitki</w:t>
            </w:r>
          </w:p>
          <w:p w14:paraId="325C5CB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szCs w:val="22"/>
              </w:rPr>
              <w:t>Vsota vseh drugih odbitkov iz člena 36(1) Uredbe (EU) št. 575/2013.</w:t>
            </w:r>
          </w:p>
        </w:tc>
      </w:tr>
      <w:tr w:rsidR="001D48E9" w:rsidRPr="008F6131" w14:paraId="508C0699" w14:textId="77777777">
        <w:tc>
          <w:tcPr>
            <w:tcW w:w="1129" w:type="dxa"/>
          </w:tcPr>
          <w:p w14:paraId="3726012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806769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Navadni lastniški temeljni kapital: drugi elementi, odbitki in prilagoditve kapitala</w:t>
            </w:r>
          </w:p>
          <w:p w14:paraId="3AFF688D"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735AB4D3"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w:t>
            </w:r>
            <w:r w:rsidRPr="008F6131">
              <w:rPr>
                <w:rFonts w:ascii="Times New Roman" w:hAnsi="Times New Roman"/>
                <w:bCs/>
              </w:rPr>
              <w:t>prilagoditev zaradi instrumentov navadnega lastniškega temeljnega kapitala, za katere se uporabljajo predhodna pravila (člen 483, odstavki 1, 2 in 3, ter členi 484 do 487 Uredbe (EU) št. 575/2013),</w:t>
            </w:r>
          </w:p>
          <w:p w14:paraId="79D7E70E"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prilagoditev navadnega lastniškega teme</w:t>
            </w:r>
            <w:r w:rsidRPr="008F6131">
              <w:rPr>
                <w:rFonts w:ascii="Times New Roman" w:hAnsi="Times New Roman"/>
                <w:bCs/>
              </w:rPr>
              <w:t>ljnega kapitala (členi 469 do 478 in 481 Uredbe (EU) št. 575/2013), prilagoditev odbitkov od navadnega lastniškega temeljnega kapitala zaradi prehodnih določb,</w:t>
            </w:r>
          </w:p>
          <w:p w14:paraId="6AC7ED35" w14:textId="77777777" w:rsidR="001D48E9" w:rsidRPr="008F6131" w:rsidRDefault="008F6131">
            <w:pPr>
              <w:spacing w:after="120"/>
              <w:ind w:left="360" w:hanging="360"/>
              <w:contextualSpacing/>
              <w:jc w:val="both"/>
              <w:rPr>
                <w:rFonts w:ascii="Times New Roman" w:eastAsia="Times New Roman" w:hAnsi="Times New Roman"/>
                <w:b/>
                <w:bCs/>
                <w:u w:val="single"/>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drugih elementov navadnega lastniškega temeljnega kapitala ali odbitkov od elementa navadnega </w:t>
            </w:r>
            <w:r w:rsidRPr="008F6131">
              <w:rPr>
                <w:rFonts w:ascii="Times New Roman" w:hAnsi="Times New Roman"/>
                <w:bCs/>
              </w:rPr>
              <w:t>lastniškega temeljnega kapitala, ki se ne morejo razvrstiti v eno od vrstic 4 do 23.</w:t>
            </w:r>
          </w:p>
          <w:p w14:paraId="12E4047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Ta vrstica se ne uporabi za vključitev kapitalskih postavk ali odbitkov, ki v skladu z Uredbo (EU) 2019/2033 ali Uredbo (EU) št. 575/2013 niso zajeti v izračun količnikov </w:t>
            </w:r>
            <w:r w:rsidRPr="008F6131">
              <w:rPr>
                <w:rFonts w:ascii="Times New Roman" w:hAnsi="Times New Roman" w:cs="Times New Roman"/>
                <w:bCs/>
                <w:szCs w:val="22"/>
              </w:rPr>
              <w:t>kapitalske ustreznosti.</w:t>
            </w:r>
          </w:p>
        </w:tc>
      </w:tr>
      <w:tr w:rsidR="001D48E9" w:rsidRPr="008F6131" w14:paraId="438DDA4F" w14:textId="77777777">
        <w:tc>
          <w:tcPr>
            <w:tcW w:w="1129" w:type="dxa"/>
          </w:tcPr>
          <w:p w14:paraId="26E5EC5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DA9318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TEMELJNI KAPITAL</w:t>
            </w:r>
          </w:p>
          <w:p w14:paraId="3EDEEDE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09597E2E" w14:textId="77777777" w:rsidR="001D48E9" w:rsidRPr="008F6131" w:rsidRDefault="008F6131">
            <w:pPr>
              <w:spacing w:after="120"/>
              <w:jc w:val="both"/>
              <w:rPr>
                <w:rFonts w:ascii="Times New Roman" w:hAnsi="Times New Roman" w:cs="Times New Roman"/>
                <w:szCs w:val="22"/>
              </w:rPr>
            </w:pPr>
            <w:r w:rsidRPr="008F6131">
              <w:rPr>
                <w:rFonts w:ascii="Times New Roman" w:hAnsi="Times New Roman" w:cs="Times New Roman"/>
                <w:szCs w:val="22"/>
              </w:rPr>
              <w:t>Člen 61 Uredbe (EU) št. 575/2013.</w:t>
            </w:r>
          </w:p>
          <w:p w14:paraId="494A543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Razkrije se vsota vrstic 26 do 28 in vrstice 32.</w:t>
            </w:r>
          </w:p>
        </w:tc>
      </w:tr>
      <w:tr w:rsidR="001D48E9" w:rsidRPr="008F6131" w14:paraId="18F5E093" w14:textId="77777777">
        <w:tc>
          <w:tcPr>
            <w:tcW w:w="1129" w:type="dxa"/>
          </w:tcPr>
          <w:p w14:paraId="33FCED1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20E79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kapitalski instrumenti</w:t>
            </w:r>
          </w:p>
          <w:p w14:paraId="4E609FCF"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6BDFA4E2"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51, točka (a), in členi 52, 53 ter 54 Uredbe (EU) št. 575/2013.</w:t>
            </w:r>
          </w:p>
          <w:p w14:paraId="7DC56663"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vplačanega presežka kapitala, povezanega z instrumenti.</w:t>
            </w:r>
          </w:p>
        </w:tc>
      </w:tr>
      <w:tr w:rsidR="001D48E9" w:rsidRPr="008F6131" w14:paraId="28297DC8" w14:textId="77777777">
        <w:tc>
          <w:tcPr>
            <w:tcW w:w="1129" w:type="dxa"/>
          </w:tcPr>
          <w:p w14:paraId="2BB51D94"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3C76C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50A4A899"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(i), Uredbe (EU) </w:t>
            </w:r>
            <w:r w:rsidRPr="008F6131">
              <w:rPr>
                <w:rFonts w:ascii="Times New Roman" w:hAnsi="Times New Roman" w:cs="Times New Roman"/>
                <w:bCs/>
                <w:szCs w:val="22"/>
              </w:rPr>
              <w:t>št. 2019/2033.</w:t>
            </w:r>
          </w:p>
          <w:p w14:paraId="57E4D14B"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51, točka (b), Uredbe (EU) št. 575/2013.</w:t>
            </w:r>
          </w:p>
          <w:p w14:paraId="003E10AD"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68127BE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v okviru te postavke, je del, povezan z „vplačanimi kapitalskimi instrumenti“.</w:t>
            </w:r>
          </w:p>
        </w:tc>
      </w:tr>
      <w:tr w:rsidR="001D48E9" w:rsidRPr="008F6131" w14:paraId="4E344F23" w14:textId="77777777">
        <w:tc>
          <w:tcPr>
            <w:tcW w:w="1129" w:type="dxa"/>
          </w:tcPr>
          <w:p w14:paraId="5ACB307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lastRenderedPageBreak/>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0FBBD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DODATNEGA TEMELJNEGA KAPITALA</w:t>
            </w:r>
          </w:p>
          <w:p w14:paraId="36A538A9" w14:textId="77777777" w:rsidR="001D48E9" w:rsidRPr="008F6131" w:rsidRDefault="008F6131">
            <w:pPr>
              <w:spacing w:before="60" w:after="60"/>
              <w:rPr>
                <w:rFonts w:ascii="Times New Roman" w:hAnsi="Times New Roman" w:cs="Times New Roman"/>
                <w:szCs w:val="22"/>
              </w:rPr>
            </w:pPr>
            <w:r w:rsidRPr="008F6131">
              <w:rPr>
                <w:rFonts w:ascii="Times New Roman" w:hAnsi="Times New Roman" w:cs="Times New Roman"/>
                <w:szCs w:val="22"/>
              </w:rPr>
              <w:t>Člen 56 Uredbe (EU) št. 575/2013.</w:t>
            </w:r>
          </w:p>
          <w:p w14:paraId="7B7B8F4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Razkrije se vsota vrstic 29 do 31.</w:t>
            </w:r>
          </w:p>
        </w:tc>
      </w:tr>
      <w:tr w:rsidR="001D48E9" w:rsidRPr="008F6131" w14:paraId="376388E5" w14:textId="77777777">
        <w:tc>
          <w:tcPr>
            <w:tcW w:w="1129" w:type="dxa"/>
          </w:tcPr>
          <w:p w14:paraId="47CCE255"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13B0F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Lastni instrumenti dodatnega temeljnega kapitala</w:t>
            </w:r>
          </w:p>
          <w:p w14:paraId="0077F42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14DD6304"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 xml:space="preserve">Člen 52(1), točka </w:t>
            </w:r>
            <w:r w:rsidRPr="008F6131">
              <w:rPr>
                <w:rStyle w:val="FormatvorlageInstructionsTabelleText"/>
                <w:rFonts w:ascii="Times New Roman" w:hAnsi="Times New Roman"/>
                <w:sz w:val="22"/>
              </w:rPr>
              <w:t>(b), člen 56, točka (a), in člen 57 Uredbe (EU) št. 575/2013.</w:t>
            </w:r>
          </w:p>
          <w:p w14:paraId="0C2C5FCF"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Lastni instrumenti dodatnega temeljnega kapitala, ki jih ima investicijsko podjetje na datum poročanja. Veljajo izjeme iz člena 57 Uredbe (EU) št. 575/2013.</w:t>
            </w:r>
          </w:p>
          <w:p w14:paraId="1D642E87"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Znesek, ki se razkrije, vključuje pre</w:t>
            </w:r>
            <w:r w:rsidRPr="008F6131">
              <w:rPr>
                <w:rStyle w:val="FormatvorlageInstructionsTabelleText"/>
                <w:rFonts w:ascii="Times New Roman" w:hAnsi="Times New Roman"/>
                <w:sz w:val="22"/>
              </w:rPr>
              <w:t>sežek kapitala, povezan z lastnimi delnicami.</w:t>
            </w:r>
          </w:p>
          <w:p w14:paraId="2759B438" w14:textId="77777777" w:rsidR="001D48E9" w:rsidRPr="008F6131" w:rsidRDefault="001D48E9">
            <w:pPr>
              <w:pStyle w:val="InstructionsText"/>
              <w:rPr>
                <w:rFonts w:cs="Times New Roman"/>
              </w:rPr>
            </w:pPr>
          </w:p>
        </w:tc>
      </w:tr>
      <w:tr w:rsidR="001D48E9" w:rsidRPr="008F6131" w14:paraId="4B381DA6" w14:textId="77777777">
        <w:tc>
          <w:tcPr>
            <w:tcW w:w="1129" w:type="dxa"/>
          </w:tcPr>
          <w:p w14:paraId="0087926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07FCB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dodatnega temeljnega kapitala subjektov finančnega sektorja, v katerih institucija nima pomembne naložbe</w:t>
            </w:r>
          </w:p>
          <w:p w14:paraId="0976D206"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 Uredbe (EU) 2019/2033.</w:t>
            </w:r>
          </w:p>
          <w:p w14:paraId="2E63F19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Člen 56, točka (c), Uredbe (EU) </w:t>
            </w:r>
            <w:r w:rsidRPr="008F6131">
              <w:rPr>
                <w:rFonts w:ascii="Times New Roman" w:hAnsi="Times New Roman" w:cs="Times New Roman"/>
                <w:bCs/>
                <w:szCs w:val="22"/>
              </w:rPr>
              <w:t>št. 575/2013.</w:t>
            </w:r>
          </w:p>
        </w:tc>
      </w:tr>
      <w:tr w:rsidR="001D48E9" w:rsidRPr="008F6131" w14:paraId="2981B423" w14:textId="77777777">
        <w:tc>
          <w:tcPr>
            <w:tcW w:w="1129" w:type="dxa"/>
          </w:tcPr>
          <w:p w14:paraId="42D6437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0E63399"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Drugi odbitki</w:t>
            </w:r>
          </w:p>
          <w:p w14:paraId="0A563D7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Vsota vseh drugih odbitkov v skladu s členom 56 Uredbe (EU) št. 575/2013, z izjemo odbitkov v skladu s členom 56, točka (d), Uredbe (EU) št. 575/2013, ki niso vključeni v nobeno od vrstic 0340 ali 0380 zgoraj.</w:t>
            </w:r>
          </w:p>
        </w:tc>
      </w:tr>
      <w:tr w:rsidR="001D48E9" w:rsidRPr="008F6131" w14:paraId="256EE60E" w14:textId="77777777">
        <w:tc>
          <w:tcPr>
            <w:tcW w:w="1129" w:type="dxa"/>
          </w:tcPr>
          <w:p w14:paraId="6FE8606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0C655E2"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temeljni kapital: drugi elementi, odbitki in prilagoditve kapitala</w:t>
            </w:r>
          </w:p>
          <w:p w14:paraId="13D9A7A1"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20008DE1"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prehodnih prilagoditev zaradi instrumentov dodatnega temeljnega kapitala, za katere se uporabljajo predhodna pravi</w:t>
            </w:r>
            <w:r w:rsidRPr="008F6131">
              <w:rPr>
                <w:rFonts w:ascii="Times New Roman" w:hAnsi="Times New Roman"/>
                <w:bCs/>
              </w:rPr>
              <w:t>la (člen 483, odstavka 4 in 5, členi 484 do 487 ter člena 489 in 491 Uredbe (EU) št. 575/2013),</w:t>
            </w:r>
          </w:p>
          <w:p w14:paraId="504FA1AA"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prilagoditev dodatnega temeljnega kapitala (členi 472, 473a, 474, 475, 478 in 481 Uredbe (EU) št. 575/2013): prilagoditve odbitkov zaradi pre</w:t>
            </w:r>
            <w:r w:rsidRPr="008F6131">
              <w:rPr>
                <w:rFonts w:ascii="Times New Roman" w:hAnsi="Times New Roman"/>
                <w:bCs/>
              </w:rPr>
              <w:t>hodnih določb,</w:t>
            </w:r>
          </w:p>
          <w:p w14:paraId="19F9E80D"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presežka odbitka od postavk dodatnega temeljnega kapitala nad dodatnim temeljnim kapitalom, odbitega od navadnega lastniškega temeljnega kapitala v skladu s členom 36(1), točka (j), Uredbe (EU) št. 575/2013: dodatni temeljni kapital ne mor</w:t>
            </w:r>
            <w:r w:rsidRPr="008F6131">
              <w:rPr>
                <w:rFonts w:ascii="Times New Roman" w:hAnsi="Times New Roman"/>
                <w:bCs/>
              </w:rPr>
              <w:t xml:space="preserve">e biti negativen, vendar je mogoče, da odbitki od postavk dodatnega temeljnega kapitala presegajo znesek razpoložljivih postavk dodatnega temeljnega kapitala. kadar pride do tega, ta postavka predstavlja znesek, potreben za povečanje zneska, sporočenega v </w:t>
            </w:r>
            <w:r w:rsidRPr="008F6131">
              <w:rPr>
                <w:rFonts w:ascii="Times New Roman" w:hAnsi="Times New Roman"/>
                <w:bCs/>
              </w:rPr>
              <w:t>vrstici 0300, na nič, in je enaka obratni vrednosti presežka odbitkov od postavk dodatnega temeljnega kapitala nad postavkami dodatnega temeljnega kapitala, ki je vključen med druge odbitke v vrstici 23,</w:t>
            </w:r>
          </w:p>
          <w:p w14:paraId="234806C7"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temeljnega kapitala ali</w:t>
            </w:r>
            <w:r w:rsidRPr="008F6131">
              <w:rPr>
                <w:rFonts w:ascii="Times New Roman" w:hAnsi="Times New Roman"/>
                <w:bCs/>
              </w:rPr>
              <w:t xml:space="preserve"> odbitkov od elementa dodatnega temeljnega kapitala, ki se ne morejo razvrstiti v eno od vrstic 26 do 31.</w:t>
            </w:r>
          </w:p>
          <w:p w14:paraId="1D38C1C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 xml:space="preserve">Ta vrstica se ne uporabi za vključitev kapitalskih postavk ali odbitkov, ki v skladu z Uredbo (EU) 2019/2033 ali Uredbo (EU) št. 575/2013 niso zajeti </w:t>
            </w:r>
            <w:r w:rsidRPr="008F6131">
              <w:rPr>
                <w:rFonts w:ascii="Times New Roman" w:hAnsi="Times New Roman" w:cs="Times New Roman"/>
                <w:bCs/>
                <w:szCs w:val="22"/>
              </w:rPr>
              <w:t>v izračun količnikov kapitalske ustreznosti.</w:t>
            </w:r>
          </w:p>
        </w:tc>
      </w:tr>
      <w:tr w:rsidR="001D48E9" w:rsidRPr="008F6131" w14:paraId="0306E810" w14:textId="77777777">
        <w:tc>
          <w:tcPr>
            <w:tcW w:w="1129" w:type="dxa"/>
          </w:tcPr>
          <w:p w14:paraId="2A7C7D1B"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4D83C5E"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w:t>
            </w:r>
          </w:p>
          <w:p w14:paraId="7690A78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Uredbe (EU) 2019/2033.</w:t>
            </w:r>
          </w:p>
          <w:p w14:paraId="2677EDE4" w14:textId="77777777" w:rsidR="001D48E9" w:rsidRPr="008F6131" w:rsidRDefault="008F6131">
            <w:pPr>
              <w:spacing w:after="120"/>
              <w:jc w:val="both"/>
              <w:rPr>
                <w:rStyle w:val="FormatvorlageInstructionsTabelleText"/>
                <w:rFonts w:ascii="Times New Roman" w:hAnsi="Times New Roman"/>
                <w:sz w:val="22"/>
                <w:szCs w:val="22"/>
              </w:rPr>
            </w:pPr>
            <w:r w:rsidRPr="008F6131">
              <w:rPr>
                <w:rStyle w:val="FormatvorlageInstructionsTabelleText"/>
                <w:rFonts w:ascii="Times New Roman" w:hAnsi="Times New Roman"/>
                <w:sz w:val="22"/>
                <w:szCs w:val="22"/>
              </w:rPr>
              <w:t>Člen 71 Uredbe (EU) št. 575/2013.</w:t>
            </w:r>
          </w:p>
          <w:p w14:paraId="61EE0371" w14:textId="77777777" w:rsidR="001D48E9" w:rsidRPr="008F6131" w:rsidRDefault="008F6131">
            <w:pPr>
              <w:pStyle w:val="CommentText"/>
              <w:rPr>
                <w:rFonts w:ascii="Times New Roman" w:hAnsi="Times New Roman" w:cs="Times New Roman"/>
                <w:sz w:val="22"/>
                <w:szCs w:val="22"/>
              </w:rPr>
            </w:pPr>
            <w:r w:rsidRPr="008F6131">
              <w:rPr>
                <w:rFonts w:ascii="Times New Roman" w:hAnsi="Times New Roman" w:cs="Times New Roman"/>
                <w:bCs/>
                <w:sz w:val="22"/>
                <w:szCs w:val="22"/>
              </w:rPr>
              <w:lastRenderedPageBreak/>
              <w:t xml:space="preserve">Razkrije se vsota vrstic 34 do 36 in </w:t>
            </w:r>
            <w:r w:rsidRPr="008F6131">
              <w:rPr>
                <w:rStyle w:val="FormatvorlageInstructionsTabelleText"/>
                <w:rFonts w:ascii="Times New Roman" w:hAnsi="Times New Roman"/>
                <w:sz w:val="22"/>
                <w:szCs w:val="22"/>
              </w:rPr>
              <w:t>vrstice 39</w:t>
            </w:r>
            <w:r w:rsidRPr="008F6131">
              <w:rPr>
                <w:rFonts w:ascii="Times New Roman" w:hAnsi="Times New Roman" w:cs="Times New Roman"/>
                <w:bCs/>
                <w:sz w:val="22"/>
                <w:szCs w:val="22"/>
              </w:rPr>
              <w:t>.</w:t>
            </w:r>
          </w:p>
        </w:tc>
      </w:tr>
      <w:tr w:rsidR="001D48E9" w:rsidRPr="008F6131" w14:paraId="6B362498" w14:textId="77777777">
        <w:tc>
          <w:tcPr>
            <w:tcW w:w="1129" w:type="dxa"/>
          </w:tcPr>
          <w:p w14:paraId="3B01516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lastRenderedPageBreak/>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9CC0FA"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 celoti vplačani, neposredno izdani kapitalski instrumenti</w:t>
            </w:r>
          </w:p>
          <w:p w14:paraId="64A3F828"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w:t>
            </w:r>
            <w:r w:rsidRPr="008F6131">
              <w:rPr>
                <w:rFonts w:ascii="Times New Roman" w:hAnsi="Times New Roman" w:cs="Times New Roman"/>
                <w:bCs/>
                <w:szCs w:val="22"/>
              </w:rPr>
              <w:t>9(1), točka (i), Uredbe (EU) št. 2019/2033.</w:t>
            </w:r>
          </w:p>
          <w:p w14:paraId="0173FF5C" w14:textId="77777777" w:rsidR="001D48E9" w:rsidRPr="008F6131" w:rsidRDefault="008F6131">
            <w:pPr>
              <w:pStyle w:val="InstructionsText"/>
              <w:rPr>
                <w:rStyle w:val="FormatvorlageInstructionsTabelleText"/>
                <w:rFonts w:ascii="Times New Roman" w:eastAsiaTheme="minorHAnsi" w:hAnsi="Times New Roman"/>
                <w:bCs/>
                <w:sz w:val="22"/>
              </w:rPr>
            </w:pPr>
            <w:r w:rsidRPr="008F6131">
              <w:rPr>
                <w:rStyle w:val="FormatvorlageInstructionsTabelleText"/>
                <w:rFonts w:ascii="Times New Roman" w:hAnsi="Times New Roman"/>
                <w:sz w:val="22"/>
              </w:rPr>
              <w:t>Člen 62, točka (a), in člena 63 ter 65 Uredbe (EU) št. 575/2013.</w:t>
            </w:r>
          </w:p>
          <w:p w14:paraId="5A182451"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Style w:val="FormatvorlageInstructionsTabelleText"/>
                <w:rFonts w:ascii="Times New Roman" w:hAnsi="Times New Roman"/>
                <w:sz w:val="22"/>
                <w:szCs w:val="22"/>
              </w:rPr>
              <w:t>Znesek, ki se razkrije, ne vključuje vplačanega presežka kapitala, povezanega z instrumenti.</w:t>
            </w:r>
          </w:p>
        </w:tc>
      </w:tr>
      <w:tr w:rsidR="001D48E9" w:rsidRPr="008F6131" w14:paraId="584CF4AF" w14:textId="77777777">
        <w:tc>
          <w:tcPr>
            <w:tcW w:w="1129" w:type="dxa"/>
          </w:tcPr>
          <w:p w14:paraId="1726D97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71D358"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Vplačani presežek kapitala</w:t>
            </w:r>
          </w:p>
          <w:p w14:paraId="51C5AF6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 xml:space="preserve">Člen 9(1), točka </w:t>
            </w:r>
            <w:r w:rsidRPr="008F6131">
              <w:rPr>
                <w:rFonts w:ascii="Times New Roman" w:hAnsi="Times New Roman" w:cs="Times New Roman"/>
                <w:bCs/>
                <w:szCs w:val="22"/>
              </w:rPr>
              <w:t>(i), Uredbe (EU) št. 2019/2033.</w:t>
            </w:r>
          </w:p>
          <w:p w14:paraId="27E62954"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Člen 62, točka (b), in člen 65 Uredbe (EU) št. 575/2013.</w:t>
            </w:r>
          </w:p>
          <w:p w14:paraId="43CC567B"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Vplačani presežek kapitala ima enak pomen kot v skladu z veljavnim računovodskim standardom.</w:t>
            </w:r>
          </w:p>
          <w:p w14:paraId="111E73CB"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Znesek, ki se razkrije v okviru te postavke, je del, povezan z „vplačanimi</w:t>
            </w:r>
            <w:r w:rsidRPr="008F6131">
              <w:rPr>
                <w:rStyle w:val="FormatvorlageInstructionsTabelleText"/>
                <w:rFonts w:ascii="Times New Roman" w:hAnsi="Times New Roman"/>
                <w:sz w:val="22"/>
              </w:rPr>
              <w:t xml:space="preserve"> kapitalskimi instrumenti“.</w:t>
            </w:r>
          </w:p>
        </w:tc>
      </w:tr>
      <w:tr w:rsidR="001D48E9" w:rsidRPr="008F6131" w14:paraId="629F9086" w14:textId="77777777">
        <w:tc>
          <w:tcPr>
            <w:tcW w:w="1129" w:type="dxa"/>
          </w:tcPr>
          <w:p w14:paraId="1B53B16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CA3986"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SKUPAJ ODBITKI OD DODATNEGA KAPITALA</w:t>
            </w:r>
          </w:p>
          <w:p w14:paraId="0D0DB9DA"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szCs w:val="22"/>
              </w:rPr>
              <w:t>Člen 66 Uredbe (EU) št. 575/2013.</w:t>
            </w:r>
          </w:p>
        </w:tc>
      </w:tr>
      <w:tr w:rsidR="001D48E9" w:rsidRPr="008F6131" w14:paraId="448E1016" w14:textId="77777777">
        <w:tc>
          <w:tcPr>
            <w:tcW w:w="1129" w:type="dxa"/>
          </w:tcPr>
          <w:p w14:paraId="1E784497"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EC1B84"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Lastni instrumenti dodatnega kapitala</w:t>
            </w:r>
          </w:p>
          <w:p w14:paraId="2AE8557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9(1), točka (i), Uredbe (EU) št. 2019/2033.</w:t>
            </w:r>
          </w:p>
          <w:p w14:paraId="2E22BCA0"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 xml:space="preserve">Člen 63, točka (b)(i), člen 66, točka (a), in člen </w:t>
            </w:r>
            <w:r w:rsidRPr="008F6131">
              <w:rPr>
                <w:rStyle w:val="FormatvorlageInstructionsTabelleText"/>
                <w:rFonts w:ascii="Times New Roman" w:hAnsi="Times New Roman"/>
                <w:sz w:val="22"/>
              </w:rPr>
              <w:t>67 Uredbe (EU) št. 575/2013.</w:t>
            </w:r>
          </w:p>
          <w:p w14:paraId="05AB012C"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Lastni instrumenti dodatnega kapitala, ki jih ima institucija ali skupina poročevalka na datum poročanja. Veljajo izjeme iz člena 67 Uredbe (EU) št. 575/2013.</w:t>
            </w:r>
          </w:p>
          <w:p w14:paraId="0C58AD8F" w14:textId="77777777" w:rsidR="001D48E9" w:rsidRPr="008F6131" w:rsidRDefault="008F6131">
            <w:pPr>
              <w:pStyle w:val="InstructionsText"/>
              <w:rPr>
                <w:rStyle w:val="FormatvorlageInstructionsTabelleText"/>
                <w:rFonts w:ascii="Times New Roman" w:hAnsi="Times New Roman"/>
                <w:sz w:val="22"/>
              </w:rPr>
            </w:pPr>
            <w:r w:rsidRPr="008F6131">
              <w:rPr>
                <w:rStyle w:val="FormatvorlageInstructionsTabelleText"/>
                <w:rFonts w:ascii="Times New Roman" w:hAnsi="Times New Roman"/>
                <w:sz w:val="22"/>
              </w:rPr>
              <w:t>Delež v delnicah, vključen v „kapitalske instrumente, ki niso spreje</w:t>
            </w:r>
            <w:r w:rsidRPr="008F6131">
              <w:rPr>
                <w:rStyle w:val="FormatvorlageInstructionsTabelleText"/>
                <w:rFonts w:ascii="Times New Roman" w:hAnsi="Times New Roman"/>
                <w:sz w:val="22"/>
              </w:rPr>
              <w:t>mljivi“, se ne razkrije v tej vrstici.</w:t>
            </w:r>
          </w:p>
          <w:p w14:paraId="4106FFBF" w14:textId="77777777" w:rsidR="001D48E9" w:rsidRPr="008F6131" w:rsidRDefault="008F6131">
            <w:pPr>
              <w:pStyle w:val="InstructionsText"/>
              <w:rPr>
                <w:rFonts w:cs="Times New Roman"/>
              </w:rPr>
            </w:pPr>
            <w:r w:rsidRPr="008F6131">
              <w:rPr>
                <w:rStyle w:val="FormatvorlageInstructionsTabelleText"/>
                <w:rFonts w:ascii="Times New Roman" w:hAnsi="Times New Roman"/>
                <w:sz w:val="22"/>
              </w:rPr>
              <w:t>Znesek, ki se razkrije, vključuje presežek kapitala, povezan z lastnimi delnicami.</w:t>
            </w:r>
          </w:p>
        </w:tc>
      </w:tr>
      <w:tr w:rsidR="001D48E9" w:rsidRPr="008F6131" w14:paraId="4A621799" w14:textId="77777777">
        <w:tc>
          <w:tcPr>
            <w:tcW w:w="1129" w:type="dxa"/>
          </w:tcPr>
          <w:p w14:paraId="190C03B2"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F6861F"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 Instrumenti dodatnega kapitala subjektov finančnega sektorja, v katerih institucija nima pomembne naložbe</w:t>
            </w:r>
          </w:p>
          <w:p w14:paraId="188457E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Člen 9(2), točka (c)</w:t>
            </w:r>
            <w:r w:rsidRPr="008F6131">
              <w:rPr>
                <w:rFonts w:ascii="Times New Roman" w:hAnsi="Times New Roman" w:cs="Times New Roman"/>
                <w:bCs/>
                <w:szCs w:val="22"/>
              </w:rPr>
              <w:t>, Uredbe (EU) 2019/2033.</w:t>
            </w:r>
          </w:p>
          <w:p w14:paraId="282C666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t>Člen 66, točka (c), Uredbe (EU) št. 575/2013.</w:t>
            </w:r>
          </w:p>
        </w:tc>
      </w:tr>
      <w:tr w:rsidR="001D48E9" w:rsidRPr="008F6131" w14:paraId="4D0C2705" w14:textId="77777777">
        <w:tc>
          <w:tcPr>
            <w:tcW w:w="1129" w:type="dxa"/>
            <w:tcBorders>
              <w:bottom w:val="single" w:sz="4" w:space="0" w:color="auto"/>
            </w:tcBorders>
          </w:tcPr>
          <w:p w14:paraId="303024AC"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1FB9707"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
                <w:bCs/>
                <w:szCs w:val="22"/>
                <w:u w:val="single"/>
              </w:rPr>
              <w:t>Dodatni kapital: drugi elementi, odbitki in prilagoditve kapitala</w:t>
            </w:r>
          </w:p>
          <w:p w14:paraId="6BDDB863" w14:textId="77777777" w:rsidR="001D48E9" w:rsidRPr="008F6131" w:rsidRDefault="008F6131">
            <w:pPr>
              <w:spacing w:after="120"/>
              <w:jc w:val="both"/>
              <w:rPr>
                <w:rFonts w:ascii="Times New Roman" w:eastAsia="Times New Roman" w:hAnsi="Times New Roman" w:cs="Times New Roman"/>
                <w:bCs/>
                <w:szCs w:val="22"/>
              </w:rPr>
            </w:pPr>
            <w:r w:rsidRPr="008F6131">
              <w:rPr>
                <w:rFonts w:ascii="Times New Roman" w:hAnsi="Times New Roman" w:cs="Times New Roman"/>
                <w:bCs/>
                <w:szCs w:val="22"/>
              </w:rPr>
              <w:t>Ta vrstica vključuje vsoto naslednjih postavk, kjer je ustrezno:</w:t>
            </w:r>
          </w:p>
          <w:p w14:paraId="33F7ADCB"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 xml:space="preserve">prehodnih prilagoditev zaradi </w:t>
            </w:r>
            <w:r w:rsidRPr="008F6131">
              <w:rPr>
                <w:rFonts w:ascii="Times New Roman" w:hAnsi="Times New Roman"/>
                <w:bCs/>
              </w:rPr>
              <w:t>instrumentov dodatnega kapitala, za katere se uporabljajo predhodna pravila (člen 483, odstavka 6 in 7, ter členi 484, 486, 488, 490 in 491 Uredbe (EU) št. 575/2013),</w:t>
            </w:r>
          </w:p>
          <w:p w14:paraId="3FD31A17"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prehodnih prilagoditev dodatnega kapitala (členi 472, 473a, 476, 477, 478 in 481</w:t>
            </w:r>
            <w:r w:rsidRPr="008F6131">
              <w:rPr>
                <w:rFonts w:ascii="Times New Roman" w:hAnsi="Times New Roman"/>
                <w:bCs/>
              </w:rPr>
              <w:t xml:space="preserve"> Uredbe (EU) št. 575/2013): prilagoditve odbitkov od dodatnega kapitala zaradi prehodnih določb,</w:t>
            </w:r>
          </w:p>
          <w:p w14:paraId="209CB9ED"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presežka odbitka od postavk dodatnega kapitala nad dodatnim kapitalom, odbitega od dodatnega temeljnega kapitala v skladu s členom 56, točka (e), Uredbe (EU)</w:t>
            </w:r>
            <w:r w:rsidRPr="008F6131">
              <w:rPr>
                <w:rFonts w:ascii="Times New Roman" w:hAnsi="Times New Roman"/>
                <w:bCs/>
              </w:rPr>
              <w:t xml:space="preserve"> št. 575/2013: dodatni kapital ne more biti negativen, vendar je mogoče, da odbitki od postavk dodatnega kapitala presegajo znesek razpoložljivih postavk dodatnega kapitala. Kadar pride do tega, ta postavka predstavlja znesek, potreben za povečanje zneska,</w:t>
            </w:r>
            <w:r w:rsidRPr="008F6131">
              <w:rPr>
                <w:rFonts w:ascii="Times New Roman" w:hAnsi="Times New Roman"/>
                <w:bCs/>
              </w:rPr>
              <w:t xml:space="preserve"> sporočenega v vrstici 33, na nič,</w:t>
            </w:r>
          </w:p>
          <w:p w14:paraId="37957D35" w14:textId="77777777" w:rsidR="001D48E9" w:rsidRPr="008F6131" w:rsidRDefault="008F6131">
            <w:pPr>
              <w:spacing w:after="120"/>
              <w:ind w:left="360" w:hanging="360"/>
              <w:contextualSpacing/>
              <w:jc w:val="both"/>
              <w:rPr>
                <w:rFonts w:ascii="Times New Roman" w:eastAsia="Times New Roman" w:hAnsi="Times New Roman"/>
                <w:bCs/>
              </w:rPr>
            </w:pPr>
            <w:r w:rsidRPr="008F6131">
              <w:rPr>
                <w:rFonts w:ascii="Calibri" w:eastAsiaTheme="minorHAnsi" w:hAnsi="Calibri" w:cs="Times New Roman"/>
                <w:bCs/>
                <w:szCs w:val="22"/>
              </w:rPr>
              <w:t>‒</w:t>
            </w:r>
            <w:r w:rsidRPr="008F6131">
              <w:rPr>
                <w:rFonts w:ascii="Calibri" w:eastAsiaTheme="minorHAnsi" w:hAnsi="Calibri" w:cs="Times New Roman"/>
                <w:bCs/>
                <w:szCs w:val="22"/>
              </w:rPr>
              <w:tab/>
            </w:r>
            <w:r w:rsidRPr="008F6131">
              <w:rPr>
                <w:rFonts w:ascii="Times New Roman" w:hAnsi="Times New Roman"/>
                <w:bCs/>
              </w:rPr>
              <w:t>drugih elementov dodatnega kapitala ali odbitkov od elementa dodatnega kapitala, ki se ne morejo razvrstiti v eno od vrstic 34 do 38.</w:t>
            </w:r>
          </w:p>
          <w:p w14:paraId="7CF1385C" w14:textId="77777777" w:rsidR="001D48E9" w:rsidRPr="008F6131" w:rsidRDefault="008F6131">
            <w:pPr>
              <w:spacing w:after="120"/>
              <w:jc w:val="both"/>
              <w:rPr>
                <w:rFonts w:ascii="Times New Roman" w:eastAsia="Times New Roman" w:hAnsi="Times New Roman" w:cs="Times New Roman"/>
                <w:b/>
                <w:bCs/>
                <w:szCs w:val="22"/>
                <w:u w:val="single"/>
              </w:rPr>
            </w:pPr>
            <w:r w:rsidRPr="008F6131">
              <w:rPr>
                <w:rFonts w:ascii="Times New Roman" w:hAnsi="Times New Roman" w:cs="Times New Roman"/>
                <w:bCs/>
                <w:szCs w:val="22"/>
              </w:rPr>
              <w:lastRenderedPageBreak/>
              <w:t xml:space="preserve">Ta vrstica se ne uporabi za vključitev kapitalskih postavk ali odbitkov, ki v skladu </w:t>
            </w:r>
            <w:r w:rsidRPr="008F6131">
              <w:rPr>
                <w:rFonts w:ascii="Times New Roman" w:hAnsi="Times New Roman" w:cs="Times New Roman"/>
                <w:bCs/>
                <w:szCs w:val="22"/>
              </w:rPr>
              <w:t>z Uredbo (EU) 2019/2033 ali Uredbo (EU) št. 575/2013 niso zajeti v izračun količnikov kapitalske ustreznosti.</w:t>
            </w:r>
          </w:p>
        </w:tc>
      </w:tr>
    </w:tbl>
    <w:p w14:paraId="6641BF8F" w14:textId="77777777" w:rsidR="001D48E9" w:rsidRPr="008F6131" w:rsidRDefault="001D48E9">
      <w:pPr>
        <w:rPr>
          <w:rFonts w:ascii="Times New Roman" w:hAnsi="Times New Roman" w:cs="Times New Roman"/>
          <w:b/>
          <w:bCs/>
          <w:sz w:val="24"/>
        </w:rPr>
      </w:pPr>
    </w:p>
    <w:p w14:paraId="035EBB80" w14:textId="77777777" w:rsidR="001D48E9" w:rsidRPr="008F6131" w:rsidRDefault="008F6131">
      <w:pPr>
        <w:rPr>
          <w:rFonts w:ascii="Times New Roman" w:hAnsi="Times New Roman" w:cs="Times New Roman"/>
          <w:b/>
          <w:bCs/>
          <w:sz w:val="24"/>
        </w:rPr>
      </w:pPr>
      <w:r w:rsidRPr="008F6131">
        <w:rPr>
          <w:rFonts w:ascii="Times New Roman" w:hAnsi="Times New Roman" w:cs="Times New Roman"/>
          <w:b/>
          <w:bCs/>
          <w:sz w:val="24"/>
        </w:rPr>
        <w:t>Predloga EU I CC2 – Uskladitev regulativnega kapitala z bilanco stanja v revidiranih računovodskih izkazih</w:t>
      </w:r>
    </w:p>
    <w:p w14:paraId="644BDC37"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7.</w:t>
      </w:r>
      <w:r w:rsidRPr="008F6131">
        <w:rPr>
          <w:rFonts w:ascii="Times New Roman" w:hAnsi="Times New Roman" w:cs="Times New Roman"/>
          <w:bCs/>
          <w:sz w:val="24"/>
        </w:rPr>
        <w:tab/>
        <w:t>Investicijska podjetja uporabljajo</w:t>
      </w:r>
      <w:r w:rsidRPr="008F6131">
        <w:rPr>
          <w:rFonts w:ascii="Times New Roman" w:hAnsi="Times New Roman" w:cs="Times New Roman"/>
          <w:bCs/>
          <w:sz w:val="24"/>
        </w:rPr>
        <w:t xml:space="preserve"> navodila iz te priloge za izpolnjevanje predloge EU I CC2 iz Priloge VI v skladu s členom 49(1), točka (a), Uredbe (EU) 2019/2033.</w:t>
      </w:r>
    </w:p>
    <w:p w14:paraId="4D4C0518"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8.</w:t>
      </w:r>
      <w:r w:rsidRPr="008F6131">
        <w:rPr>
          <w:rFonts w:ascii="Times New Roman" w:hAnsi="Times New Roman" w:cs="Times New Roman"/>
          <w:bCs/>
          <w:sz w:val="24"/>
        </w:rPr>
        <w:tab/>
        <w:t>Investicijska podjetja razkrijejo bilanco stanja iz svojih objavljenih računovodskih izkazov. Računovodski izkazi so revi</w:t>
      </w:r>
      <w:r w:rsidRPr="008F6131">
        <w:rPr>
          <w:rFonts w:ascii="Times New Roman" w:hAnsi="Times New Roman" w:cs="Times New Roman"/>
          <w:bCs/>
          <w:sz w:val="24"/>
        </w:rPr>
        <w:t>dirani računovodski izkazi za razkritja ob koncu leta.</w:t>
      </w:r>
    </w:p>
    <w:p w14:paraId="786C3EC2"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9.</w:t>
      </w:r>
      <w:r w:rsidRPr="008F6131">
        <w:rPr>
          <w:rFonts w:ascii="Times New Roman" w:hAnsi="Times New Roman" w:cs="Times New Roman"/>
          <w:bCs/>
          <w:sz w:val="24"/>
        </w:rPr>
        <w:tab/>
        <w:t xml:space="preserve">Vrstice predloge so prilagodljive, investicijska podjetja pa jih razkrijejo v skladu s svojimi računovodskimi izkazi. Postavke kapitala v revidiranih računovodskih izkazih zajemajo vse postavke, ki </w:t>
      </w:r>
      <w:r w:rsidRPr="008F6131">
        <w:rPr>
          <w:rFonts w:ascii="Times New Roman" w:hAnsi="Times New Roman" w:cs="Times New Roman"/>
          <w:bCs/>
          <w:sz w:val="24"/>
        </w:rPr>
        <w:t>so sestavine regulativnega kapitala, vključno z lastniškim kapitalom, ali ki se odštejejo od njega, obveznosti, kot je dolg, ali druge bilančne postavke, ki vplivajo na regulativni kapital, kot so neopredmetena sredstva, dobro ime in odložene terjatve za d</w:t>
      </w:r>
      <w:r w:rsidRPr="008F6131">
        <w:rPr>
          <w:rFonts w:ascii="Times New Roman" w:hAnsi="Times New Roman" w:cs="Times New Roman"/>
          <w:bCs/>
          <w:sz w:val="24"/>
        </w:rPr>
        <w:t xml:space="preserve">avek. Investicijska podjetja razširijo postavke kapitala iz bilance stanja, kot je potrebno za zagotovitev, da so vse sestavine, vključene v predlogo za razkritja o sestavi kapitala (predloga EU I CC1), prikazane ločeno. Investicijska podjetja elemente iz </w:t>
      </w:r>
      <w:r w:rsidRPr="008F6131">
        <w:rPr>
          <w:rFonts w:ascii="Times New Roman" w:hAnsi="Times New Roman" w:cs="Times New Roman"/>
          <w:bCs/>
          <w:sz w:val="24"/>
        </w:rPr>
        <w:t>bilance stanja razširijo le do ravni razdrobljenosti, ki je potrebna za pridobitev sestavin, ki se zahtevajo s predlogo EU I CC1. Razkritje je sorazmerno s kompleksnostjo bilance stanja investicijskega podjetja.</w:t>
      </w:r>
    </w:p>
    <w:p w14:paraId="6BB09EE5"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10.</w:t>
      </w:r>
      <w:r w:rsidRPr="008F6131">
        <w:rPr>
          <w:rFonts w:ascii="Times New Roman" w:hAnsi="Times New Roman" w:cs="Times New Roman"/>
          <w:bCs/>
          <w:sz w:val="24"/>
        </w:rPr>
        <w:tab/>
        <w:t xml:space="preserve">Stolpci so fiksni in se </w:t>
      </w:r>
      <w:r w:rsidRPr="008F6131">
        <w:rPr>
          <w:rFonts w:ascii="Times New Roman" w:hAnsi="Times New Roman" w:cs="Times New Roman"/>
          <w:bCs/>
          <w:sz w:val="24"/>
        </w:rPr>
        <w:t>razkrijejo, kot sledi:</w:t>
      </w:r>
    </w:p>
    <w:p w14:paraId="71CCB24C" w14:textId="77777777" w:rsidR="001D48E9" w:rsidRPr="008F6131" w:rsidRDefault="008F6131">
      <w:pPr>
        <w:pStyle w:val="numberedparagraph"/>
        <w:numPr>
          <w:ilvl w:val="0"/>
          <w:numId w:val="0"/>
        </w:numPr>
        <w:ind w:left="709" w:hanging="360"/>
        <w:rPr>
          <w:rFonts w:ascii="Times New Roman" w:hAnsi="Times New Roman" w:cs="Times New Roman"/>
          <w:sz w:val="24"/>
        </w:rPr>
      </w:pPr>
      <w:r w:rsidRPr="008F6131">
        <w:rPr>
          <w:rFonts w:ascii="Times New Roman" w:hAnsi="Times New Roman" w:cs="Times New Roman"/>
          <w:sz w:val="24"/>
        </w:rPr>
        <w:t>a.</w:t>
      </w:r>
      <w:r w:rsidRPr="008F6131">
        <w:rPr>
          <w:rFonts w:ascii="Times New Roman" w:hAnsi="Times New Roman" w:cs="Times New Roman"/>
          <w:sz w:val="24"/>
        </w:rPr>
        <w:tab/>
        <w:t>stolpec a: investicijska podjetja vključijo številke, ki se poročajo v bilanci stanja iz revidiranih računovodskih izkazov v skladu z obsegom konsolidacije za računovodske namene;</w:t>
      </w:r>
    </w:p>
    <w:p w14:paraId="54E0F83B" w14:textId="77777777" w:rsidR="001D48E9" w:rsidRPr="008F6131" w:rsidRDefault="008F6131">
      <w:pPr>
        <w:pStyle w:val="numberedparagraph"/>
        <w:numPr>
          <w:ilvl w:val="0"/>
          <w:numId w:val="0"/>
        </w:numPr>
        <w:ind w:left="709" w:hanging="360"/>
        <w:rPr>
          <w:rFonts w:ascii="Times New Roman" w:hAnsi="Times New Roman" w:cs="Times New Roman"/>
          <w:sz w:val="24"/>
        </w:rPr>
      </w:pPr>
      <w:r w:rsidRPr="008F6131">
        <w:rPr>
          <w:rFonts w:ascii="Times New Roman" w:hAnsi="Times New Roman" w:cs="Times New Roman"/>
          <w:sz w:val="24"/>
        </w:rPr>
        <w:t>b.</w:t>
      </w:r>
      <w:r w:rsidRPr="008F6131">
        <w:rPr>
          <w:rFonts w:ascii="Times New Roman" w:hAnsi="Times New Roman" w:cs="Times New Roman"/>
          <w:sz w:val="24"/>
        </w:rPr>
        <w:tab/>
        <w:t xml:space="preserve">stolpec b: investicijska podjetja </w:t>
      </w:r>
      <w:r w:rsidRPr="008F6131">
        <w:rPr>
          <w:rFonts w:ascii="Times New Roman" w:hAnsi="Times New Roman" w:cs="Times New Roman"/>
          <w:sz w:val="24"/>
        </w:rPr>
        <w:t>poročajo številke, ki ustrezajo obsegu konsolidacije za regulativne namene;</w:t>
      </w:r>
    </w:p>
    <w:p w14:paraId="559FDB8E" w14:textId="77777777" w:rsidR="001D48E9" w:rsidRPr="008F6131" w:rsidRDefault="008F6131">
      <w:pPr>
        <w:pStyle w:val="numberedparagraph"/>
        <w:numPr>
          <w:ilvl w:val="0"/>
          <w:numId w:val="0"/>
        </w:numPr>
        <w:ind w:left="709" w:hanging="360"/>
        <w:rPr>
          <w:rFonts w:ascii="Times New Roman" w:hAnsi="Times New Roman" w:cs="Times New Roman"/>
          <w:sz w:val="24"/>
        </w:rPr>
      </w:pPr>
      <w:r w:rsidRPr="008F6131">
        <w:rPr>
          <w:rFonts w:ascii="Times New Roman" w:hAnsi="Times New Roman" w:cs="Times New Roman"/>
          <w:sz w:val="24"/>
        </w:rPr>
        <w:t>c.</w:t>
      </w:r>
      <w:r w:rsidRPr="008F6131">
        <w:rPr>
          <w:rFonts w:ascii="Times New Roman" w:hAnsi="Times New Roman" w:cs="Times New Roman"/>
          <w:sz w:val="24"/>
        </w:rPr>
        <w:tab/>
        <w:t>stolpec c: investicijska podjetja vključijo navzkrižna sklicevanja med postavko kapitala v predlogi EU I CC2 in ustreznimi postavkami v predlogi za razkritja o kapitalu EU I CC1</w:t>
      </w:r>
      <w:r w:rsidRPr="008F6131">
        <w:rPr>
          <w:rFonts w:ascii="Times New Roman" w:hAnsi="Times New Roman" w:cs="Times New Roman"/>
          <w:sz w:val="24"/>
        </w:rPr>
        <w:t>. Sklic v stolpcu c predloge EU I CC2 je povezan s sklicem v stolpcu b predloge EU I CC1.</w:t>
      </w:r>
    </w:p>
    <w:p w14:paraId="70B6B48B"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11.</w:t>
      </w:r>
      <w:r w:rsidRPr="008F6131">
        <w:rPr>
          <w:rFonts w:ascii="Times New Roman" w:hAnsi="Times New Roman" w:cs="Times New Roman"/>
          <w:bCs/>
          <w:sz w:val="24"/>
        </w:rPr>
        <w:tab/>
        <w:t xml:space="preserve"> Če sta obseg konsolidacije za računovodske namene in obseg konsolidacije za regulativne namene investicijskega podjetja povsem enaka, se izpolni samo stolpec (a)</w:t>
      </w:r>
      <w:r w:rsidRPr="008F6131">
        <w:rPr>
          <w:rFonts w:ascii="Times New Roman" w:hAnsi="Times New Roman" w:cs="Times New Roman"/>
          <w:bCs/>
          <w:sz w:val="24"/>
        </w:rPr>
        <w:t>, to dejstvo pa se jasno razkrije, in sicer to velja za naslednje primere:</w:t>
      </w:r>
    </w:p>
    <w:p w14:paraId="2C393028" w14:textId="77777777" w:rsidR="001D48E9" w:rsidRPr="008F6131" w:rsidRDefault="008F6131">
      <w:pPr>
        <w:pStyle w:val="numberedparagraph"/>
        <w:numPr>
          <w:ilvl w:val="0"/>
          <w:numId w:val="0"/>
        </w:numPr>
        <w:tabs>
          <w:tab w:val="left" w:pos="-180"/>
        </w:tabs>
        <w:ind w:left="709" w:hanging="360"/>
        <w:rPr>
          <w:rFonts w:ascii="Times New Roman" w:hAnsi="Times New Roman" w:cs="Times New Roman"/>
          <w:bCs/>
          <w:sz w:val="24"/>
        </w:rPr>
      </w:pPr>
      <w:r w:rsidRPr="008F6131">
        <w:rPr>
          <w:rFonts w:ascii="Times New Roman" w:hAnsi="Times New Roman" w:cs="Times New Roman"/>
          <w:bCs/>
          <w:sz w:val="24"/>
        </w:rPr>
        <w:t>d.</w:t>
      </w:r>
      <w:r w:rsidRPr="008F6131">
        <w:rPr>
          <w:rFonts w:ascii="Times New Roman" w:hAnsi="Times New Roman" w:cs="Times New Roman"/>
          <w:bCs/>
          <w:sz w:val="24"/>
        </w:rPr>
        <w:tab/>
      </w:r>
      <w:r w:rsidRPr="008F6131">
        <w:rPr>
          <w:rFonts w:ascii="Times New Roman" w:hAnsi="Times New Roman" w:cs="Times New Roman"/>
          <w:sz w:val="24"/>
        </w:rPr>
        <w:t>kadar investicijska podjetja izpolnjujejo obveznosti iz dela 6 Uredbe (EU) 2019/2033 o bonitetnih zahtevah investicijskih podjetij na konsolidirani podlagi, vendar sta obseg in m</w:t>
      </w:r>
      <w:r w:rsidRPr="008F6131">
        <w:rPr>
          <w:rFonts w:ascii="Times New Roman" w:hAnsi="Times New Roman" w:cs="Times New Roman"/>
          <w:sz w:val="24"/>
        </w:rPr>
        <w:t xml:space="preserve">etoda konsolidacije, uporabljena za bilanco stanja v računovodskih izkazih identična obsegu in metodi konsolidacije, določenima v skladu s poglavjem 2 naslova II dela 1 Uredbe (EU) 2019/2033, in investicijska podjetja v priloženem </w:t>
      </w:r>
      <w:r w:rsidRPr="008F6131">
        <w:rPr>
          <w:rFonts w:ascii="Times New Roman" w:hAnsi="Times New Roman" w:cs="Times New Roman"/>
          <w:sz w:val="24"/>
        </w:rPr>
        <w:lastRenderedPageBreak/>
        <w:t>opisu k predlogi jasno na</w:t>
      </w:r>
      <w:r w:rsidRPr="008F6131">
        <w:rPr>
          <w:rFonts w:ascii="Times New Roman" w:hAnsi="Times New Roman" w:cs="Times New Roman"/>
          <w:sz w:val="24"/>
        </w:rPr>
        <w:t>vedejo, da med zadevnima obsegoma in metodama konsolidacije ni nobenih razlik;</w:t>
      </w:r>
    </w:p>
    <w:p w14:paraId="28F94B85" w14:textId="77777777" w:rsidR="001D48E9" w:rsidRPr="008F6131" w:rsidRDefault="008F6131">
      <w:pPr>
        <w:pStyle w:val="numberedparagraph"/>
        <w:numPr>
          <w:ilvl w:val="0"/>
          <w:numId w:val="0"/>
        </w:numPr>
        <w:tabs>
          <w:tab w:val="left" w:pos="-180"/>
        </w:tabs>
        <w:ind w:left="709" w:hanging="360"/>
        <w:rPr>
          <w:rFonts w:ascii="Times New Roman" w:hAnsi="Times New Roman" w:cs="Times New Roman"/>
          <w:bCs/>
          <w:sz w:val="24"/>
        </w:rPr>
      </w:pPr>
      <w:r w:rsidRPr="008F6131">
        <w:rPr>
          <w:rFonts w:ascii="Times New Roman" w:hAnsi="Times New Roman" w:cs="Times New Roman"/>
          <w:bCs/>
          <w:sz w:val="24"/>
        </w:rPr>
        <w:t>e.</w:t>
      </w:r>
      <w:r w:rsidRPr="008F6131">
        <w:rPr>
          <w:rFonts w:ascii="Times New Roman" w:hAnsi="Times New Roman" w:cs="Times New Roman"/>
          <w:bCs/>
          <w:sz w:val="24"/>
        </w:rPr>
        <w:tab/>
      </w:r>
      <w:r w:rsidRPr="008F6131">
        <w:rPr>
          <w:rFonts w:ascii="Times New Roman" w:hAnsi="Times New Roman" w:cs="Times New Roman"/>
          <w:sz w:val="24"/>
        </w:rPr>
        <w:t>kadar investicijska podjetja izpolnjujejo obveznosti iz dela 6 Uredbe (EU) 2019/2033 na posamični podlagi.</w:t>
      </w:r>
    </w:p>
    <w:p w14:paraId="7ED2F0C0" w14:textId="77777777" w:rsidR="001D48E9" w:rsidRPr="008F6131" w:rsidRDefault="008F6131">
      <w:pPr>
        <w:rPr>
          <w:rFonts w:ascii="Times New Roman" w:hAnsi="Times New Roman" w:cs="Times New Roman"/>
          <w:b/>
          <w:bCs/>
          <w:sz w:val="24"/>
        </w:rPr>
      </w:pPr>
      <w:r w:rsidRPr="008F6131">
        <w:rPr>
          <w:rFonts w:ascii="Times New Roman" w:hAnsi="Times New Roman" w:cs="Times New Roman"/>
          <w:b/>
          <w:bCs/>
          <w:sz w:val="24"/>
        </w:rPr>
        <w:t>Razpredelnica EU I CCA – Glavne značilnosti kapitalskih instrumento</w:t>
      </w:r>
      <w:r w:rsidRPr="008F6131">
        <w:rPr>
          <w:rFonts w:ascii="Times New Roman" w:hAnsi="Times New Roman" w:cs="Times New Roman"/>
          <w:b/>
          <w:bCs/>
          <w:sz w:val="24"/>
        </w:rPr>
        <w:t>v, ki jih izda podjetje</w:t>
      </w:r>
    </w:p>
    <w:p w14:paraId="7D6AE1DE"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12.</w:t>
      </w:r>
      <w:r w:rsidRPr="008F6131">
        <w:rPr>
          <w:rFonts w:ascii="Times New Roman" w:hAnsi="Times New Roman" w:cs="Times New Roman"/>
          <w:bCs/>
          <w:sz w:val="24"/>
        </w:rPr>
        <w:tab/>
        <w:t>Investicijska podjetja uporabljajo navodila iz te priloge za izpolnjevanje razpredelnice EU I CCA iz Priloge VI v skladu s členom 49(1), točka (b), Uredbe (EU) 2019/2033.</w:t>
      </w:r>
    </w:p>
    <w:p w14:paraId="0868060D"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13.</w:t>
      </w:r>
      <w:r w:rsidRPr="008F6131">
        <w:rPr>
          <w:rFonts w:ascii="Times New Roman" w:hAnsi="Times New Roman" w:cs="Times New Roman"/>
          <w:bCs/>
          <w:sz w:val="24"/>
        </w:rPr>
        <w:tab/>
        <w:t>Investicijska podjetja izpolnijo razpredelnico EU I C</w:t>
      </w:r>
      <w:r w:rsidRPr="008F6131">
        <w:rPr>
          <w:rFonts w:ascii="Times New Roman" w:hAnsi="Times New Roman" w:cs="Times New Roman"/>
          <w:bCs/>
          <w:sz w:val="24"/>
        </w:rPr>
        <w:t>CA za naslednje kategorije: instrumenti navadnega lastniškega temeljnega kapitala, instrumenti dodatnega temeljnega kapitala in instrumenti dodatnega kapitala.</w:t>
      </w:r>
    </w:p>
    <w:p w14:paraId="19BCD2B4" w14:textId="77777777" w:rsidR="001D48E9" w:rsidRPr="008F6131" w:rsidRDefault="008F6131">
      <w:pPr>
        <w:tabs>
          <w:tab w:val="left" w:pos="360"/>
        </w:tabs>
        <w:spacing w:before="120" w:after="120"/>
        <w:ind w:left="357" w:hanging="357"/>
        <w:jc w:val="both"/>
        <w:rPr>
          <w:rFonts w:ascii="Times New Roman" w:hAnsi="Times New Roman" w:cs="Times New Roman"/>
          <w:bCs/>
          <w:sz w:val="24"/>
        </w:rPr>
      </w:pPr>
      <w:r w:rsidRPr="008F6131">
        <w:rPr>
          <w:rFonts w:ascii="Times New Roman" w:hAnsi="Times New Roman" w:cs="Times New Roman"/>
          <w:bCs/>
          <w:sz w:val="24"/>
        </w:rPr>
        <w:t>14.</w:t>
      </w:r>
      <w:r w:rsidRPr="008F6131">
        <w:rPr>
          <w:rFonts w:ascii="Times New Roman" w:hAnsi="Times New Roman" w:cs="Times New Roman"/>
          <w:bCs/>
          <w:sz w:val="24"/>
        </w:rPr>
        <w:tab/>
        <w:t>Razpredelnice sestavljajo ločeni stolpci z značilnostmi vsakega instrumenta regulativnega ka</w:t>
      </w:r>
      <w:r w:rsidRPr="008F6131">
        <w:rPr>
          <w:rFonts w:ascii="Times New Roman" w:hAnsi="Times New Roman" w:cs="Times New Roman"/>
          <w:bCs/>
          <w:sz w:val="24"/>
        </w:rPr>
        <w:t>pitala. Če imajo različni instrumenti iste kategorije enake značilnosti, lahko investicijska podjetja izpolnijo le en stolpec, v katerem razkrijejo te enake značilnosti, in navedejo izdaje, ki imajo enake značilnosti.</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7661"/>
      </w:tblGrid>
      <w:tr w:rsidR="001D48E9" w:rsidRPr="008F6131" w14:paraId="274D8A1B" w14:textId="77777777">
        <w:trPr>
          <w:trHeight w:val="259"/>
        </w:trPr>
        <w:tc>
          <w:tcPr>
            <w:tcW w:w="8704" w:type="dxa"/>
            <w:gridSpan w:val="2"/>
            <w:shd w:val="clear" w:color="auto" w:fill="D9D9D9" w:themeFill="background1" w:themeFillShade="D9"/>
          </w:tcPr>
          <w:p w14:paraId="7BEBFCC8" w14:textId="77777777" w:rsidR="001D48E9" w:rsidRPr="008F6131" w:rsidRDefault="008F6131">
            <w:pPr>
              <w:rPr>
                <w:rFonts w:ascii="Times New Roman" w:eastAsia="Times New Roman" w:hAnsi="Times New Roman" w:cs="Times New Roman"/>
                <w:b/>
                <w:bCs/>
                <w:color w:val="000000"/>
                <w:sz w:val="24"/>
              </w:rPr>
            </w:pPr>
            <w:r w:rsidRPr="008F6131">
              <w:rPr>
                <w:rFonts w:ascii="Times New Roman" w:hAnsi="Times New Roman" w:cs="Times New Roman"/>
                <w:b/>
                <w:bCs/>
                <w:color w:val="000000"/>
                <w:sz w:val="24"/>
              </w:rPr>
              <w:t>Navodila za izpolnjevanje razpredelnic</w:t>
            </w:r>
            <w:r w:rsidRPr="008F6131">
              <w:rPr>
                <w:rFonts w:ascii="Times New Roman" w:hAnsi="Times New Roman" w:cs="Times New Roman"/>
                <w:b/>
                <w:bCs/>
                <w:color w:val="000000"/>
                <w:sz w:val="24"/>
              </w:rPr>
              <w:t>e z glavnimi značilnostmi kapitalskih instrumentov, ki jih izda podjetje</w:t>
            </w:r>
          </w:p>
        </w:tc>
      </w:tr>
      <w:tr w:rsidR="001D48E9" w:rsidRPr="008F6131" w14:paraId="50F50BFB" w14:textId="77777777">
        <w:trPr>
          <w:trHeight w:val="259"/>
        </w:trPr>
        <w:tc>
          <w:tcPr>
            <w:tcW w:w="1043" w:type="dxa"/>
            <w:shd w:val="clear" w:color="auto" w:fill="D9D9D9" w:themeFill="background1" w:themeFillShade="D9"/>
            <w:vAlign w:val="center"/>
          </w:tcPr>
          <w:p w14:paraId="64B7F49D" w14:textId="77777777" w:rsidR="001D48E9" w:rsidRPr="008F6131" w:rsidRDefault="008F6131">
            <w:pPr>
              <w:rPr>
                <w:rFonts w:ascii="Times New Roman" w:eastAsia="Times New Roman" w:hAnsi="Times New Roman" w:cs="Times New Roman"/>
                <w:b/>
                <w:bCs/>
                <w:color w:val="000000"/>
                <w:sz w:val="24"/>
              </w:rPr>
            </w:pPr>
            <w:r w:rsidRPr="008F6131">
              <w:rPr>
                <w:rFonts w:ascii="Times New Roman" w:hAnsi="Times New Roman" w:cs="Times New Roman"/>
                <w:b/>
                <w:bCs/>
                <w:color w:val="000000"/>
                <w:sz w:val="24"/>
              </w:rPr>
              <w:t>Številka vrstice</w:t>
            </w:r>
          </w:p>
        </w:tc>
        <w:tc>
          <w:tcPr>
            <w:tcW w:w="7661" w:type="dxa"/>
            <w:shd w:val="clear" w:color="auto" w:fill="D9D9D9" w:themeFill="background1" w:themeFillShade="D9"/>
            <w:noWrap/>
            <w:vAlign w:val="bottom"/>
          </w:tcPr>
          <w:p w14:paraId="00301DD4" w14:textId="77777777" w:rsidR="001D48E9" w:rsidRPr="008F6131" w:rsidRDefault="008F6131">
            <w:pPr>
              <w:rPr>
                <w:rFonts w:ascii="Times New Roman" w:eastAsia="Times New Roman" w:hAnsi="Times New Roman" w:cs="Times New Roman"/>
                <w:b/>
                <w:bCs/>
                <w:color w:val="000000"/>
                <w:sz w:val="24"/>
              </w:rPr>
            </w:pPr>
            <w:r w:rsidRPr="008F6131">
              <w:rPr>
                <w:rFonts w:ascii="Times New Roman" w:hAnsi="Times New Roman" w:cs="Times New Roman"/>
                <w:b/>
                <w:bCs/>
                <w:color w:val="000000"/>
                <w:sz w:val="24"/>
              </w:rPr>
              <w:t>Pojasnilo</w:t>
            </w:r>
          </w:p>
        </w:tc>
      </w:tr>
      <w:tr w:rsidR="001D48E9" w:rsidRPr="008F6131" w14:paraId="50139C7C" w14:textId="77777777">
        <w:trPr>
          <w:trHeight w:val="259"/>
        </w:trPr>
        <w:tc>
          <w:tcPr>
            <w:tcW w:w="1043" w:type="dxa"/>
            <w:vAlign w:val="center"/>
          </w:tcPr>
          <w:p w14:paraId="63D97E57"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w:t>
            </w:r>
          </w:p>
        </w:tc>
        <w:tc>
          <w:tcPr>
            <w:tcW w:w="7661" w:type="dxa"/>
            <w:shd w:val="clear" w:color="auto" w:fill="auto"/>
            <w:noWrap/>
            <w:vAlign w:val="bottom"/>
          </w:tcPr>
          <w:p w14:paraId="29D0B5E2"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Izdajatelj</w:t>
            </w:r>
          </w:p>
          <w:p w14:paraId="46DE769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pravni subjekt izdajatelja.</w:t>
            </w:r>
          </w:p>
          <w:p w14:paraId="5F796B3B"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4C1C87B5" w14:textId="77777777">
        <w:trPr>
          <w:trHeight w:val="259"/>
        </w:trPr>
        <w:tc>
          <w:tcPr>
            <w:tcW w:w="1043" w:type="dxa"/>
            <w:vAlign w:val="center"/>
          </w:tcPr>
          <w:p w14:paraId="1B672A06"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w:t>
            </w:r>
          </w:p>
        </w:tc>
        <w:tc>
          <w:tcPr>
            <w:tcW w:w="7661" w:type="dxa"/>
            <w:shd w:val="clear" w:color="auto" w:fill="auto"/>
            <w:noWrap/>
            <w:vAlign w:val="bottom"/>
          </w:tcPr>
          <w:p w14:paraId="5FC3EE0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Edinstvena oznaka (npr. koda CUSIP, koda ISIN ali oznaka Bloomberg za prodajo </w:t>
            </w:r>
            <w:r w:rsidRPr="008F6131">
              <w:rPr>
                <w:rFonts w:ascii="Times New Roman" w:hAnsi="Times New Roman" w:cs="Times New Roman"/>
                <w:sz w:val="24"/>
              </w:rPr>
              <w:t>zaprtemu krogu vlagateljev)</w:t>
            </w:r>
          </w:p>
          <w:p w14:paraId="7A8ECE0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edinstvena oznaka (npr. koda CUSIP, koda ISIN ali oznaka Bloomberg za prodajo zaprtemu krogu vlagateljev).</w:t>
            </w:r>
          </w:p>
          <w:p w14:paraId="538262F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Prosto besedilo</w:t>
            </w:r>
          </w:p>
        </w:tc>
      </w:tr>
      <w:tr w:rsidR="001D48E9" w:rsidRPr="008F6131" w14:paraId="6EF36532" w14:textId="77777777">
        <w:trPr>
          <w:trHeight w:val="259"/>
        </w:trPr>
        <w:tc>
          <w:tcPr>
            <w:tcW w:w="1043" w:type="dxa"/>
            <w:vAlign w:val="center"/>
          </w:tcPr>
          <w:p w14:paraId="7D8F17FF"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w:t>
            </w:r>
          </w:p>
        </w:tc>
        <w:tc>
          <w:tcPr>
            <w:tcW w:w="7661" w:type="dxa"/>
            <w:shd w:val="clear" w:color="auto" w:fill="auto"/>
            <w:noWrap/>
            <w:vAlign w:val="bottom"/>
          </w:tcPr>
          <w:p w14:paraId="75988B64"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Javna prodaja ali prodaja zaprtemu krogu vlagateljev</w:t>
            </w:r>
          </w:p>
          <w:p w14:paraId="782881F9"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ali je za instrument izveden</w:t>
            </w:r>
            <w:r w:rsidRPr="008F6131">
              <w:rPr>
                <w:rFonts w:ascii="Times New Roman" w:hAnsi="Times New Roman" w:cs="Times New Roman"/>
                <w:sz w:val="24"/>
              </w:rPr>
              <w:t>a javna prodaja ali prodaja zaprtemu krogu vlagateljev.</w:t>
            </w:r>
          </w:p>
          <w:p w14:paraId="450F170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Izberite z menija: [javna], [zaprti krog vlagateljev]</w:t>
            </w:r>
          </w:p>
        </w:tc>
      </w:tr>
      <w:tr w:rsidR="001D48E9" w:rsidRPr="008F6131" w14:paraId="3A206203" w14:textId="77777777">
        <w:trPr>
          <w:trHeight w:val="259"/>
        </w:trPr>
        <w:tc>
          <w:tcPr>
            <w:tcW w:w="1043" w:type="dxa"/>
            <w:vAlign w:val="center"/>
          </w:tcPr>
          <w:p w14:paraId="0A7E2076"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4</w:t>
            </w:r>
          </w:p>
        </w:tc>
        <w:tc>
          <w:tcPr>
            <w:tcW w:w="7661" w:type="dxa"/>
            <w:shd w:val="clear" w:color="auto" w:fill="auto"/>
            <w:noWrap/>
            <w:vAlign w:val="bottom"/>
          </w:tcPr>
          <w:p w14:paraId="23AFF48F"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Zakonodaja, ki ureja instrument</w:t>
            </w:r>
          </w:p>
          <w:p w14:paraId="3045D370"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zakonodaja, ki ureja instrument.</w:t>
            </w:r>
          </w:p>
          <w:p w14:paraId="01CD4017"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lastRenderedPageBreak/>
              <w:t xml:space="preserve">Prosto besedilo </w:t>
            </w:r>
          </w:p>
        </w:tc>
      </w:tr>
      <w:tr w:rsidR="001D48E9" w:rsidRPr="008F6131" w14:paraId="3D230874" w14:textId="77777777">
        <w:trPr>
          <w:trHeight w:val="259"/>
        </w:trPr>
        <w:tc>
          <w:tcPr>
            <w:tcW w:w="1043" w:type="dxa"/>
            <w:vAlign w:val="center"/>
          </w:tcPr>
          <w:p w14:paraId="075CD4A7"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5</w:t>
            </w:r>
          </w:p>
        </w:tc>
        <w:tc>
          <w:tcPr>
            <w:tcW w:w="7661" w:type="dxa"/>
            <w:shd w:val="clear" w:color="auto" w:fill="auto"/>
            <w:noWrap/>
            <w:vAlign w:val="bottom"/>
          </w:tcPr>
          <w:p w14:paraId="0F56C0B2"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Vrsta instrumenta (vrste določi </w:t>
            </w:r>
            <w:r w:rsidRPr="008F6131">
              <w:rPr>
                <w:rFonts w:ascii="Times New Roman" w:hAnsi="Times New Roman" w:cs="Times New Roman"/>
                <w:sz w:val="24"/>
              </w:rPr>
              <w:t>posamezna jurisdikcija)</w:t>
            </w:r>
          </w:p>
          <w:p w14:paraId="0E2B1EB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vrsta instrumenta, ki se razlikuje glede na jurisdikcijo.</w:t>
            </w:r>
          </w:p>
          <w:p w14:paraId="27463936"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Za instrumente navadnega lastniškega temeljnega kapitala se izbere ime instrumenta s seznama instrumentov navadnega lastniškega temeljnega kapitala, ki ga objavi EB</w:t>
            </w:r>
            <w:r w:rsidRPr="008F6131">
              <w:rPr>
                <w:rFonts w:ascii="Times New Roman" w:hAnsi="Times New Roman" w:cs="Times New Roman"/>
                <w:i/>
                <w:sz w:val="24"/>
              </w:rPr>
              <w:t>A.</w:t>
            </w:r>
          </w:p>
          <w:p w14:paraId="4C0D8137"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Za druge instrumente se izbere izmed: možnosti menija investicijskim podjetjem zagotovi posamezna jurisdikcija – za vsako vrsto instrumenta se vstavijo sklici na člene Uredbe (EU) 2019/2033.</w:t>
            </w:r>
          </w:p>
        </w:tc>
      </w:tr>
      <w:tr w:rsidR="001D48E9" w:rsidRPr="008F6131" w14:paraId="73E74CE7" w14:textId="77777777">
        <w:trPr>
          <w:trHeight w:val="259"/>
        </w:trPr>
        <w:tc>
          <w:tcPr>
            <w:tcW w:w="1043" w:type="dxa"/>
            <w:vAlign w:val="center"/>
          </w:tcPr>
          <w:p w14:paraId="04080C15"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6</w:t>
            </w:r>
          </w:p>
        </w:tc>
        <w:tc>
          <w:tcPr>
            <w:tcW w:w="7661" w:type="dxa"/>
            <w:shd w:val="clear" w:color="auto" w:fill="auto"/>
            <w:noWrap/>
            <w:vAlign w:val="bottom"/>
          </w:tcPr>
          <w:p w14:paraId="43C42F1C"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Znesek, pripoznan v regulativnem kapitalu (valuta v milijon</w:t>
            </w:r>
            <w:r w:rsidRPr="008F6131">
              <w:rPr>
                <w:rFonts w:ascii="Times New Roman" w:hAnsi="Times New Roman" w:cs="Times New Roman"/>
                <w:sz w:val="24"/>
              </w:rPr>
              <w:t>ih, na zadnji datum poročanja)</w:t>
            </w:r>
          </w:p>
          <w:p w14:paraId="585028D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znesek, pripoznan v regulativnem kapitalu (skupni pripoznani znesek instrumenta pred prehodnimi določbami o ustrezni ravni razkritja – valuta, ki se uporablja za obveznosti poročanja).</w:t>
            </w:r>
          </w:p>
          <w:p w14:paraId="163B16D3"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 xml:space="preserve">Prosto besedilo – zlasti se </w:t>
            </w:r>
            <w:r w:rsidRPr="008F6131">
              <w:rPr>
                <w:rFonts w:ascii="Times New Roman" w:hAnsi="Times New Roman" w:cs="Times New Roman"/>
                <w:i/>
                <w:sz w:val="24"/>
              </w:rPr>
              <w:t>navede, ali so kateri deli instrumentov na različnih stopnjah regulativnega kapitala in ali se znesek, pripoznan v regulativnem kapitalu, razlikuje od izdanega zneska.</w:t>
            </w:r>
          </w:p>
        </w:tc>
      </w:tr>
      <w:tr w:rsidR="001D48E9" w:rsidRPr="008F6131" w14:paraId="3AE672C8" w14:textId="77777777">
        <w:trPr>
          <w:trHeight w:val="259"/>
        </w:trPr>
        <w:tc>
          <w:tcPr>
            <w:tcW w:w="1043" w:type="dxa"/>
            <w:vAlign w:val="center"/>
          </w:tcPr>
          <w:p w14:paraId="0B7E393A"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7</w:t>
            </w:r>
          </w:p>
        </w:tc>
        <w:tc>
          <w:tcPr>
            <w:tcW w:w="7661" w:type="dxa"/>
            <w:shd w:val="clear" w:color="auto" w:fill="auto"/>
            <w:noWrap/>
            <w:vAlign w:val="bottom"/>
          </w:tcPr>
          <w:p w14:paraId="04660A90"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Nominalni znesek instrumenta</w:t>
            </w:r>
          </w:p>
          <w:p w14:paraId="59AFFB65"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Nominalni znesek instrumenta (v valuti izdaje in valuti,</w:t>
            </w:r>
            <w:r w:rsidRPr="008F6131">
              <w:rPr>
                <w:rFonts w:ascii="Times New Roman" w:hAnsi="Times New Roman" w:cs="Times New Roman"/>
                <w:sz w:val="24"/>
              </w:rPr>
              <w:t xml:space="preserve"> ki se uporablja za obveznosti poročanja).</w:t>
            </w:r>
          </w:p>
          <w:p w14:paraId="4F4C3DAA"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24E76DE8" w14:textId="77777777">
        <w:trPr>
          <w:trHeight w:val="259"/>
        </w:trPr>
        <w:tc>
          <w:tcPr>
            <w:tcW w:w="1043" w:type="dxa"/>
            <w:vAlign w:val="center"/>
          </w:tcPr>
          <w:p w14:paraId="35CE3C32"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8</w:t>
            </w:r>
          </w:p>
        </w:tc>
        <w:tc>
          <w:tcPr>
            <w:tcW w:w="7661" w:type="dxa"/>
            <w:shd w:val="clear" w:color="auto" w:fill="auto"/>
            <w:noWrap/>
            <w:vAlign w:val="bottom"/>
          </w:tcPr>
          <w:p w14:paraId="43E8265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Cena izdaje</w:t>
            </w:r>
          </w:p>
          <w:p w14:paraId="3C132807"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Cena izdaje instrumenta.</w:t>
            </w:r>
          </w:p>
          <w:p w14:paraId="45F36145"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180314CA" w14:textId="77777777">
        <w:trPr>
          <w:trHeight w:val="259"/>
        </w:trPr>
        <w:tc>
          <w:tcPr>
            <w:tcW w:w="1043" w:type="dxa"/>
            <w:vAlign w:val="center"/>
          </w:tcPr>
          <w:p w14:paraId="5D702EF4"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9</w:t>
            </w:r>
          </w:p>
        </w:tc>
        <w:tc>
          <w:tcPr>
            <w:tcW w:w="7661" w:type="dxa"/>
            <w:shd w:val="clear" w:color="auto" w:fill="auto"/>
            <w:noWrap/>
            <w:vAlign w:val="bottom"/>
          </w:tcPr>
          <w:p w14:paraId="33C6200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Cena odkupa</w:t>
            </w:r>
          </w:p>
          <w:p w14:paraId="52C7A121"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Cena odkupa instrumenta.</w:t>
            </w:r>
          </w:p>
          <w:p w14:paraId="4F7D611A"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46A296FE" w14:textId="77777777">
        <w:trPr>
          <w:trHeight w:val="259"/>
        </w:trPr>
        <w:tc>
          <w:tcPr>
            <w:tcW w:w="1043" w:type="dxa"/>
            <w:vAlign w:val="center"/>
          </w:tcPr>
          <w:p w14:paraId="494143E7"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10</w:t>
            </w:r>
          </w:p>
        </w:tc>
        <w:tc>
          <w:tcPr>
            <w:tcW w:w="7661" w:type="dxa"/>
            <w:shd w:val="clear" w:color="auto" w:fill="auto"/>
            <w:noWrap/>
            <w:vAlign w:val="bottom"/>
          </w:tcPr>
          <w:p w14:paraId="67D6C96F"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Računovodska razvrstitev</w:t>
            </w:r>
          </w:p>
          <w:p w14:paraId="35FAA355"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računovodska razvrstitev.</w:t>
            </w:r>
          </w:p>
          <w:p w14:paraId="6B58BEF4"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lastRenderedPageBreak/>
              <w:t xml:space="preserve">Izberite z </w:t>
            </w:r>
            <w:r w:rsidRPr="008F6131">
              <w:rPr>
                <w:rFonts w:ascii="Times New Roman" w:hAnsi="Times New Roman" w:cs="Times New Roman"/>
                <w:i/>
                <w:sz w:val="24"/>
              </w:rPr>
              <w:t>menija: [lastniški kapital], [obveznost – odplačna vrednost], [obveznost – opcija poštene vrednosti], [neobvladujoči delež v konsolidiranem odvisnem podjetju].</w:t>
            </w:r>
          </w:p>
        </w:tc>
      </w:tr>
      <w:tr w:rsidR="001D48E9" w:rsidRPr="008F6131" w14:paraId="1EE87807" w14:textId="77777777">
        <w:trPr>
          <w:trHeight w:val="259"/>
        </w:trPr>
        <w:tc>
          <w:tcPr>
            <w:tcW w:w="1043" w:type="dxa"/>
            <w:vAlign w:val="center"/>
          </w:tcPr>
          <w:p w14:paraId="66876DF4"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11</w:t>
            </w:r>
          </w:p>
        </w:tc>
        <w:tc>
          <w:tcPr>
            <w:tcW w:w="7661" w:type="dxa"/>
            <w:shd w:val="clear" w:color="auto" w:fill="auto"/>
            <w:noWrap/>
            <w:vAlign w:val="bottom"/>
          </w:tcPr>
          <w:p w14:paraId="7492281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Prvotni datum izdaje</w:t>
            </w:r>
          </w:p>
          <w:p w14:paraId="2619F81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datum izdaje.</w:t>
            </w:r>
          </w:p>
          <w:p w14:paraId="4D505C0F"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Prosto besedilo</w:t>
            </w:r>
          </w:p>
        </w:tc>
      </w:tr>
      <w:tr w:rsidR="001D48E9" w:rsidRPr="008F6131" w14:paraId="10197013" w14:textId="77777777">
        <w:trPr>
          <w:trHeight w:val="259"/>
        </w:trPr>
        <w:tc>
          <w:tcPr>
            <w:tcW w:w="1043" w:type="dxa"/>
            <w:vAlign w:val="center"/>
          </w:tcPr>
          <w:p w14:paraId="57517072"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12</w:t>
            </w:r>
          </w:p>
        </w:tc>
        <w:tc>
          <w:tcPr>
            <w:tcW w:w="7661" w:type="dxa"/>
            <w:shd w:val="clear" w:color="auto" w:fill="auto"/>
            <w:noWrap/>
            <w:vAlign w:val="bottom"/>
          </w:tcPr>
          <w:p w14:paraId="6A539F5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Brez zapadlosti ali z zapad</w:t>
            </w:r>
            <w:r w:rsidRPr="008F6131">
              <w:rPr>
                <w:rFonts w:ascii="Times New Roman" w:hAnsi="Times New Roman" w:cs="Times New Roman"/>
                <w:sz w:val="24"/>
              </w:rPr>
              <w:t>lostjo</w:t>
            </w:r>
          </w:p>
          <w:p w14:paraId="2514322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ali imajo instrumenti določen rok zapadlosti ali so brez zapadlosti.</w:t>
            </w:r>
          </w:p>
          <w:p w14:paraId="12D4FDCD"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[brez zapadlosti], [z zapadlostjo]</w:t>
            </w:r>
          </w:p>
        </w:tc>
      </w:tr>
      <w:tr w:rsidR="001D48E9" w:rsidRPr="008F6131" w14:paraId="2FF6AA1B" w14:textId="77777777">
        <w:trPr>
          <w:trHeight w:val="259"/>
        </w:trPr>
        <w:tc>
          <w:tcPr>
            <w:tcW w:w="1043" w:type="dxa"/>
            <w:vAlign w:val="center"/>
          </w:tcPr>
          <w:p w14:paraId="3AED5122"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13</w:t>
            </w:r>
          </w:p>
        </w:tc>
        <w:tc>
          <w:tcPr>
            <w:tcW w:w="7661" w:type="dxa"/>
            <w:shd w:val="clear" w:color="auto" w:fill="auto"/>
            <w:noWrap/>
            <w:vAlign w:val="bottom"/>
          </w:tcPr>
          <w:p w14:paraId="3D4E6316"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Prvotni datum zapadlosti</w:t>
            </w:r>
          </w:p>
          <w:p w14:paraId="033C25C0"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Za instrumente z zapadlostjo se navede prvotni datum zapadlosti (dan, mesec in </w:t>
            </w:r>
            <w:r w:rsidRPr="008F6131">
              <w:rPr>
                <w:rFonts w:ascii="Times New Roman" w:hAnsi="Times New Roman" w:cs="Times New Roman"/>
                <w:sz w:val="24"/>
              </w:rPr>
              <w:t>leto). Za instrumente brez zapadlosti se navede „brez zapadlosti“.</w:t>
            </w:r>
          </w:p>
          <w:p w14:paraId="3580F9A9"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Prosto besedilo</w:t>
            </w:r>
          </w:p>
        </w:tc>
      </w:tr>
      <w:tr w:rsidR="001D48E9" w:rsidRPr="008F6131" w14:paraId="096FEE03" w14:textId="77777777">
        <w:trPr>
          <w:trHeight w:val="259"/>
        </w:trPr>
        <w:tc>
          <w:tcPr>
            <w:tcW w:w="1043" w:type="dxa"/>
            <w:vAlign w:val="center"/>
          </w:tcPr>
          <w:p w14:paraId="24E892E5"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14</w:t>
            </w:r>
          </w:p>
        </w:tc>
        <w:tc>
          <w:tcPr>
            <w:tcW w:w="7661" w:type="dxa"/>
            <w:shd w:val="clear" w:color="auto" w:fill="auto"/>
            <w:noWrap/>
            <w:vAlign w:val="bottom"/>
          </w:tcPr>
          <w:p w14:paraId="095820C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Odpoklic izdajatelja na podlagi predhodne nadzorniške odobritve</w:t>
            </w:r>
          </w:p>
          <w:p w14:paraId="14EF2880"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ali obstaja opcija odpoklica izdajatelja (vse vrste opcij odpoklica).</w:t>
            </w:r>
          </w:p>
          <w:p w14:paraId="35F169AD"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[da],</w:t>
            </w:r>
            <w:r w:rsidRPr="008F6131">
              <w:rPr>
                <w:rFonts w:ascii="Times New Roman" w:hAnsi="Times New Roman" w:cs="Times New Roman"/>
                <w:i/>
                <w:sz w:val="24"/>
              </w:rPr>
              <w:t xml:space="preserve"> [ne]</w:t>
            </w:r>
          </w:p>
        </w:tc>
      </w:tr>
      <w:tr w:rsidR="001D48E9" w:rsidRPr="008F6131" w14:paraId="7110980B" w14:textId="77777777">
        <w:trPr>
          <w:trHeight w:val="259"/>
        </w:trPr>
        <w:tc>
          <w:tcPr>
            <w:tcW w:w="1043" w:type="dxa"/>
            <w:vAlign w:val="center"/>
          </w:tcPr>
          <w:p w14:paraId="260AAC9A"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15</w:t>
            </w:r>
          </w:p>
        </w:tc>
        <w:tc>
          <w:tcPr>
            <w:tcW w:w="7661" w:type="dxa"/>
            <w:shd w:val="clear" w:color="auto" w:fill="auto"/>
            <w:noWrap/>
            <w:vAlign w:val="bottom"/>
          </w:tcPr>
          <w:p w14:paraId="028C5CAD"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Poljubni datum odpoklica, pogojni datumi odpoklica in odkupni znesek</w:t>
            </w:r>
          </w:p>
          <w:p w14:paraId="5DCC0C52"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Za instrument z opcijo odpoklica izdajatelja, se navede prvi datum odpoklica, če ima instrument opcijo odpoklica na določen datum (dan, mesec in leto), in ali ima </w:t>
            </w:r>
            <w:r w:rsidRPr="008F6131">
              <w:rPr>
                <w:rFonts w:ascii="Times New Roman" w:hAnsi="Times New Roman" w:cs="Times New Roman"/>
                <w:sz w:val="24"/>
              </w:rPr>
              <w:t>instrument opcijo odpoklica zaradi davčnega in/ali regulativnega dogodka/obravnave. Navede se tudi cena odkupa. To pomaga pri oceni stalnosti.</w:t>
            </w:r>
          </w:p>
          <w:p w14:paraId="78019DD3"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4DE959C5" w14:textId="77777777">
        <w:trPr>
          <w:trHeight w:val="259"/>
        </w:trPr>
        <w:tc>
          <w:tcPr>
            <w:tcW w:w="1043" w:type="dxa"/>
            <w:vAlign w:val="center"/>
          </w:tcPr>
          <w:p w14:paraId="24A5C985"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16</w:t>
            </w:r>
          </w:p>
        </w:tc>
        <w:tc>
          <w:tcPr>
            <w:tcW w:w="7661" w:type="dxa"/>
            <w:shd w:val="clear" w:color="auto" w:fill="auto"/>
            <w:noWrap/>
            <w:vAlign w:val="bottom"/>
          </w:tcPr>
          <w:p w14:paraId="0730BFF9"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Naknadni datumi odpoklica, če je relevantno</w:t>
            </w:r>
          </w:p>
          <w:p w14:paraId="74415FF6"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Navede se, ali obstajajo naknadni datumi odpoklic</w:t>
            </w:r>
            <w:r w:rsidRPr="008F6131">
              <w:rPr>
                <w:rFonts w:ascii="Times New Roman" w:hAnsi="Times New Roman" w:cs="Times New Roman"/>
                <w:sz w:val="24"/>
              </w:rPr>
              <w:t>a in kako pogosti so, če je ustrezno. To pomaga pri oceni stalnosti.</w:t>
            </w:r>
          </w:p>
          <w:p w14:paraId="0B0B5C87"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Prosto besedilo</w:t>
            </w:r>
          </w:p>
        </w:tc>
      </w:tr>
      <w:tr w:rsidR="001D48E9" w:rsidRPr="008F6131" w14:paraId="5445D111" w14:textId="77777777">
        <w:trPr>
          <w:trHeight w:val="259"/>
        </w:trPr>
        <w:tc>
          <w:tcPr>
            <w:tcW w:w="1043" w:type="dxa"/>
            <w:vAlign w:val="center"/>
          </w:tcPr>
          <w:p w14:paraId="0C25B349"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17</w:t>
            </w:r>
          </w:p>
        </w:tc>
        <w:tc>
          <w:tcPr>
            <w:tcW w:w="7661" w:type="dxa"/>
            <w:shd w:val="clear" w:color="auto" w:fill="auto"/>
            <w:noWrap/>
            <w:vAlign w:val="bottom"/>
          </w:tcPr>
          <w:p w14:paraId="1D5BAD65"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Fiksna ali spremenljiva dividenda/kuponska obrestna mera</w:t>
            </w:r>
          </w:p>
          <w:p w14:paraId="6117C62B"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lastRenderedPageBreak/>
              <w:t>Navede se, ali je kuponska obrestna mera/dividenda: fiksna ali spremenljiva v celotni življenjski dobi instrum</w:t>
            </w:r>
            <w:r w:rsidRPr="008F6131">
              <w:rPr>
                <w:rFonts w:ascii="Times New Roman" w:hAnsi="Times New Roman" w:cs="Times New Roman"/>
                <w:sz w:val="24"/>
              </w:rPr>
              <w:t>enta ali trenutno fiksna, ampak se bo v prihodnje pretvorila v spremenljivo obrestno mero, ali trenutno spremenljiva, ampak se bo v prihodnje pretvorila v fiksno obrestno mero.</w:t>
            </w:r>
          </w:p>
          <w:p w14:paraId="681A4E96"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[fiksna], [spremenljiva], [fiksna, nato spremenljiva], [spre</w:t>
            </w:r>
            <w:r w:rsidRPr="008F6131">
              <w:rPr>
                <w:rFonts w:ascii="Times New Roman" w:hAnsi="Times New Roman" w:cs="Times New Roman"/>
                <w:i/>
                <w:sz w:val="24"/>
              </w:rPr>
              <w:t xml:space="preserve">menljiva, nato fiksna]. </w:t>
            </w:r>
          </w:p>
        </w:tc>
      </w:tr>
      <w:tr w:rsidR="001D48E9" w:rsidRPr="008F6131" w14:paraId="1C3C3054" w14:textId="77777777">
        <w:trPr>
          <w:trHeight w:val="259"/>
        </w:trPr>
        <w:tc>
          <w:tcPr>
            <w:tcW w:w="1043" w:type="dxa"/>
            <w:vAlign w:val="center"/>
          </w:tcPr>
          <w:p w14:paraId="15726DB1"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18</w:t>
            </w:r>
          </w:p>
        </w:tc>
        <w:tc>
          <w:tcPr>
            <w:tcW w:w="7661" w:type="dxa"/>
            <w:shd w:val="clear" w:color="auto" w:fill="auto"/>
            <w:noWrap/>
            <w:vAlign w:val="bottom"/>
          </w:tcPr>
          <w:p w14:paraId="61E6E415"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Kuponska obrestna mera in vsak z njo povezan indeks</w:t>
            </w:r>
          </w:p>
          <w:p w14:paraId="71C8F016"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kuponske obrestne mere instrumenta in vsakega povezanega indeksa, na katerega se sklicuje kuponska obrestna mera/dividenda.</w:t>
            </w:r>
          </w:p>
          <w:p w14:paraId="44AF82DD"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 xml:space="preserve">Prosto besedilo </w:t>
            </w:r>
          </w:p>
        </w:tc>
      </w:tr>
      <w:tr w:rsidR="001D48E9" w:rsidRPr="008F6131" w14:paraId="1E0F96F4" w14:textId="77777777">
        <w:trPr>
          <w:trHeight w:val="2983"/>
        </w:trPr>
        <w:tc>
          <w:tcPr>
            <w:tcW w:w="1043" w:type="dxa"/>
            <w:vAlign w:val="center"/>
          </w:tcPr>
          <w:p w14:paraId="4C16CA66"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19</w:t>
            </w:r>
          </w:p>
        </w:tc>
        <w:tc>
          <w:tcPr>
            <w:tcW w:w="7661" w:type="dxa"/>
            <w:shd w:val="clear" w:color="auto" w:fill="auto"/>
            <w:noWrap/>
            <w:vAlign w:val="bottom"/>
          </w:tcPr>
          <w:p w14:paraId="215F9AA0"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Obstoj </w:t>
            </w:r>
            <w:r w:rsidRPr="008F6131">
              <w:rPr>
                <w:rFonts w:ascii="Times New Roman" w:hAnsi="Times New Roman" w:cs="Times New Roman"/>
                <w:sz w:val="24"/>
              </w:rPr>
              <w:t>možnosti neizplačila donosov</w:t>
            </w:r>
          </w:p>
          <w:p w14:paraId="6BBBB15B"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neizplačilo kupona ali dividende instrumenta prepoveduje izplačilo dividend na navadne delnice (tj. ali obstaja možnost neizplačila donosov).</w:t>
            </w:r>
          </w:p>
          <w:p w14:paraId="1A8FE9F8"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 xml:space="preserve">Izberite z menija: [da], [ne]. </w:t>
            </w:r>
          </w:p>
        </w:tc>
      </w:tr>
      <w:tr w:rsidR="001D48E9" w:rsidRPr="008F6131" w14:paraId="2953A985" w14:textId="77777777">
        <w:trPr>
          <w:trHeight w:val="259"/>
        </w:trPr>
        <w:tc>
          <w:tcPr>
            <w:tcW w:w="1043" w:type="dxa"/>
            <w:vAlign w:val="center"/>
          </w:tcPr>
          <w:p w14:paraId="571EC988"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20</w:t>
            </w:r>
          </w:p>
        </w:tc>
        <w:tc>
          <w:tcPr>
            <w:tcW w:w="7661" w:type="dxa"/>
            <w:shd w:val="clear" w:color="auto" w:fill="auto"/>
            <w:noWrap/>
            <w:vAlign w:val="bottom"/>
          </w:tcPr>
          <w:p w14:paraId="53265DC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 Popolna diskrecijska pravica, delna diskrecijska pravica ali obvezno (glede na časovno razporeditev)</w:t>
            </w:r>
          </w:p>
          <w:p w14:paraId="01E80F9C"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Navedba, ali ima izdajatelj popolno diskrecijsko pravico, delno diskrecijsko pravico ali nima diskrecijske pravice v zvezi z izplačilom kupona/dividende. </w:t>
            </w:r>
            <w:r w:rsidRPr="008F6131">
              <w:rPr>
                <w:rFonts w:ascii="Times New Roman" w:hAnsi="Times New Roman" w:cs="Times New Roman"/>
                <w:sz w:val="24"/>
              </w:rPr>
              <w:t xml:space="preserve">Če ima institucija popolno diskrecijsko pravico do ukinitve izplačil kupona/dividende v vseh okoliščinah, mora izbrati možnost „popolna diskrecijska pravica“ (tudi če obstaja možnost neizplačila donosov, ki instituciji ne more preprečiti ukinitve izplačil </w:t>
            </w:r>
            <w:r w:rsidRPr="008F6131">
              <w:rPr>
                <w:rFonts w:ascii="Times New Roman" w:hAnsi="Times New Roman" w:cs="Times New Roman"/>
                <w:sz w:val="24"/>
              </w:rPr>
              <w:t>instrumenta). Če je za ukinitev izplačila potrebno izpolnjevati določene pogoje (npr. kapital pod določenim pragom), mora institucija izbrati možnost „delna diskrecijska pravica“. Če institucija ne more ukiniti izplačila, razen v primeru insolventnosti, mo</w:t>
            </w:r>
            <w:r w:rsidRPr="008F6131">
              <w:rPr>
                <w:rFonts w:ascii="Times New Roman" w:hAnsi="Times New Roman" w:cs="Times New Roman"/>
                <w:sz w:val="24"/>
              </w:rPr>
              <w:t>ra izbrati „obvezno“.</w:t>
            </w:r>
          </w:p>
          <w:p w14:paraId="3EAB7A43"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[popolna diskrecijska pravica], [delna diskrecijska pravica], [obvezno].</w:t>
            </w:r>
          </w:p>
          <w:p w14:paraId="537E24B9"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i/>
                <w:sz w:val="24"/>
              </w:rPr>
              <w:t>Prosto besedilo (navedite razloge za diskrecijsko pravico ter obstoj možnosti gotovega izplačila donosov, možnosti neizplačila donosov in alte</w:t>
            </w:r>
            <w:r w:rsidRPr="008F6131">
              <w:rPr>
                <w:rFonts w:ascii="Times New Roman" w:hAnsi="Times New Roman" w:cs="Times New Roman"/>
                <w:i/>
                <w:sz w:val="24"/>
              </w:rPr>
              <w:t>rnativnega mehanizma za poravnavo kuponske obrestne mere).</w:t>
            </w:r>
          </w:p>
        </w:tc>
      </w:tr>
      <w:tr w:rsidR="001D48E9" w:rsidRPr="008F6131" w14:paraId="79D10B06" w14:textId="77777777">
        <w:trPr>
          <w:trHeight w:val="259"/>
        </w:trPr>
        <w:tc>
          <w:tcPr>
            <w:tcW w:w="1043" w:type="dxa"/>
            <w:vAlign w:val="center"/>
          </w:tcPr>
          <w:p w14:paraId="099B24C4"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21</w:t>
            </w:r>
          </w:p>
        </w:tc>
        <w:tc>
          <w:tcPr>
            <w:tcW w:w="7661" w:type="dxa"/>
            <w:shd w:val="clear" w:color="auto" w:fill="auto"/>
            <w:noWrap/>
            <w:vAlign w:val="bottom"/>
          </w:tcPr>
          <w:p w14:paraId="1FDE37B1"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Popolna diskrecijska pravica, delna diskrecijska pravica ali obvezno (glede na znesek)</w:t>
            </w:r>
          </w:p>
          <w:p w14:paraId="2B0B3587"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Navedba, ali ima izdajatelj popolno diskrecijsko pravico, delno diskrecijsko pravico ali nima </w:t>
            </w:r>
            <w:r w:rsidRPr="008F6131">
              <w:rPr>
                <w:rFonts w:ascii="Times New Roman" w:hAnsi="Times New Roman" w:cs="Times New Roman"/>
                <w:sz w:val="24"/>
              </w:rPr>
              <w:t>diskrecijske pravice v zvezi z zneskom izplačanega kupona/dividende.</w:t>
            </w:r>
          </w:p>
          <w:p w14:paraId="681146AB"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[popolna diskrecijska pravica], [delna diskrecijska pravica], [obvezno].</w:t>
            </w:r>
          </w:p>
        </w:tc>
      </w:tr>
      <w:tr w:rsidR="001D48E9" w:rsidRPr="008F6131" w14:paraId="0EDA4C5F" w14:textId="77777777">
        <w:trPr>
          <w:trHeight w:val="259"/>
        </w:trPr>
        <w:tc>
          <w:tcPr>
            <w:tcW w:w="1043" w:type="dxa"/>
            <w:vAlign w:val="center"/>
          </w:tcPr>
          <w:p w14:paraId="63A0DD83"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22</w:t>
            </w:r>
          </w:p>
        </w:tc>
        <w:tc>
          <w:tcPr>
            <w:tcW w:w="7661" w:type="dxa"/>
            <w:shd w:val="clear" w:color="auto" w:fill="auto"/>
            <w:noWrap/>
            <w:vAlign w:val="bottom"/>
          </w:tcPr>
          <w:p w14:paraId="2D5EE001"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 Možnost povečanja ali druge spodbude za odkup</w:t>
            </w:r>
          </w:p>
          <w:p w14:paraId="2BC4520B"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obstaja možnost povečanja stopn</w:t>
            </w:r>
            <w:r w:rsidRPr="008F6131">
              <w:rPr>
                <w:rFonts w:ascii="Times New Roman" w:hAnsi="Times New Roman" w:cs="Times New Roman"/>
                <w:sz w:val="24"/>
              </w:rPr>
              <w:t>je izplačila ali druga spodbuda za odkup.</w:t>
            </w:r>
          </w:p>
          <w:p w14:paraId="258C3502"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[da], [ne]</w:t>
            </w:r>
          </w:p>
        </w:tc>
      </w:tr>
      <w:tr w:rsidR="001D48E9" w:rsidRPr="008F6131" w14:paraId="0E2C5314" w14:textId="77777777">
        <w:trPr>
          <w:trHeight w:val="259"/>
        </w:trPr>
        <w:tc>
          <w:tcPr>
            <w:tcW w:w="1043" w:type="dxa"/>
            <w:vAlign w:val="center"/>
          </w:tcPr>
          <w:p w14:paraId="67B0864A"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23</w:t>
            </w:r>
          </w:p>
        </w:tc>
        <w:tc>
          <w:tcPr>
            <w:tcW w:w="7661" w:type="dxa"/>
            <w:shd w:val="clear" w:color="auto" w:fill="auto"/>
            <w:noWrap/>
            <w:vAlign w:val="bottom"/>
          </w:tcPr>
          <w:p w14:paraId="7A1CC46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Nekumulativni ali kumultativni</w:t>
            </w:r>
          </w:p>
          <w:p w14:paraId="3CA7CFD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so dividende/kuponi kumulativni ali nekumulativni.</w:t>
            </w:r>
          </w:p>
          <w:p w14:paraId="0CDCD036"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[nekumulativni], [kumulativni], [alternativni mehanizem za poravna</w:t>
            </w:r>
            <w:r w:rsidRPr="008F6131">
              <w:rPr>
                <w:rFonts w:ascii="Times New Roman" w:hAnsi="Times New Roman" w:cs="Times New Roman"/>
                <w:i/>
                <w:sz w:val="24"/>
              </w:rPr>
              <w:t>vo kuponske obrestne mere].</w:t>
            </w:r>
          </w:p>
        </w:tc>
      </w:tr>
      <w:tr w:rsidR="001D48E9" w:rsidRPr="008F6131" w14:paraId="4EE3F33C" w14:textId="77777777">
        <w:trPr>
          <w:trHeight w:val="259"/>
        </w:trPr>
        <w:tc>
          <w:tcPr>
            <w:tcW w:w="1043" w:type="dxa"/>
            <w:vAlign w:val="center"/>
          </w:tcPr>
          <w:p w14:paraId="557BE73A"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24</w:t>
            </w:r>
          </w:p>
        </w:tc>
        <w:tc>
          <w:tcPr>
            <w:tcW w:w="7661" w:type="dxa"/>
            <w:shd w:val="clear" w:color="auto" w:fill="auto"/>
            <w:noWrap/>
            <w:vAlign w:val="bottom"/>
          </w:tcPr>
          <w:p w14:paraId="0D62886C"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Konvertibilni ali nekonvertibilni</w:t>
            </w:r>
          </w:p>
          <w:p w14:paraId="18183D60"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so instrumenti konvertibilni ali ne.</w:t>
            </w:r>
          </w:p>
          <w:p w14:paraId="74F750CE"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[konvertibilni], [nekonvertibilni].</w:t>
            </w:r>
          </w:p>
        </w:tc>
      </w:tr>
      <w:tr w:rsidR="001D48E9" w:rsidRPr="008F6131" w14:paraId="29B71365" w14:textId="77777777">
        <w:trPr>
          <w:trHeight w:val="259"/>
        </w:trPr>
        <w:tc>
          <w:tcPr>
            <w:tcW w:w="1043" w:type="dxa"/>
            <w:vAlign w:val="center"/>
          </w:tcPr>
          <w:p w14:paraId="19F71D24"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25</w:t>
            </w:r>
          </w:p>
        </w:tc>
        <w:tc>
          <w:tcPr>
            <w:tcW w:w="7661" w:type="dxa"/>
            <w:shd w:val="clear" w:color="auto" w:fill="auto"/>
            <w:noWrap/>
            <w:vAlign w:val="bottom"/>
          </w:tcPr>
          <w:p w14:paraId="3825A779"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 Če so konvertibilni, kateri so sprožilni dogodki za konverzijo</w:t>
            </w:r>
          </w:p>
          <w:p w14:paraId="1796AC0B"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pogojev, pod katerimi bo instrument konvertiran, vključno s točko neizvedljivosti. Če lahko eden ali več organov sproži konverzijo, se ti organi navedejo. V zvezi z vsakim organom se n</w:t>
            </w:r>
            <w:r w:rsidRPr="008F6131">
              <w:rPr>
                <w:rFonts w:ascii="Times New Roman" w:hAnsi="Times New Roman" w:cs="Times New Roman"/>
                <w:sz w:val="24"/>
              </w:rPr>
              <w:t>avede, ali mu pravno podlago za sprožitev konverzije zagotavljajo pogoji iz pogodbe za instrument (pogodbeni pristop) ali mu je pravna podlaga zagotovljena na zakonski osnovi (zakonski pristop).</w:t>
            </w:r>
          </w:p>
          <w:p w14:paraId="0A52E8BB"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4D5482A6" w14:textId="77777777">
        <w:trPr>
          <w:trHeight w:val="259"/>
        </w:trPr>
        <w:tc>
          <w:tcPr>
            <w:tcW w:w="1043" w:type="dxa"/>
            <w:vAlign w:val="center"/>
          </w:tcPr>
          <w:p w14:paraId="6F6FCBC7"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26</w:t>
            </w:r>
          </w:p>
        </w:tc>
        <w:tc>
          <w:tcPr>
            <w:tcW w:w="7661" w:type="dxa"/>
            <w:shd w:val="clear" w:color="auto" w:fill="auto"/>
            <w:noWrap/>
            <w:vAlign w:val="bottom"/>
          </w:tcPr>
          <w:p w14:paraId="2EE9731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Če so konvertibilni, ali so v celoti ali </w:t>
            </w:r>
            <w:r w:rsidRPr="008F6131">
              <w:rPr>
                <w:rFonts w:ascii="Times New Roman" w:hAnsi="Times New Roman" w:cs="Times New Roman"/>
                <w:sz w:val="24"/>
              </w:rPr>
              <w:t>delno</w:t>
            </w:r>
          </w:p>
          <w:p w14:paraId="4CF07B6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se bo instrument vedno v celoti konvertiral, se bo lahko konvertiral v celoti ali delno ali se bo vedno konvertiral delno.</w:t>
            </w:r>
          </w:p>
          <w:p w14:paraId="40BA7CDA"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[vedno v celoti], [v celoti ali delno], [vedno delno].</w:t>
            </w:r>
          </w:p>
        </w:tc>
      </w:tr>
      <w:tr w:rsidR="001D48E9" w:rsidRPr="008F6131" w14:paraId="1F94A84D" w14:textId="77777777">
        <w:trPr>
          <w:trHeight w:val="259"/>
        </w:trPr>
        <w:tc>
          <w:tcPr>
            <w:tcW w:w="1043" w:type="dxa"/>
            <w:vAlign w:val="center"/>
          </w:tcPr>
          <w:p w14:paraId="3E24F0C6"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27</w:t>
            </w:r>
          </w:p>
        </w:tc>
        <w:tc>
          <w:tcPr>
            <w:tcW w:w="7661" w:type="dxa"/>
            <w:shd w:val="clear" w:color="auto" w:fill="auto"/>
            <w:noWrap/>
            <w:vAlign w:val="bottom"/>
          </w:tcPr>
          <w:p w14:paraId="2A35A6EF"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Če so konvertibilni, kakšna je </w:t>
            </w:r>
            <w:r w:rsidRPr="008F6131">
              <w:rPr>
                <w:rFonts w:ascii="Times New Roman" w:hAnsi="Times New Roman" w:cs="Times New Roman"/>
                <w:sz w:val="24"/>
              </w:rPr>
              <w:t>stopnja konverzije</w:t>
            </w:r>
          </w:p>
          <w:p w14:paraId="6751F1D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stopnje, po kateri se instrument konvertira v instrument, ki bolj pokriva izgube.</w:t>
            </w:r>
          </w:p>
          <w:p w14:paraId="4DB7CF33"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7FD67137" w14:textId="77777777">
        <w:trPr>
          <w:trHeight w:val="259"/>
        </w:trPr>
        <w:tc>
          <w:tcPr>
            <w:tcW w:w="1043" w:type="dxa"/>
            <w:vAlign w:val="center"/>
          </w:tcPr>
          <w:p w14:paraId="25096478"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28</w:t>
            </w:r>
          </w:p>
        </w:tc>
        <w:tc>
          <w:tcPr>
            <w:tcW w:w="7661" w:type="dxa"/>
            <w:shd w:val="clear" w:color="auto" w:fill="auto"/>
            <w:noWrap/>
            <w:vAlign w:val="bottom"/>
          </w:tcPr>
          <w:p w14:paraId="746028E8"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 Če so konvertibilni, ali je konverzija obvezna ali izbirna</w:t>
            </w:r>
          </w:p>
          <w:p w14:paraId="280E39E7"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Za konvertibilne instrumente navedba, ali je konverzija obvezna ali</w:t>
            </w:r>
            <w:r w:rsidRPr="008F6131">
              <w:rPr>
                <w:rFonts w:ascii="Times New Roman" w:hAnsi="Times New Roman" w:cs="Times New Roman"/>
                <w:sz w:val="24"/>
              </w:rPr>
              <w:t xml:space="preserve"> izbirna.</w:t>
            </w:r>
          </w:p>
          <w:p w14:paraId="44D022DE"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[obvezna], [izbirna], [n. r.] in [po izbiri imetnikov], [po izbiri izdajatelja], [po izbiri imetnikov in izdajatelja].</w:t>
            </w:r>
          </w:p>
        </w:tc>
      </w:tr>
      <w:tr w:rsidR="001D48E9" w:rsidRPr="008F6131" w14:paraId="6DE84301" w14:textId="77777777">
        <w:trPr>
          <w:trHeight w:val="259"/>
        </w:trPr>
        <w:tc>
          <w:tcPr>
            <w:tcW w:w="1043" w:type="dxa"/>
            <w:vAlign w:val="center"/>
          </w:tcPr>
          <w:p w14:paraId="60C251A0"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29</w:t>
            </w:r>
          </w:p>
        </w:tc>
        <w:tc>
          <w:tcPr>
            <w:tcW w:w="7661" w:type="dxa"/>
            <w:shd w:val="clear" w:color="auto" w:fill="auto"/>
            <w:noWrap/>
            <w:vAlign w:val="bottom"/>
          </w:tcPr>
          <w:p w14:paraId="19C250B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Če so konvertibilni, navedba vrste instrumenta, v katerega se konvertirajo</w:t>
            </w:r>
          </w:p>
          <w:p w14:paraId="4E9EBA3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Za konvertibilne instrumente </w:t>
            </w:r>
            <w:r w:rsidRPr="008F6131">
              <w:rPr>
                <w:rFonts w:ascii="Times New Roman" w:hAnsi="Times New Roman" w:cs="Times New Roman"/>
                <w:sz w:val="24"/>
              </w:rPr>
              <w:t>navedba vrste instrumenta, v katerega se konvertirajo.</w:t>
            </w:r>
          </w:p>
          <w:p w14:paraId="3A5BC6D9"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[navadni lastniški temeljni kapital], [dodatni temeljni kapital], [dodatni kapital], [drugo].</w:t>
            </w:r>
          </w:p>
        </w:tc>
      </w:tr>
      <w:tr w:rsidR="001D48E9" w:rsidRPr="008F6131" w14:paraId="09D851D0" w14:textId="77777777">
        <w:trPr>
          <w:trHeight w:val="259"/>
        </w:trPr>
        <w:tc>
          <w:tcPr>
            <w:tcW w:w="1043" w:type="dxa"/>
            <w:vAlign w:val="center"/>
          </w:tcPr>
          <w:p w14:paraId="025F64D8"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30</w:t>
            </w:r>
          </w:p>
        </w:tc>
        <w:tc>
          <w:tcPr>
            <w:tcW w:w="7661" w:type="dxa"/>
            <w:shd w:val="clear" w:color="auto" w:fill="auto"/>
            <w:noWrap/>
            <w:vAlign w:val="bottom"/>
          </w:tcPr>
          <w:p w14:paraId="20AC601A"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Če so konvertibilni, navedite izdajatelja instrumenta, v katerega se </w:t>
            </w:r>
            <w:r w:rsidRPr="008F6131">
              <w:rPr>
                <w:rFonts w:ascii="Times New Roman" w:hAnsi="Times New Roman" w:cs="Times New Roman"/>
                <w:sz w:val="24"/>
              </w:rPr>
              <w:t>konvertirajo</w:t>
            </w:r>
          </w:p>
          <w:p w14:paraId="0FEF90AE"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Če so konvertibilni, navedba izdajatelja instrumenta, v katerega se konvertirajo.</w:t>
            </w:r>
          </w:p>
          <w:p w14:paraId="748E1569"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63D2542D" w14:textId="77777777">
        <w:trPr>
          <w:trHeight w:val="259"/>
        </w:trPr>
        <w:tc>
          <w:tcPr>
            <w:tcW w:w="1043" w:type="dxa"/>
            <w:vAlign w:val="center"/>
          </w:tcPr>
          <w:p w14:paraId="4AC744FF"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31</w:t>
            </w:r>
          </w:p>
        </w:tc>
        <w:tc>
          <w:tcPr>
            <w:tcW w:w="7661" w:type="dxa"/>
            <w:shd w:val="clear" w:color="auto" w:fill="auto"/>
            <w:noWrap/>
            <w:vAlign w:val="bottom"/>
          </w:tcPr>
          <w:p w14:paraId="59AEB976"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Možnosti odpisa</w:t>
            </w:r>
          </w:p>
          <w:p w14:paraId="1F0DC101"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obstaja možnost odpisa.</w:t>
            </w:r>
          </w:p>
          <w:p w14:paraId="6DB214BC"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[da], [ne]</w:t>
            </w:r>
          </w:p>
        </w:tc>
      </w:tr>
      <w:tr w:rsidR="001D48E9" w:rsidRPr="008F6131" w14:paraId="686E2863" w14:textId="77777777">
        <w:trPr>
          <w:trHeight w:val="259"/>
        </w:trPr>
        <w:tc>
          <w:tcPr>
            <w:tcW w:w="1043" w:type="dxa"/>
            <w:vAlign w:val="center"/>
          </w:tcPr>
          <w:p w14:paraId="16F42123"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32</w:t>
            </w:r>
          </w:p>
        </w:tc>
        <w:tc>
          <w:tcPr>
            <w:tcW w:w="7661" w:type="dxa"/>
            <w:shd w:val="clear" w:color="auto" w:fill="auto"/>
            <w:noWrap/>
            <w:vAlign w:val="bottom"/>
          </w:tcPr>
          <w:p w14:paraId="2EA7E693"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V primeru odpisa, kateri so sprožilni dogodki</w:t>
            </w:r>
          </w:p>
          <w:p w14:paraId="7A456B58" w14:textId="77777777" w:rsidR="001D48E9" w:rsidRPr="008F6131" w:rsidRDefault="008F6131">
            <w:pPr>
              <w:autoSpaceDE w:val="0"/>
              <w:autoSpaceDN w:val="0"/>
              <w:adjustRightInd w:val="0"/>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sprožilnih dogodkov, pri katerih pride do odpisa, vključno s točko neizvedljivosti. Če lahko eden ali več organov sproži odpis, se ti organi navedejo. V zvezi z vsakim organom navedba, ali mu pravno podlago za odpis zagotavljajo pogoji iz pogodbe z</w:t>
            </w:r>
            <w:r w:rsidRPr="008F6131">
              <w:rPr>
                <w:rFonts w:ascii="Times New Roman" w:hAnsi="Times New Roman" w:cs="Times New Roman"/>
                <w:sz w:val="24"/>
              </w:rPr>
              <w:t>a instrument (pogodbeni pristop) ali mu je pravna podlaga zagotovljena na zakonski osnovi (zakonski pristop).</w:t>
            </w:r>
          </w:p>
          <w:p w14:paraId="5433F5EB"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2D93D54E" w14:textId="77777777">
        <w:trPr>
          <w:trHeight w:val="259"/>
        </w:trPr>
        <w:tc>
          <w:tcPr>
            <w:tcW w:w="1043" w:type="dxa"/>
            <w:vAlign w:val="center"/>
          </w:tcPr>
          <w:p w14:paraId="65104D02"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33</w:t>
            </w:r>
          </w:p>
        </w:tc>
        <w:tc>
          <w:tcPr>
            <w:tcW w:w="7661" w:type="dxa"/>
            <w:shd w:val="clear" w:color="auto" w:fill="auto"/>
            <w:noWrap/>
            <w:vAlign w:val="bottom"/>
          </w:tcPr>
          <w:p w14:paraId="3D6726E9"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V primeru odpisa, ali gre za popoln ali delen odpis</w:t>
            </w:r>
          </w:p>
          <w:p w14:paraId="394C82AD"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lastRenderedPageBreak/>
              <w:t>Navedba, ali bo instrument vedno odpisan v celoti, ali se lahko odpiše del</w:t>
            </w:r>
            <w:r w:rsidRPr="008F6131">
              <w:rPr>
                <w:rFonts w:ascii="Times New Roman" w:hAnsi="Times New Roman" w:cs="Times New Roman"/>
                <w:sz w:val="24"/>
              </w:rPr>
              <w:t>no ali se bo vedno odpisal delno. To pomaga pri oceni ravni pokritja izgub pri odpisu.</w:t>
            </w:r>
          </w:p>
          <w:p w14:paraId="473DEC02"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 xml:space="preserve">Izberite z menija: [vedno v celoti], [v celoti ali delno], [vedno delno]. </w:t>
            </w:r>
          </w:p>
        </w:tc>
      </w:tr>
      <w:tr w:rsidR="001D48E9" w:rsidRPr="008F6131" w14:paraId="6A83CEAC" w14:textId="77777777">
        <w:trPr>
          <w:trHeight w:val="259"/>
        </w:trPr>
        <w:tc>
          <w:tcPr>
            <w:tcW w:w="1043" w:type="dxa"/>
            <w:vAlign w:val="center"/>
          </w:tcPr>
          <w:p w14:paraId="1B6ADD3E"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lastRenderedPageBreak/>
              <w:t>34</w:t>
            </w:r>
          </w:p>
        </w:tc>
        <w:tc>
          <w:tcPr>
            <w:tcW w:w="7661" w:type="dxa"/>
            <w:shd w:val="clear" w:color="auto" w:fill="auto"/>
            <w:noWrap/>
            <w:vAlign w:val="bottom"/>
          </w:tcPr>
          <w:p w14:paraId="6DB64712"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V primeru odpisa, ali je stalen ali začasen</w:t>
            </w:r>
          </w:p>
          <w:p w14:paraId="04D17C8C"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Institucije za odpisane instrumente navedba, a</w:t>
            </w:r>
            <w:r w:rsidRPr="008F6131">
              <w:rPr>
                <w:rFonts w:ascii="Times New Roman" w:hAnsi="Times New Roman" w:cs="Times New Roman"/>
                <w:sz w:val="24"/>
              </w:rPr>
              <w:t>li je odpis trajen ali začasen.</w:t>
            </w:r>
          </w:p>
          <w:p w14:paraId="73A3B5D6"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Izberite z menija: [trajen] [začasen] [n.r.].</w:t>
            </w:r>
          </w:p>
        </w:tc>
      </w:tr>
      <w:tr w:rsidR="001D48E9" w:rsidRPr="008F6131" w14:paraId="0948C01E" w14:textId="77777777">
        <w:trPr>
          <w:trHeight w:val="259"/>
        </w:trPr>
        <w:tc>
          <w:tcPr>
            <w:tcW w:w="1043" w:type="dxa"/>
            <w:vAlign w:val="center"/>
          </w:tcPr>
          <w:p w14:paraId="5D9C871B"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35</w:t>
            </w:r>
          </w:p>
        </w:tc>
        <w:tc>
          <w:tcPr>
            <w:tcW w:w="7661" w:type="dxa"/>
            <w:shd w:val="clear" w:color="auto" w:fill="auto"/>
            <w:noWrap/>
            <w:vAlign w:val="bottom"/>
          </w:tcPr>
          <w:p w14:paraId="58F802DB"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V primeru začasnega odpisa, opis mehanizma za zvišanje vrednosti</w:t>
            </w:r>
          </w:p>
          <w:p w14:paraId="3D92628D"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Opis mehanizma za pripis višje vrednosti.</w:t>
            </w:r>
          </w:p>
          <w:p w14:paraId="33DB90A4"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rsidRPr="008F6131" w14:paraId="78E94DC4" w14:textId="77777777">
        <w:trPr>
          <w:trHeight w:val="1448"/>
        </w:trPr>
        <w:tc>
          <w:tcPr>
            <w:tcW w:w="1043" w:type="dxa"/>
            <w:vAlign w:val="center"/>
          </w:tcPr>
          <w:p w14:paraId="46FEFEE3"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36</w:t>
            </w:r>
          </w:p>
        </w:tc>
        <w:tc>
          <w:tcPr>
            <w:tcW w:w="7661" w:type="dxa"/>
            <w:shd w:val="clear" w:color="auto" w:fill="auto"/>
            <w:noWrap/>
            <w:vAlign w:val="bottom"/>
          </w:tcPr>
          <w:p w14:paraId="3F8528F3"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Neskladne značilnosti v prehodnem </w:t>
            </w:r>
            <w:r w:rsidRPr="008F6131">
              <w:rPr>
                <w:rFonts w:ascii="Times New Roman" w:hAnsi="Times New Roman" w:cs="Times New Roman"/>
                <w:sz w:val="24"/>
              </w:rPr>
              <w:t>obdobju</w:t>
            </w:r>
          </w:p>
          <w:p w14:paraId="7280CDFD"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ali obstajajo neskladne značilnosti.</w:t>
            </w:r>
          </w:p>
          <w:p w14:paraId="526B4956"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sz w:val="24"/>
              </w:rPr>
              <w:t>Izberite med [da] ali [ne].</w:t>
            </w:r>
          </w:p>
        </w:tc>
      </w:tr>
      <w:tr w:rsidR="001D48E9" w:rsidRPr="008F6131" w14:paraId="7E04F441" w14:textId="77777777">
        <w:trPr>
          <w:trHeight w:val="259"/>
        </w:trPr>
        <w:tc>
          <w:tcPr>
            <w:tcW w:w="1043" w:type="dxa"/>
            <w:vAlign w:val="center"/>
          </w:tcPr>
          <w:p w14:paraId="29595D21"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37</w:t>
            </w:r>
          </w:p>
        </w:tc>
        <w:tc>
          <w:tcPr>
            <w:tcW w:w="7661" w:type="dxa"/>
            <w:shd w:val="clear" w:color="auto" w:fill="auto"/>
            <w:noWrap/>
            <w:vAlign w:val="bottom"/>
          </w:tcPr>
          <w:p w14:paraId="6456777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Če je odgovor da, navedite neskladne značilnosti</w:t>
            </w:r>
          </w:p>
          <w:p w14:paraId="64318D62"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Če obstajajo neskladne značilnosti, jih institucija navede.</w:t>
            </w:r>
          </w:p>
          <w:p w14:paraId="5C09C630" w14:textId="77777777" w:rsidR="001D48E9" w:rsidRPr="008F6131" w:rsidRDefault="008F6131">
            <w:pPr>
              <w:spacing w:after="200" w:line="276" w:lineRule="auto"/>
              <w:jc w:val="both"/>
              <w:rPr>
                <w:rFonts w:ascii="Times New Roman" w:eastAsia="Times New Roman" w:hAnsi="Times New Roman" w:cs="Times New Roman"/>
                <w:i/>
                <w:sz w:val="24"/>
              </w:rPr>
            </w:pPr>
            <w:r w:rsidRPr="008F6131">
              <w:rPr>
                <w:rFonts w:ascii="Times New Roman" w:hAnsi="Times New Roman" w:cs="Times New Roman"/>
                <w:i/>
                <w:sz w:val="24"/>
              </w:rPr>
              <w:t>Prosto besedilo</w:t>
            </w:r>
          </w:p>
        </w:tc>
      </w:tr>
      <w:tr w:rsidR="001D48E9" w14:paraId="293D6EFB" w14:textId="77777777">
        <w:trPr>
          <w:trHeight w:val="259"/>
        </w:trPr>
        <w:tc>
          <w:tcPr>
            <w:tcW w:w="1043" w:type="dxa"/>
            <w:vAlign w:val="center"/>
          </w:tcPr>
          <w:p w14:paraId="1F1B5322" w14:textId="77777777" w:rsidR="001D48E9" w:rsidRPr="008F6131" w:rsidRDefault="008F6131">
            <w:pPr>
              <w:spacing w:after="200" w:line="276" w:lineRule="auto"/>
              <w:rPr>
                <w:rFonts w:ascii="Times New Roman" w:eastAsia="Times New Roman" w:hAnsi="Times New Roman" w:cs="Times New Roman"/>
                <w:sz w:val="24"/>
              </w:rPr>
            </w:pPr>
            <w:r w:rsidRPr="008F6131">
              <w:rPr>
                <w:rFonts w:ascii="Times New Roman" w:hAnsi="Times New Roman" w:cs="Times New Roman"/>
                <w:color w:val="000000"/>
                <w:sz w:val="24"/>
              </w:rPr>
              <w:t>38</w:t>
            </w:r>
          </w:p>
        </w:tc>
        <w:tc>
          <w:tcPr>
            <w:tcW w:w="7661" w:type="dxa"/>
            <w:shd w:val="clear" w:color="auto" w:fill="auto"/>
            <w:noWrap/>
            <w:vAlign w:val="bottom"/>
          </w:tcPr>
          <w:p w14:paraId="7650FA04" w14:textId="77777777" w:rsidR="001D48E9" w:rsidRPr="008F6131"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 xml:space="preserve">Povezava do vseh določil in </w:t>
            </w:r>
            <w:r w:rsidRPr="008F6131">
              <w:rPr>
                <w:rFonts w:ascii="Times New Roman" w:hAnsi="Times New Roman" w:cs="Times New Roman"/>
                <w:sz w:val="24"/>
              </w:rPr>
              <w:t>pogojev instrumenta (sklicevanje)</w:t>
            </w:r>
          </w:p>
          <w:p w14:paraId="1B947446" w14:textId="77777777" w:rsidR="001D48E9" w:rsidRDefault="008F6131">
            <w:pPr>
              <w:spacing w:after="200" w:line="276" w:lineRule="auto"/>
              <w:jc w:val="both"/>
              <w:rPr>
                <w:rFonts w:ascii="Times New Roman" w:eastAsia="Times New Roman" w:hAnsi="Times New Roman" w:cs="Times New Roman"/>
                <w:sz w:val="24"/>
              </w:rPr>
            </w:pPr>
            <w:r w:rsidRPr="008F6131">
              <w:rPr>
                <w:rFonts w:ascii="Times New Roman" w:hAnsi="Times New Roman" w:cs="Times New Roman"/>
                <w:sz w:val="24"/>
              </w:rPr>
              <w:t>Navedba spletne povezave, ki omogoča dostop do prospekta izdaje, vključno z vsemi določili in pogoji instrumenta.</w:t>
            </w:r>
          </w:p>
        </w:tc>
      </w:tr>
      <w:bookmarkEnd w:id="0"/>
      <w:bookmarkEnd w:id="1"/>
      <w:bookmarkEnd w:id="2"/>
      <w:bookmarkEnd w:id="3"/>
      <w:bookmarkEnd w:id="4"/>
      <w:bookmarkEnd w:id="5"/>
      <w:bookmarkEnd w:id="6"/>
      <w:bookmarkEnd w:id="7"/>
      <w:bookmarkEnd w:id="8"/>
      <w:bookmarkEnd w:id="9"/>
    </w:tbl>
    <w:p w14:paraId="34D76CF3" w14:textId="77777777" w:rsidR="001D48E9" w:rsidRPr="008F6131" w:rsidRDefault="001D48E9">
      <w:pPr>
        <w:rPr>
          <w:rFonts w:ascii="Times New Roman" w:hAnsi="Times New Roman" w:cs="Times New Roman"/>
          <w:bCs/>
          <w:sz w:val="24"/>
        </w:rPr>
      </w:pPr>
    </w:p>
    <w:sectPr w:rsidR="001D48E9" w:rsidRPr="008F6131">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14BF9" w14:textId="77777777" w:rsidR="001D48E9" w:rsidRDefault="008F6131">
      <w:r>
        <w:separator/>
      </w:r>
    </w:p>
  </w:endnote>
  <w:endnote w:type="continuationSeparator" w:id="0">
    <w:p w14:paraId="09F05422" w14:textId="77777777" w:rsidR="001D48E9" w:rsidRDefault="008F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315B3" w14:textId="77777777" w:rsidR="001D48E9" w:rsidRDefault="001D48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59D4A" w14:textId="77777777" w:rsidR="001D48E9" w:rsidRDefault="008F6131">
    <w:pPr>
      <w:pStyle w:val="Footer"/>
      <w:tabs>
        <w:tab w:val="clear" w:pos="4320"/>
        <w:tab w:val="clear" w:pos="8640"/>
        <w:tab w:val="right" w:pos="9071"/>
      </w:tabs>
    </w:pPr>
    <w:r>
      <w:t>SL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6D9A1" w14:textId="77777777" w:rsidR="001D48E9" w:rsidRDefault="001D4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B70FB" w14:textId="77777777" w:rsidR="001D48E9" w:rsidRDefault="008F6131">
      <w:pPr>
        <w:rPr>
          <w:sz w:val="12"/>
          <w:szCs w:val="12"/>
        </w:rPr>
      </w:pPr>
      <w:r>
        <w:rPr>
          <w:sz w:val="12"/>
          <w:szCs w:val="12"/>
        </w:rPr>
        <w:separator/>
      </w:r>
    </w:p>
  </w:footnote>
  <w:footnote w:type="continuationSeparator" w:id="0">
    <w:p w14:paraId="4C34BC84" w14:textId="77777777" w:rsidR="001D48E9" w:rsidRDefault="008F6131">
      <w:r>
        <w:continuationSeparator/>
      </w:r>
    </w:p>
  </w:footnote>
  <w:footnote w:type="continuationNotice" w:id="1">
    <w:p w14:paraId="548A08A7" w14:textId="77777777" w:rsidR="001D48E9" w:rsidRDefault="001D48E9">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5F5C5" w14:textId="77777777" w:rsidR="001D48E9" w:rsidRDefault="001D48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8AA0A" w14:textId="60E9E19F" w:rsidR="001D48E9" w:rsidRDefault="008F6131">
    <w:pPr>
      <w:pStyle w:val="Header"/>
    </w:pPr>
    <w:r>
      <w:rPr>
        <w:noProof/>
      </w:rPr>
      <mc:AlternateContent>
        <mc:Choice Requires="wps">
          <w:drawing>
            <wp:anchor distT="0" distB="0" distL="114300" distR="114300" simplePos="0" relativeHeight="251659264" behindDoc="0" locked="0" layoutInCell="0" allowOverlap="1" wp14:anchorId="078171A6" wp14:editId="6DCAD695">
              <wp:simplePos x="0" y="0"/>
              <wp:positionH relativeFrom="page">
                <wp:posOffset>0</wp:posOffset>
              </wp:positionH>
              <wp:positionV relativeFrom="page">
                <wp:posOffset>190500</wp:posOffset>
              </wp:positionV>
              <wp:extent cx="7556500" cy="273050"/>
              <wp:effectExtent l="0" t="0" r="0" b="12700"/>
              <wp:wrapNone/>
              <wp:docPr id="1" name="MSIPCM704e4bdf94719b673194e0af"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2F611C" w14:textId="110C1E39" w:rsidR="008F6131" w:rsidRPr="008F6131" w:rsidRDefault="008F6131" w:rsidP="008F6131">
                          <w:pPr>
                            <w:rPr>
                              <w:rFonts w:ascii="Calibri" w:hAnsi="Calibri" w:cs="Calibri"/>
                              <w:color w:val="000000"/>
                              <w:sz w:val="24"/>
                            </w:rPr>
                          </w:pPr>
                          <w:r w:rsidRPr="008F6131">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78171A6" id="_x0000_t202" coordsize="21600,21600" o:spt="202" path="m,l,21600r21600,l21600,xe">
              <v:stroke joinstyle="miter"/>
              <v:path gradientshapeok="t" o:connecttype="rect"/>
            </v:shapetype>
            <v:shape id="MSIPCM704e4bdf94719b673194e0af"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" o:allowincell="f" filled="f" stroked="f" strokeweight=".5pt">
              <v:fill o:detectmouseclick="t"/>
              <v:textbox inset="20pt,0,,0">
                <w:txbxContent>
                  <w:p w14:paraId="522F611C" w14:textId="110C1E39" w:rsidR="008F6131" w:rsidRPr="008F6131" w:rsidRDefault="008F6131" w:rsidP="008F6131">
                    <w:pPr>
                      <w:rPr>
                        <w:rFonts w:ascii="Calibri" w:hAnsi="Calibri" w:cs="Calibri"/>
                        <w:color w:val="000000"/>
                        <w:sz w:val="24"/>
                      </w:rPr>
                    </w:pPr>
                    <w:r w:rsidRPr="008F6131">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05B0A" w14:textId="77777777" w:rsidR="001D48E9" w:rsidRDefault="001D48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A4A4AC58"/>
    <w:lvl w:ilvl="0" w:tplc="6414ED8A">
      <w:numFmt w:val="bullet"/>
      <w:lvlText w:val="‒"/>
      <w:lvlJc w:val="left"/>
      <w:pPr>
        <w:ind w:left="360" w:hanging="360"/>
      </w:pPr>
      <w:rPr>
        <w:rFonts w:ascii="Calibri" w:eastAsiaTheme="minorHAns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1D48E9"/>
    <w:rsid w:val="001D48E9"/>
    <w:rsid w:val="008F61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030A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sl-SI"/>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sl-SI"/>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sl-SI" w:eastAsia="de-DE"/>
    </w:rPr>
  </w:style>
  <w:style w:type="character" w:customStyle="1" w:styleId="ListParagraphChar">
    <w:name w:val="List Paragraph Char"/>
    <w:link w:val="ListParagraph"/>
    <w:uiPriority w:val="34"/>
    <w:rPr>
      <w:rFonts w:ascii="Calibri" w:eastAsia="Calibri" w:hAnsi="Calibri" w:cs="Times New Roman"/>
      <w:sz w:val="22"/>
      <w:szCs w:val="22"/>
      <w:lang w:val="sl-SI"/>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6D54D-571D-44B1-BEB5-015F5E89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7958</Words>
  <Characters>45361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2022-01-14T17:20:41Z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1901a898-c6ea-4947-947f-914f879b0007</vt:lpwstr>
  </property>
  <property fmtid="{D5CDD505-2E9C-101B-9397-08002B2CF9AE}" pid="8" name="MSIP_Label_5c7eb9de-735b-4a68-8fe4-c9c62709b012_ContentBits">
    <vt:lpwstr>1</vt:lpwstr>
  </property>
</Properties>
</file>