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D6240" w14:textId="77777777" w:rsidR="00580E82" w:rsidRPr="00844F2E" w:rsidRDefault="00F164BE">
      <w:pPr>
        <w:pStyle w:val="Typedudocument"/>
      </w:pPr>
      <w:r w:rsidRPr="00844F2E">
        <w:t xml:space="preserve">ROZPORZĄDZENIE WYKONAWCZE KOMISJI (UE) </w:t>
      </w:r>
      <w:r w:rsidR="00844F2E">
        <w:t>2021</w:t>
      </w:r>
      <w:r w:rsidR="00844F2E" w:rsidRPr="00844F2E">
        <w:t>/…</w:t>
      </w:r>
    </w:p>
    <w:p w14:paraId="55CF33A0" w14:textId="77777777" w:rsidR="00580E82" w:rsidRPr="00844F2E" w:rsidRDefault="00F164BE">
      <w:pPr>
        <w:pStyle w:val="Datedadoption"/>
      </w:pPr>
      <w:r w:rsidRPr="00844F2E">
        <w:t xml:space="preserve">z dnia </w:t>
      </w:r>
      <w:r w:rsidR="00844F2E">
        <w:rPr>
          <w:rStyle w:val="Marker2"/>
          <w:color w:val="auto"/>
        </w:rPr>
        <w:t>6</w:t>
      </w:r>
      <w:r w:rsidR="00844F2E" w:rsidRPr="00844F2E">
        <w:rPr>
          <w:rStyle w:val="Marker2"/>
          <w:color w:val="auto"/>
        </w:rPr>
        <w:t xml:space="preserve"> grudnia 2021</w:t>
      </w:r>
      <w:r w:rsidRPr="00844F2E">
        <w:t xml:space="preserve"> r.</w:t>
      </w:r>
    </w:p>
    <w:p w14:paraId="08FC5D11" w14:textId="77777777" w:rsidR="00580E82" w:rsidRPr="00844F2E" w:rsidRDefault="00F164BE">
      <w:pPr>
        <w:pStyle w:val="Titreobjet"/>
      </w:pPr>
      <w:r w:rsidRPr="00844F2E">
        <w:t>ustanawiające wykonawcze standardy techniczne do celów stosowania rozporządzenia Parlamentu Europejskiego i Rady (UE) 2019/2033 w odniesieniu do sprawozdawczości nadzorczej firm inwestycyjnych oraz ujawniania informacji przez firmy inwestycyjne</w:t>
      </w:r>
    </w:p>
    <w:p w14:paraId="548B03C8" w14:textId="77777777" w:rsidR="00580E82" w:rsidRPr="0093199D" w:rsidRDefault="00F164BE">
      <w:pPr>
        <w:pStyle w:val="IntrtEEE"/>
        <w:rPr>
          <w:b/>
        </w:rPr>
      </w:pPr>
      <w:r w:rsidRPr="0093199D">
        <w:rPr>
          <w:b/>
        </w:rPr>
        <w:t>(Tekst mający znaczenie dla EOG)</w:t>
      </w:r>
    </w:p>
    <w:p w14:paraId="741CE8BE" w14:textId="77777777" w:rsidR="00580E82" w:rsidRPr="00844F2E" w:rsidRDefault="00F164BE">
      <w:pPr>
        <w:pStyle w:val="Institutionquiagit"/>
      </w:pPr>
      <w:r w:rsidRPr="00844F2E">
        <w:t>KOMISJA EUROPEJSKA,</w:t>
      </w:r>
    </w:p>
    <w:p w14:paraId="1419C01B" w14:textId="77777777" w:rsidR="00580E82" w:rsidRPr="00844F2E" w:rsidRDefault="00F164BE">
      <w:r w:rsidRPr="00844F2E">
        <w:t>uwzględniając Traktat o funkcjonowaniu Unii Europejskiej,</w:t>
      </w:r>
    </w:p>
    <w:p w14:paraId="3AEB81AF" w14:textId="77777777" w:rsidR="00580E82" w:rsidRPr="00844F2E" w:rsidRDefault="00F164BE">
      <w:r w:rsidRPr="00844F2E">
        <w:t>uwzględniając rozporządzenie Parlamentu Europejskiego i Rady (UE) 2019/2033 z dnia 27 listopada 2019 r. w sprawie wymogów ostrożnościowych dla firm inwestycyjnych oraz zmieniające rozporządzenia (UE) nr 1093/2010, (UE) nr 575/2013, (UE) nr 600/2014 i (UE) nr 806/2014</w:t>
      </w:r>
      <w:r w:rsidRPr="00844F2E">
        <w:rPr>
          <w:rStyle w:val="FootnoteReference"/>
        </w:rPr>
        <w:footnoteReference w:id="1"/>
      </w:r>
      <w:r w:rsidRPr="00844F2E">
        <w:t>, w szczególności jego art. 49 ust. 2 i art. 54 ust. 3,</w:t>
      </w:r>
    </w:p>
    <w:p w14:paraId="77DAE10D" w14:textId="77777777" w:rsidR="00580E82" w:rsidRPr="00844F2E" w:rsidRDefault="00F164BE">
      <w:r w:rsidRPr="00844F2E">
        <w:t>a także mając na uwadze, co następuje:</w:t>
      </w:r>
    </w:p>
    <w:p w14:paraId="22F89EB2" w14:textId="77777777" w:rsidR="00580E82" w:rsidRPr="00844F2E" w:rsidRDefault="00F164BE">
      <w:pPr>
        <w:pStyle w:val="Considrant"/>
        <w:numPr>
          <w:ilvl w:val="0"/>
          <w:numId w:val="0"/>
        </w:numPr>
        <w:tabs>
          <w:tab w:val="left" w:pos="709"/>
        </w:tabs>
        <w:ind w:left="709" w:hanging="709"/>
      </w:pPr>
      <w:r w:rsidRPr="00844F2E">
        <w:t>(1)</w:t>
      </w:r>
      <w:r w:rsidRPr="00844F2E">
        <w:tab/>
        <w:t>Wymogi dotyczące sprawozdawczości firm inwestycyjnych określone w art. 54 rozporządzenia (UE) 2019/2033 powinny być dostosowane do działalności firm inwestycyjnych oraz proporcjonalne do skali i złożoności poszczególnych firm inwestycyjnych. Wymogi te powinny w szczególności uwzględniać, że niektóre firmy inwestycyjne należy uznać za małe i niepowiązane wzajemnie zgodnie z warunkami określonymi w art. 12 rozporządzenia (UE) 2019/2033.</w:t>
      </w:r>
    </w:p>
    <w:p w14:paraId="36ECC697" w14:textId="77777777" w:rsidR="00580E82" w:rsidRPr="00844F2E" w:rsidRDefault="00F164BE">
      <w:pPr>
        <w:pStyle w:val="Considrant"/>
        <w:numPr>
          <w:ilvl w:val="0"/>
          <w:numId w:val="0"/>
        </w:numPr>
        <w:tabs>
          <w:tab w:val="left" w:pos="709"/>
        </w:tabs>
        <w:ind w:left="709" w:hanging="709"/>
      </w:pPr>
      <w:r w:rsidRPr="00844F2E">
        <w:t>(2)</w:t>
      </w:r>
      <w:r w:rsidRPr="00844F2E">
        <w:tab/>
        <w:t xml:space="preserve">Zgodnie z art. 54 ust. 1 rozporządzenia (UE) 2019/2033 małe i niepowiązane wzajemnie firmy inwestycyjne są zobowiązane przedstawiać informacje na temat poziomu i struktury funduszy własnych, wymogów w zakresie funduszy własnych, podstawy obliczeń wymogów w zakresie funduszy własnych oraz poziomu działalności w odniesieniu do warunków określonych w art. 12 ust. 1 rozporządzenia (UE) 2019/2033. Małe i niepowiązane wzajemnie firmy inwestycyjne nie są zatem zobowiązane do przedstawiania równie szczegółowych informacji jak inne firmy inwestycyjne objęte zakresem rozporządzenia (UE) 2019/2033. Wzory formularzy na potrzeby sprawozdawczości dotyczące obliczania współczynnika K nie powinny zatem mieć zastosowania do małych i niepowiązanych wzajemnie firm inwestycyjnych. Ponadto zgodnie z art. 54 ust. 2 akapit trzeci rozporządzenia (UE) 2019/2033 </w:t>
      </w:r>
      <w:bookmarkStart w:id="0" w:name="_DV_C108"/>
      <w:r w:rsidRPr="00844F2E">
        <w:t>małe i niepowiązane wzajemnie firmy inwestycyjne są zwolnione z obowiązku przedstawiania informacji na temat ryzyka koncentracji, a właściwe organy mogą je również zwolnić z obowiązku przedstawiania informacji na temat wymogów dotyczących płynności</w:t>
      </w:r>
      <w:bookmarkStart w:id="1" w:name="_DV_M108"/>
      <w:bookmarkEnd w:id="0"/>
      <w:bookmarkEnd w:id="1"/>
      <w:r w:rsidRPr="00844F2E">
        <w:t>.</w:t>
      </w:r>
    </w:p>
    <w:p w14:paraId="348B63FA" w14:textId="77777777" w:rsidR="00580E82" w:rsidRPr="00844F2E" w:rsidRDefault="00F164BE">
      <w:pPr>
        <w:pStyle w:val="Considrant"/>
        <w:numPr>
          <w:ilvl w:val="0"/>
          <w:numId w:val="0"/>
        </w:numPr>
        <w:tabs>
          <w:tab w:val="left" w:pos="709"/>
        </w:tabs>
        <w:ind w:left="709" w:hanging="709"/>
      </w:pPr>
      <w:r w:rsidRPr="00844F2E">
        <w:t>(3)</w:t>
      </w:r>
      <w:r w:rsidRPr="00844F2E">
        <w:tab/>
        <w:t>Wszystkie firmy inwestycyjne podlegające rozporządzeniu (UE) 2019/2033 powinny przedstawiać informacje na temat swojego profilu działalności i swojej wielkości, aby umożliwić właściwym organom ocenę, czy spełniają one warunki określone w art. 12 rozporządzenia (UE) 2019/2033 i mogą zostać zaklasyfikowane jako małe i niepowiązane wzajemnie firmy inwestycyjne.</w:t>
      </w:r>
    </w:p>
    <w:p w14:paraId="62872E7B" w14:textId="77777777" w:rsidR="00580E82" w:rsidRPr="00844F2E" w:rsidRDefault="00F164BE">
      <w:pPr>
        <w:pStyle w:val="Considrant"/>
        <w:numPr>
          <w:ilvl w:val="0"/>
          <w:numId w:val="0"/>
        </w:numPr>
        <w:tabs>
          <w:tab w:val="left" w:pos="709"/>
        </w:tabs>
        <w:ind w:left="709" w:hanging="709"/>
      </w:pPr>
      <w:r w:rsidRPr="00844F2E">
        <w:lastRenderedPageBreak/>
        <w:t>(4)</w:t>
      </w:r>
      <w:r w:rsidRPr="00844F2E">
        <w:tab/>
        <w:t>W art. 46 rozporządzenia (UE) 2019/2033 nałożono na firmy inwestycyjne inne niż małe i niepowiązane wzajemnie firmy inwestycyjne obowiązek publicznego ujawniania informacji określonych w części szóstej tego rozporządzenia, aby zapewnić przejrzystość ich inwestorom oraz szerzej rozumianym rynkom. Małe i niepowiązane wzajemnie firmy inwestycyjne nie podlegają tym wymogom dotyczącym ujawniania informacji, chyba że emitują one instrumenty zaliczane do instrumentów w kapitale dodatkowym Tier I – wówczas ujawnianie tych informacji jest konieczne, aby zapewnić przejrzystość inwestorom inwestującym w te instrumenty.</w:t>
      </w:r>
    </w:p>
    <w:p w14:paraId="770F1B84" w14:textId="77777777" w:rsidR="00580E82" w:rsidRPr="00844F2E" w:rsidRDefault="00F164BE">
      <w:pPr>
        <w:pStyle w:val="Considrant"/>
        <w:numPr>
          <w:ilvl w:val="0"/>
          <w:numId w:val="0"/>
        </w:numPr>
        <w:tabs>
          <w:tab w:val="left" w:pos="709"/>
        </w:tabs>
        <w:ind w:left="709" w:hanging="709"/>
      </w:pPr>
      <w:r w:rsidRPr="00844F2E">
        <w:t>(5)</w:t>
      </w:r>
      <w:r w:rsidRPr="00844F2E">
        <w:tab/>
        <w:t>Niniejsze rozporządzenie powinno zapewnić firmom inwestycyjnym wzory formularzy i tabele na potrzeby przedstawiania wystarczająco wyczerpujących i porównywalnych informacji na temat struktury i jakości ich funduszy własnych. Ponadto konieczne jest ustanowienie wzoru formularza na potrzeby ujawniania informacji ilościowych na temat struktury funduszy własnych oraz elastycznego wzoru formularza na potrzeby uzgadniania regulacyjnych funduszy własnych ze zbadanymi sprawozdaniami finansowymi. Z tego samego powodu konieczne jest również ustanowienie wzoru formularza na potrzeby ujawniania informacji na temat najistotniejszych cech instrumentów funduszy własnych wyemitowanych przez firmę inwestycyjną.</w:t>
      </w:r>
    </w:p>
    <w:p w14:paraId="199F9A4E" w14:textId="77777777" w:rsidR="00580E82" w:rsidRPr="00844F2E" w:rsidRDefault="00F164BE">
      <w:pPr>
        <w:pStyle w:val="Considrant"/>
        <w:numPr>
          <w:ilvl w:val="0"/>
          <w:numId w:val="0"/>
        </w:numPr>
        <w:tabs>
          <w:tab w:val="left" w:pos="709"/>
        </w:tabs>
        <w:ind w:left="709" w:hanging="709"/>
      </w:pPr>
      <w:r w:rsidRPr="00844F2E">
        <w:t>(6)</w:t>
      </w:r>
      <w:r w:rsidRPr="00844F2E">
        <w:tab/>
        <w:t>Aby ułatwić wdrożenie wymogów dotyczących sprawozdawczości i ujawniania informacji, konieczne jest zwiększenie spójności między wzorami formularzy na potrzeby sprawozdawczości i wzorami formularzy na potrzeby ujawniania informacji. Wzór formularza na potrzeby ujawniania informacji na temat struktury funduszy własnych powinien zatem być ściśle dostosowany do powiązanego wzoru formularza na potrzeby sprawozdawczości na temat poziomu i struktury funduszy własnych. Z tego samego względu wzór formularza na potrzeby ujawniania informacji dotyczących pełnego uzgodnienia funduszy własnych ze zbadanymi sprawozdaniami finansowymi powinien być elastyczny w tym sensie, że struktura wzoru powinna opierać się na strukturze bilansu w zbadanym sprawozdaniu finansowym firmy inwestycyjnej. Ustaloną formę powinien mieć również wzór formularza na potrzeby ujawniania informacji na temat głównych cech regulacyjnych funduszy własnych, a jego złożoność powinna zależeć od złożoności instrumentów funduszy własnych.</w:t>
      </w:r>
    </w:p>
    <w:p w14:paraId="6D23028E" w14:textId="5AB04023" w:rsidR="00580E82" w:rsidRPr="00844F2E" w:rsidRDefault="00F164BE" w:rsidP="00B55FBB">
      <w:pPr>
        <w:pStyle w:val="Considrant"/>
        <w:numPr>
          <w:ilvl w:val="0"/>
          <w:numId w:val="0"/>
        </w:numPr>
        <w:tabs>
          <w:tab w:val="left" w:pos="709"/>
        </w:tabs>
        <w:ind w:left="709" w:hanging="709"/>
      </w:pPr>
      <w:r w:rsidRPr="00844F2E">
        <w:t>(7)</w:t>
      </w:r>
      <w:r w:rsidRPr="00844F2E">
        <w:tab/>
        <w:t>Aby zapewnić, by koszty przestrzegania przepisów ponoszone przez firmy inwestycyjne nie uległy nadmiernemu zwiększeniu, a także aby utrzymać jakość danych, wymogi dotyczące sprawozdawczości i wymogi dotyczące ujawniania informacji powinny być do siebie w jak największym stopniu dostosowane pod względem treści. Dlatego też odpowiednim rozwiązaniem jest ustanowienie – w ramach jednego rozporządzenia – standardów mających zastosowanie do wymogów dotyczących zarówno sprawozdawczości, jak i ujawniania informacji.</w:t>
      </w:r>
    </w:p>
    <w:p w14:paraId="732601C9" w14:textId="3895BB54" w:rsidR="00580E82" w:rsidRPr="00844F2E" w:rsidRDefault="00F164BE">
      <w:pPr>
        <w:pStyle w:val="Considrant"/>
        <w:numPr>
          <w:ilvl w:val="0"/>
          <w:numId w:val="0"/>
        </w:numPr>
        <w:tabs>
          <w:tab w:val="left" w:pos="709"/>
        </w:tabs>
        <w:ind w:left="709" w:hanging="709"/>
      </w:pPr>
      <w:r w:rsidRPr="00844F2E">
        <w:t>(</w:t>
      </w:r>
      <w:r w:rsidR="00B55FBB">
        <w:t>8</w:t>
      </w:r>
      <w:r w:rsidRPr="00844F2E">
        <w:t>)</w:t>
      </w:r>
      <w:r w:rsidRPr="00844F2E">
        <w:tab/>
        <w:t>Podstawę niniejszego rozporządzenia stanowi projekt wykonawczych standardów technicznych, który Europejski Urząd Nadzoru Bankowego (EUNB) przedłożył Komisji po zasięgnięciu opinii Europejskiego Urzędu Nadzoru Giełd i Papierów Wartościowych.</w:t>
      </w:r>
    </w:p>
    <w:p w14:paraId="141F7422" w14:textId="5AE58D7F" w:rsidR="00580E82" w:rsidRPr="00844F2E" w:rsidRDefault="00F164BE">
      <w:pPr>
        <w:pStyle w:val="Considrant"/>
        <w:numPr>
          <w:ilvl w:val="0"/>
          <w:numId w:val="0"/>
        </w:numPr>
        <w:tabs>
          <w:tab w:val="left" w:pos="709"/>
        </w:tabs>
        <w:ind w:left="709" w:hanging="709"/>
      </w:pPr>
      <w:r w:rsidRPr="00844F2E">
        <w:t>(</w:t>
      </w:r>
      <w:r w:rsidR="00B55FBB">
        <w:t>9</w:t>
      </w:r>
      <w:r w:rsidRPr="00844F2E">
        <w:t>)</w:t>
      </w:r>
      <w:r w:rsidRPr="00844F2E">
        <w:tab/>
        <w:t xml:space="preserve">EUNB przeprowadził otwarte konsultacje publiczne na temat projektu wykonawczych standardów technicznych, który stanowi podstawę niniejszego rozporządzenia, dokonał analizy potencjalnych kosztów i korzyści z nimi związanych oraz zwrócił się </w:t>
      </w:r>
      <w:r w:rsidRPr="00844F2E">
        <w:lastRenderedPageBreak/>
        <w:t>o opinię do Bankowej Grupy Interesariuszy powołanej na podstawie art. 37 rozporządzenia Parlamentu Europejskiego i Rady (UE) nr 1093/2010</w:t>
      </w:r>
      <w:r w:rsidRPr="00844F2E">
        <w:rPr>
          <w:rStyle w:val="FootnoteReference"/>
        </w:rPr>
        <w:footnoteReference w:id="2"/>
      </w:r>
      <w:r w:rsidRPr="00844F2E">
        <w:t>,</w:t>
      </w:r>
    </w:p>
    <w:p w14:paraId="15B6F66D" w14:textId="77777777" w:rsidR="00580E82" w:rsidRPr="00844F2E" w:rsidRDefault="00F164BE">
      <w:pPr>
        <w:pStyle w:val="Formuledadoption"/>
      </w:pPr>
      <w:r w:rsidRPr="00844F2E">
        <w:t>PRZYJMUJE NINIEJSZE ROZPORZĄDZENIE:</w:t>
      </w:r>
    </w:p>
    <w:p w14:paraId="27185E4F" w14:textId="77777777" w:rsidR="00580E82" w:rsidRPr="0093199D" w:rsidRDefault="00F164BE">
      <w:pPr>
        <w:pStyle w:val="ChapterTitle"/>
        <w:rPr>
          <w:b w:val="0"/>
        </w:rPr>
      </w:pPr>
      <w:r w:rsidRPr="0093199D">
        <w:rPr>
          <w:b w:val="0"/>
        </w:rPr>
        <w:t>ROZDZIAŁ I</w:t>
      </w:r>
    </w:p>
    <w:p w14:paraId="6CE6C4B4" w14:textId="77777777" w:rsidR="00580E82" w:rsidRPr="00844F2E" w:rsidRDefault="00F164BE">
      <w:pPr>
        <w:pStyle w:val="ChapterTitle"/>
      </w:pPr>
      <w:r w:rsidRPr="00844F2E">
        <w:t>SPRAWOZDAWCZOŚĆ NADZORCZA</w:t>
      </w:r>
    </w:p>
    <w:p w14:paraId="6C151C95" w14:textId="77777777" w:rsidR="00580E82" w:rsidRPr="00844F2E" w:rsidRDefault="00F164BE">
      <w:pPr>
        <w:pStyle w:val="Titrearticle"/>
      </w:pPr>
      <w:r w:rsidRPr="00844F2E">
        <w:t>Artykuł 1</w:t>
      </w:r>
    </w:p>
    <w:p w14:paraId="00F66F40" w14:textId="77777777" w:rsidR="00580E82" w:rsidRPr="00844F2E" w:rsidRDefault="00F164BE">
      <w:pPr>
        <w:pStyle w:val="Titrearticle"/>
        <w:spacing w:before="120"/>
        <w:rPr>
          <w:b/>
          <w:i w:val="0"/>
        </w:rPr>
      </w:pPr>
      <w:r w:rsidRPr="00844F2E">
        <w:rPr>
          <w:b/>
          <w:i w:val="0"/>
        </w:rPr>
        <w:t>Sprawozdawcze dni odniesienia</w:t>
      </w:r>
    </w:p>
    <w:p w14:paraId="0916AC1E" w14:textId="77777777" w:rsidR="00580E82" w:rsidRPr="00844F2E" w:rsidRDefault="00F164BE">
      <w:pPr>
        <w:pStyle w:val="NumPar1"/>
        <w:numPr>
          <w:ilvl w:val="0"/>
          <w:numId w:val="0"/>
        </w:numPr>
        <w:tabs>
          <w:tab w:val="left" w:pos="567"/>
        </w:tabs>
      </w:pPr>
      <w:r w:rsidRPr="00844F2E">
        <w:t>1.</w:t>
      </w:r>
      <w:r w:rsidRPr="00844F2E">
        <w:tab/>
        <w:t>Informacje, o których mowa w art. 54 ust. 1 rozporządzenia, przekazuje się według ich stanu na następujące sprawozdawcze dni odniesienia:</w:t>
      </w:r>
    </w:p>
    <w:p w14:paraId="45D5A16A" w14:textId="77777777" w:rsidR="00580E82" w:rsidRPr="00844F2E" w:rsidRDefault="00F164BE">
      <w:pPr>
        <w:pStyle w:val="Point1"/>
        <w:ind w:left="567"/>
      </w:pPr>
      <w:r w:rsidRPr="00844F2E">
        <w:t>a)</w:t>
      </w:r>
      <w:r w:rsidRPr="00844F2E">
        <w:tab/>
        <w:t>sprawozdawczość kwartalna: 31 marca, 30 czerwca, 30 września i 31 grudnia;</w:t>
      </w:r>
    </w:p>
    <w:p w14:paraId="2F9E2C6C" w14:textId="77777777" w:rsidR="00580E82" w:rsidRPr="00844F2E" w:rsidRDefault="00F164BE">
      <w:pPr>
        <w:pStyle w:val="Point1"/>
        <w:ind w:left="567"/>
      </w:pPr>
      <w:r w:rsidRPr="00844F2E">
        <w:t>b)</w:t>
      </w:r>
      <w:r w:rsidRPr="00844F2E">
        <w:tab/>
        <w:t>sprawozdawczość roczna: 31 grudnia.</w:t>
      </w:r>
    </w:p>
    <w:p w14:paraId="621B0359" w14:textId="77777777" w:rsidR="00580E82" w:rsidRPr="00844F2E" w:rsidRDefault="00F164BE">
      <w:pPr>
        <w:pStyle w:val="NumPar1"/>
        <w:numPr>
          <w:ilvl w:val="0"/>
          <w:numId w:val="0"/>
        </w:numPr>
        <w:tabs>
          <w:tab w:val="left" w:pos="567"/>
        </w:tabs>
      </w:pPr>
      <w:r w:rsidRPr="00844F2E">
        <w:t>2.</w:t>
      </w:r>
      <w:r w:rsidRPr="00844F2E">
        <w:tab/>
        <w:t>Sprawozdawcze dni odniesienia, o których mowa w ust. 1, mogą zostać dostosowane w przypadku, gdy przepisy krajowe pozwalają firmom inwestycyjnym na przekazywanie informacji finansowych na podstawie ich roku obrotowego, który nie pokrywa się z rokiem kalendarzowym, w wyniku czego sprawozdawczość kwartalna odbywa się co trzy miesiące danego roku obrotowego, a sprawozdawczość roczna odbywa się na koniec roku obrotowego.</w:t>
      </w:r>
    </w:p>
    <w:p w14:paraId="415C5E8D" w14:textId="77777777" w:rsidR="00580E82" w:rsidRPr="00844F2E" w:rsidRDefault="00F164BE">
      <w:pPr>
        <w:pStyle w:val="Titrearticle"/>
      </w:pPr>
      <w:r w:rsidRPr="00844F2E">
        <w:t>Artykuł 2</w:t>
      </w:r>
    </w:p>
    <w:p w14:paraId="0FA40C4F" w14:textId="77777777" w:rsidR="00580E82" w:rsidRPr="00844F2E" w:rsidRDefault="00F164BE">
      <w:pPr>
        <w:pStyle w:val="Titrearticle"/>
        <w:spacing w:before="120"/>
        <w:rPr>
          <w:b/>
          <w:i w:val="0"/>
        </w:rPr>
      </w:pPr>
      <w:r w:rsidRPr="00844F2E">
        <w:rPr>
          <w:b/>
          <w:i w:val="0"/>
        </w:rPr>
        <w:t>Dni przekazania formularzy</w:t>
      </w:r>
    </w:p>
    <w:p w14:paraId="2378F84F" w14:textId="77777777" w:rsidR="00580E82" w:rsidRPr="00844F2E" w:rsidRDefault="00F164BE">
      <w:pPr>
        <w:pStyle w:val="NumPar1"/>
        <w:numPr>
          <w:ilvl w:val="0"/>
          <w:numId w:val="0"/>
        </w:numPr>
        <w:tabs>
          <w:tab w:val="left" w:pos="567"/>
        </w:tabs>
      </w:pPr>
      <w:r w:rsidRPr="00844F2E">
        <w:t>1.</w:t>
      </w:r>
      <w:r w:rsidRPr="00844F2E">
        <w:tab/>
        <w:t>Informacje, o których mowa w art. 54 ust. 1 rozporządzenia (UE) 2019/2033, przekazuje się przed zakończeniem dnia roboczego w następujących dniach przekazania formularzy:</w:t>
      </w:r>
    </w:p>
    <w:p w14:paraId="72DABEB8" w14:textId="77777777" w:rsidR="00580E82" w:rsidRPr="00844F2E" w:rsidRDefault="00F164BE">
      <w:pPr>
        <w:pStyle w:val="Point1"/>
        <w:ind w:left="567"/>
      </w:pPr>
      <w:r w:rsidRPr="00844F2E">
        <w:t>a)</w:t>
      </w:r>
      <w:r w:rsidRPr="00844F2E">
        <w:tab/>
        <w:t>sprawozdawczość kwartalna: 12 maja, 11 sierpnia, 11 listopada i 11 lutego;</w:t>
      </w:r>
    </w:p>
    <w:p w14:paraId="4CD398BF" w14:textId="77777777" w:rsidR="00580E82" w:rsidRPr="00844F2E" w:rsidRDefault="00F164BE">
      <w:pPr>
        <w:pStyle w:val="Point1"/>
        <w:ind w:left="567"/>
      </w:pPr>
      <w:r w:rsidRPr="00844F2E">
        <w:t>b)</w:t>
      </w:r>
      <w:r w:rsidRPr="00844F2E">
        <w:tab/>
        <w:t>sprawozdawczość roczna: 11 lutego.</w:t>
      </w:r>
    </w:p>
    <w:p w14:paraId="6C97B39F" w14:textId="77777777" w:rsidR="00580E82" w:rsidRPr="00844F2E" w:rsidRDefault="00F164BE">
      <w:pPr>
        <w:pStyle w:val="NumPar1"/>
        <w:numPr>
          <w:ilvl w:val="0"/>
          <w:numId w:val="0"/>
        </w:numPr>
        <w:tabs>
          <w:tab w:val="left" w:pos="567"/>
        </w:tabs>
      </w:pPr>
      <w:r w:rsidRPr="00844F2E">
        <w:t>2.</w:t>
      </w:r>
      <w:r w:rsidRPr="00844F2E">
        <w:tab/>
        <w:t>Jeżeli dzień przekazania formularzy jest dniem ustawowo wolnym od pracy w państwie członkowskim właściwego organu, któremu należy przedłożyć sprawozdanie, bądź wypada w sobotę lub niedzielę, dniem przekazania formularzy jest następny dzień roboczy.</w:t>
      </w:r>
    </w:p>
    <w:p w14:paraId="12D2CB9B" w14:textId="77777777" w:rsidR="00580E82" w:rsidRPr="00844F2E" w:rsidRDefault="00F164BE">
      <w:pPr>
        <w:pStyle w:val="NumPar1"/>
        <w:numPr>
          <w:ilvl w:val="0"/>
          <w:numId w:val="0"/>
        </w:numPr>
        <w:tabs>
          <w:tab w:val="left" w:pos="567"/>
        </w:tabs>
      </w:pPr>
      <w:r w:rsidRPr="00844F2E">
        <w:t>3.</w:t>
      </w:r>
      <w:r w:rsidRPr="00844F2E">
        <w:tab/>
        <w:t>Jeżeli firmy inwestycyjne przekazują informacje według sprawozdawczych dni odniesienia dostosowanych do swojego roku obrotowego, jak określono w art. 1 ust. 2 niniejszego rozporządzenia, dni przekazania formularzy można odpowiednio dostosować, tak aby zachować taki sam okres od dostosowanego sprawozdawczego dnia odniesienia do dnia przekazania formularzy.</w:t>
      </w:r>
    </w:p>
    <w:p w14:paraId="3BD9C211" w14:textId="77777777" w:rsidR="00580E82" w:rsidRPr="00844F2E" w:rsidRDefault="00F164BE">
      <w:pPr>
        <w:pStyle w:val="NumPar1"/>
        <w:numPr>
          <w:ilvl w:val="0"/>
          <w:numId w:val="0"/>
        </w:numPr>
        <w:tabs>
          <w:tab w:val="left" w:pos="567"/>
        </w:tabs>
      </w:pPr>
      <w:r w:rsidRPr="00844F2E">
        <w:t>4.</w:t>
      </w:r>
      <w:r w:rsidRPr="00844F2E">
        <w:tab/>
        <w:t>Firmy inwestycyjne mogą przekazywać dane niezweryfikowane. Jeżeli dane zweryfikowane różnią się od przekazanych danych niezweryfikowanych, wówczas zmienione, zweryfikowane dane przekazuje się bez zbędnej zwłoki. Do celów niniejszego artykułu dane niezweryfikowane oznaczają dane, w odniesieniu do których nie została wydana opinia audytora zewnętrznego, natomiast dane zweryfikowane oznaczają dane poddane badaniu audytora zewnętrznego, który wydał opinię.</w:t>
      </w:r>
    </w:p>
    <w:p w14:paraId="2BF6C7F7" w14:textId="77777777" w:rsidR="00580E82" w:rsidRPr="00844F2E" w:rsidRDefault="00F164BE">
      <w:pPr>
        <w:pStyle w:val="NumPar1"/>
        <w:numPr>
          <w:ilvl w:val="0"/>
          <w:numId w:val="0"/>
        </w:numPr>
        <w:tabs>
          <w:tab w:val="left" w:pos="567"/>
        </w:tabs>
      </w:pPr>
      <w:r w:rsidRPr="00844F2E">
        <w:lastRenderedPageBreak/>
        <w:t>5.</w:t>
      </w:r>
      <w:r w:rsidRPr="00844F2E">
        <w:tab/>
        <w:t>Korekty przekazanych sprawozdań przekazuje się właściwym organom bez zbędnej zwłoki.</w:t>
      </w:r>
    </w:p>
    <w:p w14:paraId="356214A4" w14:textId="77777777" w:rsidR="00580E82" w:rsidRPr="00844F2E" w:rsidRDefault="00F164BE">
      <w:pPr>
        <w:pStyle w:val="Titrearticle"/>
      </w:pPr>
      <w:r w:rsidRPr="00844F2E">
        <w:t>Artykuł 3</w:t>
      </w:r>
    </w:p>
    <w:p w14:paraId="0EBE9D1D" w14:textId="77777777" w:rsidR="00580E82" w:rsidRPr="00844F2E" w:rsidRDefault="00F164BE">
      <w:pPr>
        <w:pStyle w:val="Titrearticle"/>
        <w:spacing w:before="120"/>
        <w:rPr>
          <w:b/>
          <w:i w:val="0"/>
        </w:rPr>
      </w:pPr>
      <w:r w:rsidRPr="00844F2E">
        <w:rPr>
          <w:b/>
          <w:i w:val="0"/>
        </w:rPr>
        <w:t>Stosowanie wymogów dotyczących sprawozdawczości na zasadzie indywidualnej</w:t>
      </w:r>
    </w:p>
    <w:p w14:paraId="419E2A97" w14:textId="77777777" w:rsidR="00580E82" w:rsidRPr="00844F2E" w:rsidRDefault="00F164BE">
      <w:r w:rsidRPr="00844F2E">
        <w:t>Aby spełnić wymogi dotyczące sprawozdawczości określone w art. 54 rozporządzenia (UE) 2019/2033 na zasadzie indywidualnej, firmy inwestycyjne przekazują informacje określone w art. 5, 6 i 7 niniejszego rozporządzenia z częstotliwością określoną w tych artykułach.</w:t>
      </w:r>
    </w:p>
    <w:p w14:paraId="6BD4C083" w14:textId="77777777" w:rsidR="00580E82" w:rsidRPr="00844F2E" w:rsidRDefault="00F164BE">
      <w:pPr>
        <w:pStyle w:val="Titrearticle"/>
      </w:pPr>
      <w:r w:rsidRPr="00844F2E">
        <w:t>Artykuł 4</w:t>
      </w:r>
    </w:p>
    <w:p w14:paraId="5BEA63BD" w14:textId="77777777" w:rsidR="00580E82" w:rsidRPr="00844F2E" w:rsidRDefault="00F164BE">
      <w:pPr>
        <w:pStyle w:val="Titrearticle"/>
        <w:spacing w:before="120"/>
        <w:rPr>
          <w:b/>
          <w:i w:val="0"/>
        </w:rPr>
      </w:pPr>
      <w:r w:rsidRPr="00844F2E">
        <w:rPr>
          <w:b/>
          <w:i w:val="0"/>
        </w:rPr>
        <w:t>Stosowanie wymogów dotyczących sprawozdawczości na zasadzie skonsolidowanej</w:t>
      </w:r>
    </w:p>
    <w:p w14:paraId="4A013721" w14:textId="77777777" w:rsidR="00580E82" w:rsidRPr="00844F2E" w:rsidRDefault="00F164BE">
      <w:pPr>
        <w:rPr>
          <w:i/>
        </w:rPr>
      </w:pPr>
      <w:r w:rsidRPr="00844F2E">
        <w:t>Aby spełnić wymogi dotyczące sprawozdawczości określone w art. 54 rozporządzenia (UE) 2019/2033 na zasadzie skonsolidowanej, firmy inwestycyjne przekazują informacje określone w art. 5 i 6 niniejszego rozporządzenia wykonawczego z częstotliwością określoną w tych artykułach.</w:t>
      </w:r>
    </w:p>
    <w:p w14:paraId="2BACD54A" w14:textId="77777777" w:rsidR="00580E82" w:rsidRPr="00844F2E" w:rsidRDefault="00F164BE">
      <w:pPr>
        <w:pStyle w:val="Titrearticle"/>
      </w:pPr>
      <w:r w:rsidRPr="00844F2E">
        <w:t>Artykuł 5</w:t>
      </w:r>
    </w:p>
    <w:p w14:paraId="207F4BBB" w14:textId="77777777" w:rsidR="00580E82" w:rsidRPr="00844F2E" w:rsidRDefault="00F164BE">
      <w:pPr>
        <w:pStyle w:val="Titrearticle"/>
        <w:spacing w:before="120"/>
        <w:rPr>
          <w:b/>
          <w:i w:val="0"/>
        </w:rPr>
      </w:pPr>
      <w:r w:rsidRPr="00844F2E">
        <w:rPr>
          <w:b/>
          <w:i w:val="0"/>
        </w:rPr>
        <w:t>Format i częstotliwość sprawozdawczości firm inwestycyjnych innych niż małe i niepowiązane wzajemnie firmy inwestycyjne</w:t>
      </w:r>
    </w:p>
    <w:p w14:paraId="4E890239" w14:textId="77777777" w:rsidR="00580E82" w:rsidRPr="00844F2E" w:rsidRDefault="00F164BE">
      <w:pPr>
        <w:pStyle w:val="NumPar1"/>
        <w:numPr>
          <w:ilvl w:val="0"/>
          <w:numId w:val="0"/>
        </w:numPr>
        <w:tabs>
          <w:tab w:val="left" w:pos="567"/>
        </w:tabs>
      </w:pPr>
      <w:r w:rsidRPr="00844F2E">
        <w:t>1.</w:t>
      </w:r>
      <w:r w:rsidRPr="00844F2E">
        <w:tab/>
        <w:t>Firmy inwestycyjne inne niż małe i niepowiązane wzajemnie firmy inwestycyjne przekazują informacje wymagane na podstawie art. 54 ust. 1 i 2 rozporządzenia (UE) 2019/2033 z częstotliwością kwartalną, korzystając ze wzorów zawartych w załączniku I do niniejszego rozporządzenia zgodnie z instrukcjami zawartymi w załączniku II do niniejszego rozporządzenia.</w:t>
      </w:r>
    </w:p>
    <w:p w14:paraId="792734DF" w14:textId="77777777" w:rsidR="00580E82" w:rsidRPr="00844F2E" w:rsidRDefault="00F164BE">
      <w:pPr>
        <w:pStyle w:val="NumPar1"/>
        <w:numPr>
          <w:ilvl w:val="0"/>
          <w:numId w:val="0"/>
        </w:numPr>
        <w:tabs>
          <w:tab w:val="left" w:pos="567"/>
        </w:tabs>
        <w:rPr>
          <w:szCs w:val="24"/>
        </w:rPr>
      </w:pPr>
      <w:r w:rsidRPr="00844F2E">
        <w:rPr>
          <w:szCs w:val="24"/>
        </w:rPr>
        <w:t>2.</w:t>
      </w:r>
      <w:r w:rsidRPr="00844F2E">
        <w:rPr>
          <w:szCs w:val="24"/>
        </w:rPr>
        <w:tab/>
      </w:r>
      <w:r w:rsidRPr="00844F2E">
        <w:t>Firmy inwestycyjne inne niż małe i niepowiązane wzajemnie firmy inwestycyjne, które ustalają wymóg oparty na współczynniku K w ramach ryzyka dla rynku na podstawie współczynnika K-NPR zgodnie z art. 21 ust. 1 rozporządzenia (UE) 2019/2033, przekazują z częstotliwością kwartalną informacje określone we wzorach C 18.00 – C 24.00 w załączniku I do rozporządzenia wykonawczego Komisji (UE) 2021/451</w:t>
      </w:r>
      <w:r w:rsidR="001E47BC">
        <w:rPr>
          <w:rStyle w:val="FootnoteReference"/>
        </w:rPr>
        <w:footnoteReference w:id="3"/>
      </w:r>
      <w:r w:rsidRPr="00844F2E">
        <w:t xml:space="preserve"> zgodnie z instrukcjami zawartymi w części 2 załącznika II do tego rozporządzenia wykonawczego.</w:t>
      </w:r>
    </w:p>
    <w:p w14:paraId="70244BFD" w14:textId="77777777" w:rsidR="00580E82" w:rsidRPr="00844F2E" w:rsidRDefault="00F164BE">
      <w:pPr>
        <w:pStyle w:val="NumPar1"/>
        <w:numPr>
          <w:ilvl w:val="0"/>
          <w:numId w:val="0"/>
        </w:numPr>
        <w:tabs>
          <w:tab w:val="left" w:pos="567"/>
        </w:tabs>
        <w:rPr>
          <w:szCs w:val="24"/>
        </w:rPr>
      </w:pPr>
      <w:r w:rsidRPr="00844F2E">
        <w:rPr>
          <w:szCs w:val="24"/>
        </w:rPr>
        <w:t>3.</w:t>
      </w:r>
      <w:r w:rsidRPr="00844F2E">
        <w:rPr>
          <w:szCs w:val="24"/>
        </w:rPr>
        <w:tab/>
      </w:r>
      <w:r w:rsidRPr="00844F2E">
        <w:t>Firmy inwestycyjne inne niż małe i niepowiązane wzajemnie firmy inwestycyjne, które korzystają z odstępstwa określonego w art. 25 ust. 4 rozporządzenia (UE) 2019/2033, przekazują z częstotliwością kwartalną informacje określone we wzorze C 34.02 w załączniku I do rozporządzenia wykonawczego (UE) 2021/451 zgodnie z instrukcjami zawartymi w części 2 załącznika II do tego rozporządzenia wykonawczego.</w:t>
      </w:r>
    </w:p>
    <w:p w14:paraId="3B842837" w14:textId="77777777" w:rsidR="00580E82" w:rsidRPr="00844F2E" w:rsidRDefault="00F164BE">
      <w:pPr>
        <w:pStyle w:val="NumPar1"/>
        <w:numPr>
          <w:ilvl w:val="0"/>
          <w:numId w:val="0"/>
        </w:numPr>
        <w:tabs>
          <w:tab w:val="left" w:pos="567"/>
        </w:tabs>
        <w:rPr>
          <w:szCs w:val="24"/>
        </w:rPr>
      </w:pPr>
      <w:r w:rsidRPr="00844F2E">
        <w:rPr>
          <w:szCs w:val="24"/>
        </w:rPr>
        <w:t>4.</w:t>
      </w:r>
      <w:r w:rsidRPr="00844F2E">
        <w:rPr>
          <w:szCs w:val="24"/>
        </w:rPr>
        <w:tab/>
      </w:r>
      <w:r w:rsidRPr="00844F2E">
        <w:t>Firmy inwestycyjne inne niż małe i niepowiązane wzajemnie firmy inwestycyjne, które korzystają z odstępstwa określonego w art. 25 ust. 5 akapit drugi rozporządzenia (UE) 2019/2033, przekazują z częstotliwością kwartalną informacje określone we wzorze C 25.00 w załączniku I do rozporządzenia wykonawczego (UE) 2021/451 zgodnie z instrukcjami zawartymi w części 2 załącznika II do tego rozporządzenia wykonawczego.</w:t>
      </w:r>
    </w:p>
    <w:p w14:paraId="580790D5" w14:textId="77777777" w:rsidR="00580E82" w:rsidRPr="00844F2E" w:rsidRDefault="00F164BE">
      <w:pPr>
        <w:pStyle w:val="Titrearticle"/>
      </w:pPr>
      <w:r w:rsidRPr="00844F2E">
        <w:lastRenderedPageBreak/>
        <w:t>Artykuł 6</w:t>
      </w:r>
    </w:p>
    <w:p w14:paraId="354C26D4" w14:textId="77777777" w:rsidR="00580E82" w:rsidRPr="00844F2E" w:rsidRDefault="00F164BE">
      <w:pPr>
        <w:pStyle w:val="Titrearticle"/>
        <w:spacing w:before="120"/>
        <w:rPr>
          <w:b/>
          <w:i w:val="0"/>
        </w:rPr>
      </w:pPr>
      <w:r w:rsidRPr="00844F2E">
        <w:rPr>
          <w:b/>
          <w:i w:val="0"/>
        </w:rPr>
        <w:t>Format i częstotliwość sprawozdawczości małych i niepowiązanych wzajemnie firm inwestycyjnych</w:t>
      </w:r>
    </w:p>
    <w:p w14:paraId="457A58A0" w14:textId="77777777" w:rsidR="00580E82" w:rsidRPr="00844F2E" w:rsidRDefault="00F164BE">
      <w:pPr>
        <w:pStyle w:val="NumPar1"/>
        <w:numPr>
          <w:ilvl w:val="0"/>
          <w:numId w:val="0"/>
        </w:numPr>
        <w:tabs>
          <w:tab w:val="left" w:pos="567"/>
        </w:tabs>
      </w:pPr>
      <w:r w:rsidRPr="00844F2E">
        <w:t>1.</w:t>
      </w:r>
      <w:r w:rsidRPr="00844F2E">
        <w:tab/>
        <w:t>Małe i niepowiązane wzajemnie firmy inwestycyjne przekazują z częstotliwością roczną informacje określone we wzorach w załączniku III do niniejszego rozporządzenia zgodnie z instrukcjami zawartymi w załączniku IV do niniejszego rozporządzenia. Firmy inwestycyjne, które korzystają z odstępstwa określonego w art. 43 ust. 1 akapit drugi rozporządzenia (UE) 2019/2033, są zwolnione z obowiązku przekazywania informacji określonych we wzorze IF 09.01 w załączniku III do niniejszego rozporządzenia.</w:t>
      </w:r>
    </w:p>
    <w:p w14:paraId="01A6C227" w14:textId="77777777" w:rsidR="00580E82" w:rsidRPr="00844F2E" w:rsidRDefault="00F164BE">
      <w:pPr>
        <w:pStyle w:val="Titrearticle"/>
      </w:pPr>
      <w:r w:rsidRPr="00844F2E">
        <w:t>Artykuł 7</w:t>
      </w:r>
    </w:p>
    <w:p w14:paraId="75730557" w14:textId="77777777" w:rsidR="00580E82" w:rsidRPr="00844F2E" w:rsidRDefault="00F164BE">
      <w:pPr>
        <w:pStyle w:val="Titrearticle"/>
        <w:spacing w:before="120"/>
        <w:rPr>
          <w:b/>
          <w:i w:val="0"/>
        </w:rPr>
      </w:pPr>
      <w:r w:rsidRPr="00844F2E">
        <w:rPr>
          <w:b/>
          <w:i w:val="0"/>
        </w:rPr>
        <w:t>Format i częstotliwość sprawozdawczości podmiotów, którym zezwolono na stosowanie art. 8 rozporządzenia (UE) 2019/2033</w:t>
      </w:r>
    </w:p>
    <w:p w14:paraId="58A0DD21" w14:textId="77777777" w:rsidR="00580E82" w:rsidRPr="00844F2E" w:rsidRDefault="00F164BE">
      <w:pPr>
        <w:rPr>
          <w:rFonts w:eastAsia="Times New Roman"/>
          <w:szCs w:val="24"/>
        </w:rPr>
      </w:pPr>
      <w:r w:rsidRPr="00844F2E">
        <w:t>Na zasadzie odstępstwa od art. 4 niniejszego rozporządzenia podmioty, o których mowa w art. 8 ust. 3 rozporządzenia (UE) 2019/2033 i którym zezwolono na stosowanie tego artykułu, przekazują z częstotliwością kwartalną informacje określone we wzorach w załączniku VIII do niniejszego rozporządzenia zgodnie z instrukcjami zawartymi w załączniku IX do niniejszego rozporządzenia.</w:t>
      </w:r>
    </w:p>
    <w:p w14:paraId="2E503067" w14:textId="77777777" w:rsidR="00580E82" w:rsidRPr="00844F2E" w:rsidRDefault="00F164BE">
      <w:pPr>
        <w:pStyle w:val="Titrearticle"/>
      </w:pPr>
      <w:r w:rsidRPr="00844F2E">
        <w:t>Artykuł 8</w:t>
      </w:r>
    </w:p>
    <w:p w14:paraId="555DAB18" w14:textId="77777777" w:rsidR="00580E82" w:rsidRPr="00844F2E" w:rsidRDefault="00F164BE">
      <w:pPr>
        <w:pStyle w:val="Titrearticle"/>
        <w:spacing w:before="120"/>
        <w:rPr>
          <w:b/>
          <w:i w:val="0"/>
        </w:rPr>
      </w:pPr>
      <w:r w:rsidRPr="00844F2E">
        <w:rPr>
          <w:b/>
          <w:i w:val="0"/>
        </w:rPr>
        <w:t>Dokładność danych i informacje związane z przekazywanymi informacjami</w:t>
      </w:r>
    </w:p>
    <w:p w14:paraId="0579A318" w14:textId="77777777" w:rsidR="00580E82" w:rsidRPr="00844F2E" w:rsidRDefault="00F164BE">
      <w:pPr>
        <w:pStyle w:val="NumPar1"/>
        <w:numPr>
          <w:ilvl w:val="0"/>
          <w:numId w:val="0"/>
        </w:numPr>
        <w:tabs>
          <w:tab w:val="left" w:pos="567"/>
        </w:tabs>
      </w:pPr>
      <w:r w:rsidRPr="00844F2E">
        <w:t>1.</w:t>
      </w:r>
      <w:r w:rsidRPr="00844F2E">
        <w:tab/>
        <w:t>Firmy inwestycyjne przekazują informacje, o których mowa w niniejszym rozporządzeniu, w formatach wymiany i przedstawiania danych określonych przez właściwe organy oraz zgodnie z definicją punktu danych zawartą w modelu punktów danych i zgodnie z zasadami walidacji, określonymi w załączniku V, a także zgodnie z następującymi specyfikacjami:</w:t>
      </w:r>
    </w:p>
    <w:p w14:paraId="26728E5C" w14:textId="77777777" w:rsidR="00580E82" w:rsidRPr="00844F2E" w:rsidRDefault="00F164BE">
      <w:pPr>
        <w:pStyle w:val="Point1"/>
        <w:ind w:left="567"/>
      </w:pPr>
      <w:r w:rsidRPr="00844F2E">
        <w:t>a)</w:t>
      </w:r>
      <w:r w:rsidRPr="00844F2E">
        <w:tab/>
        <w:t>w przekazywanych informacjach nie uwzględnia się informacji, które nie są wymagane lub nie mają zastosowania;</w:t>
      </w:r>
    </w:p>
    <w:p w14:paraId="13CC3392" w14:textId="77777777" w:rsidR="00580E82" w:rsidRPr="00844F2E" w:rsidRDefault="00F164BE">
      <w:pPr>
        <w:pStyle w:val="Point1"/>
        <w:ind w:left="567"/>
      </w:pPr>
      <w:r w:rsidRPr="00844F2E">
        <w:t>b)</w:t>
      </w:r>
      <w:r w:rsidRPr="00844F2E">
        <w:tab/>
        <w:t>wartości numeryczne przedstawia się jako dane faktyczne zgodnie z następującymi konwencjami:</w:t>
      </w:r>
    </w:p>
    <w:p w14:paraId="1BE31AD8" w14:textId="77777777" w:rsidR="00580E82" w:rsidRPr="00844F2E" w:rsidRDefault="00F164BE">
      <w:pPr>
        <w:pStyle w:val="Point2"/>
        <w:ind w:left="1134"/>
      </w:pPr>
      <w:r w:rsidRPr="00844F2E">
        <w:t>(i)</w:t>
      </w:r>
      <w:r w:rsidRPr="00844F2E">
        <w:tab/>
        <w:t>punkty danych obejmujące rodzaj danych „kwota pieniężna” przedstawia się z zastosowaniem minimalnej dokładności odpowiadającej tysiącom jednostek;</w:t>
      </w:r>
    </w:p>
    <w:p w14:paraId="728989C9" w14:textId="77777777" w:rsidR="00580E82" w:rsidRPr="00844F2E" w:rsidRDefault="00F164BE">
      <w:pPr>
        <w:pStyle w:val="Point2"/>
        <w:ind w:left="1134"/>
      </w:pPr>
      <w:r w:rsidRPr="00844F2E">
        <w:t>(ii)</w:t>
      </w:r>
      <w:r w:rsidRPr="00844F2E">
        <w:tab/>
        <w:t>punkty danych obejmujące rodzaj danych „wartość procentowa” wyraża się zgodnie z jednostką, z zastosowaniem minimalnej dokładności odpowiadającej czwartemu miejscu po przecinku;</w:t>
      </w:r>
    </w:p>
    <w:p w14:paraId="2177E280" w14:textId="77777777" w:rsidR="00580E82" w:rsidRPr="00844F2E" w:rsidRDefault="00F164BE">
      <w:pPr>
        <w:pStyle w:val="Point2"/>
        <w:ind w:left="1134"/>
      </w:pPr>
      <w:r w:rsidRPr="00844F2E">
        <w:t>(iii)</w:t>
      </w:r>
      <w:r w:rsidRPr="00844F2E">
        <w:tab/>
        <w:t>punkty danych obejmujące rodzaj danych „liczba całkowita” przedstawia się bez miejsc po przecinku oraz z dokładnością odpowiadającą jednostkom.</w:t>
      </w:r>
    </w:p>
    <w:p w14:paraId="0F39135B" w14:textId="77777777" w:rsidR="00580E82" w:rsidRPr="00844F2E" w:rsidRDefault="00F164BE">
      <w:pPr>
        <w:pStyle w:val="NumPar1"/>
        <w:numPr>
          <w:ilvl w:val="0"/>
          <w:numId w:val="0"/>
        </w:numPr>
        <w:tabs>
          <w:tab w:val="left" w:pos="567"/>
        </w:tabs>
      </w:pPr>
      <w:r w:rsidRPr="00844F2E">
        <w:t>2.</w:t>
      </w:r>
      <w:r w:rsidRPr="00844F2E">
        <w:tab/>
        <w:t>Firmy inwestycyjne identyfikuje się za pomocą ich identyfikatora podmiotu prawnego (LEI). Podmioty prawne i kontrahentów innych niż firmy inwestycyjne identyfikuje się za pomocą ich LEI, jeżeli jest dostępny.</w:t>
      </w:r>
    </w:p>
    <w:p w14:paraId="1BA84F25" w14:textId="77777777" w:rsidR="00580E82" w:rsidRPr="00844F2E" w:rsidRDefault="00F164BE">
      <w:pPr>
        <w:pStyle w:val="NumPar1"/>
        <w:numPr>
          <w:ilvl w:val="0"/>
          <w:numId w:val="0"/>
        </w:numPr>
        <w:tabs>
          <w:tab w:val="left" w:pos="567"/>
        </w:tabs>
      </w:pPr>
      <w:r w:rsidRPr="00844F2E">
        <w:t>3.</w:t>
      </w:r>
      <w:r w:rsidRPr="00844F2E">
        <w:tab/>
        <w:t>Do informacji przekazywanych przez firmy inwestycyjne na podstawie niniejszego rozporządzenia dołącza się następujące informacje:</w:t>
      </w:r>
    </w:p>
    <w:p w14:paraId="22F1040D" w14:textId="77777777" w:rsidR="00580E82" w:rsidRPr="00844F2E" w:rsidRDefault="00F164BE">
      <w:pPr>
        <w:pStyle w:val="Point1"/>
        <w:ind w:left="567"/>
      </w:pPr>
      <w:r w:rsidRPr="00844F2E">
        <w:t>a)</w:t>
      </w:r>
      <w:r w:rsidRPr="00844F2E">
        <w:tab/>
        <w:t>sprawozdawczy dzień odniesienia oraz okres sprawozdawczy;</w:t>
      </w:r>
    </w:p>
    <w:p w14:paraId="133536C0" w14:textId="77777777" w:rsidR="00580E82" w:rsidRPr="00844F2E" w:rsidRDefault="00F164BE">
      <w:pPr>
        <w:pStyle w:val="Point1"/>
        <w:ind w:left="567"/>
      </w:pPr>
      <w:r w:rsidRPr="00844F2E">
        <w:t>b)</w:t>
      </w:r>
      <w:r w:rsidRPr="00844F2E">
        <w:tab/>
        <w:t>walutę sprawozdawczą;</w:t>
      </w:r>
    </w:p>
    <w:p w14:paraId="7B8216EC" w14:textId="77777777" w:rsidR="00580E82" w:rsidRPr="00844F2E" w:rsidRDefault="00F164BE">
      <w:pPr>
        <w:pStyle w:val="Point1"/>
        <w:ind w:left="567"/>
      </w:pPr>
      <w:r w:rsidRPr="00844F2E">
        <w:lastRenderedPageBreak/>
        <w:t>c)</w:t>
      </w:r>
      <w:r w:rsidRPr="00844F2E">
        <w:tab/>
        <w:t>standard rachunkowości;</w:t>
      </w:r>
    </w:p>
    <w:p w14:paraId="48B65E42" w14:textId="77777777" w:rsidR="00580E82" w:rsidRPr="00844F2E" w:rsidRDefault="00F164BE">
      <w:pPr>
        <w:pStyle w:val="Point1"/>
        <w:ind w:left="567"/>
      </w:pPr>
      <w:r w:rsidRPr="00844F2E">
        <w:t>d)</w:t>
      </w:r>
      <w:r w:rsidRPr="00844F2E">
        <w:tab/>
        <w:t>identyfikator podmiotu prawnego (LEI) instytucji sprawozdającej;</w:t>
      </w:r>
    </w:p>
    <w:p w14:paraId="174AF401" w14:textId="77777777" w:rsidR="00580E82" w:rsidRPr="00844F2E" w:rsidRDefault="00F164BE">
      <w:pPr>
        <w:pStyle w:val="Point1"/>
        <w:ind w:left="567"/>
      </w:pPr>
      <w:r w:rsidRPr="00844F2E">
        <w:t>e)</w:t>
      </w:r>
      <w:r w:rsidRPr="00844F2E">
        <w:tab/>
        <w:t>zakres konsolidacji.</w:t>
      </w:r>
    </w:p>
    <w:p w14:paraId="317F7EAA" w14:textId="77777777" w:rsidR="00580E82" w:rsidRPr="0093199D" w:rsidRDefault="00F164BE">
      <w:pPr>
        <w:pStyle w:val="ChapterTitle"/>
        <w:rPr>
          <w:b w:val="0"/>
        </w:rPr>
      </w:pPr>
      <w:r w:rsidRPr="0093199D">
        <w:rPr>
          <w:b w:val="0"/>
        </w:rPr>
        <w:t>ROZDZIAŁ II</w:t>
      </w:r>
    </w:p>
    <w:p w14:paraId="032B115C" w14:textId="77777777" w:rsidR="00580E82" w:rsidRPr="00844F2E" w:rsidRDefault="00F164BE">
      <w:pPr>
        <w:pStyle w:val="ChapterTitle"/>
      </w:pPr>
      <w:r w:rsidRPr="00844F2E">
        <w:t>PUBLICZNE UJAWNIANIE INFORMACJI PRZEZ FIRMY INWESTYCYJNE</w:t>
      </w:r>
    </w:p>
    <w:p w14:paraId="2645A27B" w14:textId="77777777" w:rsidR="00580E82" w:rsidRPr="00844F2E" w:rsidRDefault="00F164BE">
      <w:pPr>
        <w:pStyle w:val="Titrearticle"/>
      </w:pPr>
      <w:r w:rsidRPr="00844F2E">
        <w:t>Artykuł 9</w:t>
      </w:r>
    </w:p>
    <w:p w14:paraId="58771B08" w14:textId="77777777" w:rsidR="00580E82" w:rsidRPr="00844F2E" w:rsidRDefault="00F164BE">
      <w:pPr>
        <w:pStyle w:val="Titrearticle"/>
        <w:spacing w:before="120"/>
        <w:rPr>
          <w:b/>
          <w:i w:val="0"/>
        </w:rPr>
      </w:pPr>
      <w:r w:rsidRPr="00844F2E">
        <w:rPr>
          <w:b/>
          <w:i w:val="0"/>
        </w:rPr>
        <w:t>Zasady ujawniania informacji</w:t>
      </w:r>
    </w:p>
    <w:p w14:paraId="6C54E449" w14:textId="77777777" w:rsidR="00580E82" w:rsidRPr="00844F2E" w:rsidRDefault="00F164BE">
      <w:pPr>
        <w:pStyle w:val="NumPar1"/>
        <w:numPr>
          <w:ilvl w:val="0"/>
          <w:numId w:val="0"/>
        </w:numPr>
      </w:pPr>
      <w:r w:rsidRPr="00844F2E">
        <w:t>1.</w:t>
      </w:r>
      <w:r w:rsidRPr="00844F2E">
        <w:tab/>
        <w:t>Informacje ujawniane zgodnie z niniejszym rozporządzeniem podlegają następującym zasadom:</w:t>
      </w:r>
    </w:p>
    <w:p w14:paraId="0FC6B152" w14:textId="77777777" w:rsidR="00580E82" w:rsidRPr="00844F2E" w:rsidRDefault="00F164BE">
      <w:pPr>
        <w:pStyle w:val="Point1"/>
        <w:ind w:left="709" w:hanging="709"/>
      </w:pPr>
      <w:r w:rsidRPr="00844F2E">
        <w:t>a)</w:t>
      </w:r>
      <w:r w:rsidRPr="00844F2E">
        <w:tab/>
        <w:t>ujawniane informacje podlegają weryfikacji wewnętrznej w takim samym stopniu, jaki ma zastosowanie do sprawozdania z działalności zawartego w sprawozdaniu finansowym firmy inwestycyjnej;</w:t>
      </w:r>
    </w:p>
    <w:p w14:paraId="548D4060" w14:textId="77777777" w:rsidR="00580E82" w:rsidRPr="00844F2E" w:rsidRDefault="00F164BE">
      <w:pPr>
        <w:pStyle w:val="Point1"/>
        <w:ind w:left="709" w:hanging="709"/>
      </w:pPr>
      <w:r w:rsidRPr="00844F2E">
        <w:t>b)</w:t>
      </w:r>
      <w:r w:rsidRPr="00844F2E">
        <w:tab/>
        <w:t>ujawniane informacje są jasne i są prezentowane w formie zrozumiałej dla użytkowników informacji oraz są udostępniane za pomocą dostępnego nośnika. Ważne komunikaty są wyróżnione i łatwe do odnalezienia. Złożone kwestie wyjaśnia się prostym językiem. Powiązane informacje przedstawia się łącznie;</w:t>
      </w:r>
    </w:p>
    <w:p w14:paraId="49EB7572" w14:textId="77777777" w:rsidR="00580E82" w:rsidRPr="00844F2E" w:rsidRDefault="00F164BE">
      <w:pPr>
        <w:pStyle w:val="Point1"/>
        <w:ind w:left="709" w:hanging="709"/>
      </w:pPr>
      <w:r w:rsidRPr="00844F2E">
        <w:t>c)</w:t>
      </w:r>
      <w:r w:rsidRPr="00844F2E">
        <w:tab/>
        <w:t>ujawniane informacje są miarodajne i zachowana jest ich spójność w miarę upływu czasu, aby umożliwić użytkownikom informacji porównywanie informacji z różnych okresów;</w:t>
      </w:r>
    </w:p>
    <w:p w14:paraId="690576B2" w14:textId="77777777" w:rsidR="00580E82" w:rsidRPr="00844F2E" w:rsidRDefault="00F164BE">
      <w:pPr>
        <w:pStyle w:val="Point1"/>
        <w:ind w:left="709" w:hanging="709"/>
      </w:pPr>
      <w:r w:rsidRPr="00844F2E">
        <w:t>d)</w:t>
      </w:r>
      <w:r w:rsidRPr="00844F2E">
        <w:tab/>
        <w:t>ujawnianym informacjom ilościowym towarzyszą wyjaśnienia o charakterze jakościowym oraz wszelkie inne informacje uzupełniające, które mogą być konieczne do tego, aby użytkownicy tych informacji mogli je zrozumieć, przy zwróceniu szczególnej uwagi na wszelkie istotne zmiany w jakichkolwiek ujawnianych informacjach w porównaniu z wcześniej ujawnionymi informacjami.</w:t>
      </w:r>
    </w:p>
    <w:p w14:paraId="11A7742B" w14:textId="77777777" w:rsidR="00580E82" w:rsidRPr="00844F2E" w:rsidRDefault="00F164BE">
      <w:pPr>
        <w:pStyle w:val="Titrearticle"/>
      </w:pPr>
      <w:r w:rsidRPr="00844F2E">
        <w:t>Artykuł 10</w:t>
      </w:r>
    </w:p>
    <w:p w14:paraId="60203F81" w14:textId="77777777" w:rsidR="00580E82" w:rsidRPr="00844F2E" w:rsidRDefault="00F164BE">
      <w:pPr>
        <w:pStyle w:val="Titrearticle"/>
        <w:spacing w:before="120"/>
        <w:rPr>
          <w:b/>
          <w:i w:val="0"/>
        </w:rPr>
      </w:pPr>
      <w:r w:rsidRPr="00844F2E">
        <w:rPr>
          <w:b/>
          <w:i w:val="0"/>
        </w:rPr>
        <w:t>Ujawnianie przez firmy inwestycyjne informacji na temat funduszy własnych</w:t>
      </w:r>
    </w:p>
    <w:p w14:paraId="5031264F" w14:textId="77777777" w:rsidR="00580E82" w:rsidRPr="00844F2E" w:rsidRDefault="00F164BE">
      <w:r w:rsidRPr="00844F2E">
        <w:t>Firmy inwestycyjne ujawniają informacje na temat funduszy własnych wymagane zgodnie z art. 49 ust. 1 rozporządzenia (UE) 2019/2033, korzystając ze wzorów zawartych w załączniku VI do niniejszego rozporządzenia zgodnie z odpowiednimi instrukcjami zawartymi w załączniku VII do niniejszego rozporządzenia.</w:t>
      </w:r>
    </w:p>
    <w:p w14:paraId="08977480" w14:textId="77777777" w:rsidR="00580E82" w:rsidRPr="00844F2E" w:rsidRDefault="00F164BE">
      <w:pPr>
        <w:pStyle w:val="Titrearticle"/>
      </w:pPr>
      <w:r w:rsidRPr="00844F2E">
        <w:t>Artykuł 11</w:t>
      </w:r>
    </w:p>
    <w:p w14:paraId="355D1723" w14:textId="77777777" w:rsidR="00580E82" w:rsidRPr="00844F2E" w:rsidRDefault="00F164BE">
      <w:pPr>
        <w:pStyle w:val="Titrearticle"/>
        <w:spacing w:before="120"/>
        <w:rPr>
          <w:b/>
          <w:i w:val="0"/>
        </w:rPr>
      </w:pPr>
      <w:r w:rsidRPr="00844F2E">
        <w:rPr>
          <w:b/>
          <w:i w:val="0"/>
        </w:rPr>
        <w:t>Przepisy ogólne dotyczące ujawniania informacji</w:t>
      </w:r>
    </w:p>
    <w:p w14:paraId="4F4D5BE0" w14:textId="77777777" w:rsidR="00580E82" w:rsidRPr="00844F2E" w:rsidRDefault="00F164BE">
      <w:pPr>
        <w:pStyle w:val="NumPar1"/>
        <w:numPr>
          <w:ilvl w:val="0"/>
          <w:numId w:val="0"/>
        </w:numPr>
        <w:tabs>
          <w:tab w:val="left" w:pos="567"/>
        </w:tabs>
      </w:pPr>
      <w:r w:rsidRPr="00844F2E">
        <w:t>1.</w:t>
      </w:r>
      <w:r w:rsidRPr="00844F2E">
        <w:tab/>
        <w:t>Ujawniając informacje, o których mowa w art. 10 niniejszego rozporządzenia, firmy inwestycyjne zapewniają przekazanie wartości numerycznych jako danych faktycznych zgodnie z następującymi konwencjami:</w:t>
      </w:r>
    </w:p>
    <w:p w14:paraId="65CA891F" w14:textId="77777777" w:rsidR="00580E82" w:rsidRPr="00844F2E" w:rsidRDefault="00F164BE">
      <w:pPr>
        <w:pStyle w:val="Point1"/>
        <w:ind w:left="567"/>
      </w:pPr>
      <w:r w:rsidRPr="00844F2E">
        <w:t>a)</w:t>
      </w:r>
      <w:r w:rsidRPr="00844F2E">
        <w:tab/>
        <w:t>dane ilościowe ujawniane jako kwoty pieniężne ujawnia się z zastosowaniem minimalnej dokładności odpowiadającej tysiącom jednostek;</w:t>
      </w:r>
    </w:p>
    <w:p w14:paraId="25FB67EB" w14:textId="77777777" w:rsidR="00580E82" w:rsidRPr="00844F2E" w:rsidRDefault="00F164BE">
      <w:pPr>
        <w:pStyle w:val="Point1"/>
        <w:ind w:left="567"/>
      </w:pPr>
      <w:r w:rsidRPr="00844F2E">
        <w:lastRenderedPageBreak/>
        <w:t>b)</w:t>
      </w:r>
      <w:r w:rsidRPr="00844F2E">
        <w:tab/>
        <w:t>dane ilościowe ujawniane jako wartości procentowe wyraża się zgodnie z jednostką, z zastosowaniem minimalnej dokładności odpowiadającej czwartemu miejscu po przecinku.</w:t>
      </w:r>
    </w:p>
    <w:p w14:paraId="38CE6D4D" w14:textId="77777777" w:rsidR="00580E82" w:rsidRPr="00844F2E" w:rsidRDefault="00F164BE">
      <w:pPr>
        <w:pStyle w:val="NumPar1"/>
        <w:numPr>
          <w:ilvl w:val="0"/>
          <w:numId w:val="0"/>
        </w:numPr>
        <w:tabs>
          <w:tab w:val="left" w:pos="567"/>
        </w:tabs>
      </w:pPr>
      <w:r w:rsidRPr="00844F2E">
        <w:t>2.</w:t>
      </w:r>
      <w:r w:rsidRPr="00844F2E">
        <w:tab/>
        <w:t>Ujawniając informacje, o których mowa w art. 10 niniejszego rozporządzenia, firmy inwestycyjne zapewniają powiązanie tych informacji z wszystkimi następującymi informacjami:</w:t>
      </w:r>
    </w:p>
    <w:p w14:paraId="6243EF06" w14:textId="77777777" w:rsidR="00580E82" w:rsidRPr="00844F2E" w:rsidRDefault="00F164BE">
      <w:pPr>
        <w:pStyle w:val="Point1"/>
        <w:ind w:left="567"/>
      </w:pPr>
      <w:r w:rsidRPr="00844F2E">
        <w:t>a)</w:t>
      </w:r>
      <w:r w:rsidRPr="00844F2E">
        <w:tab/>
        <w:t>dniem odniesienia do celów ujawniania informacji oraz okresem sprawozdawczym;</w:t>
      </w:r>
    </w:p>
    <w:p w14:paraId="6335A107" w14:textId="77777777" w:rsidR="00580E82" w:rsidRPr="00844F2E" w:rsidRDefault="00F164BE">
      <w:pPr>
        <w:pStyle w:val="Point1"/>
        <w:ind w:left="567"/>
      </w:pPr>
      <w:r w:rsidRPr="00844F2E">
        <w:t>b)</w:t>
      </w:r>
      <w:r w:rsidRPr="00844F2E">
        <w:tab/>
        <w:t>walutą właściwą dla ujawnienia informacji;</w:t>
      </w:r>
    </w:p>
    <w:p w14:paraId="1B6F804F" w14:textId="77777777" w:rsidR="00580E82" w:rsidRPr="00844F2E" w:rsidRDefault="00F164BE">
      <w:pPr>
        <w:pStyle w:val="Point1"/>
        <w:ind w:left="567"/>
      </w:pPr>
      <w:r w:rsidRPr="00844F2E">
        <w:t>c)</w:t>
      </w:r>
      <w:r w:rsidRPr="00844F2E">
        <w:tab/>
        <w:t>nazwą oraz, w stosownych przypadkach, identyfikatorem podmiotu prawnego (LEI) instytucji ujawniającej informacje;</w:t>
      </w:r>
    </w:p>
    <w:p w14:paraId="1F9A065B" w14:textId="77777777" w:rsidR="00580E82" w:rsidRPr="00844F2E" w:rsidRDefault="00F164BE">
      <w:pPr>
        <w:pStyle w:val="Point1"/>
        <w:ind w:left="567"/>
      </w:pPr>
      <w:r w:rsidRPr="00844F2E">
        <w:t>d)</w:t>
      </w:r>
      <w:r w:rsidRPr="00844F2E">
        <w:tab/>
        <w:t>w stosownych przypadkach – zastosowanym standardem rachunkowości;</w:t>
      </w:r>
    </w:p>
    <w:p w14:paraId="72F2989D" w14:textId="77777777" w:rsidR="00580E82" w:rsidRPr="00844F2E" w:rsidRDefault="00F164BE">
      <w:pPr>
        <w:pStyle w:val="Point1"/>
        <w:ind w:left="567"/>
      </w:pPr>
      <w:r w:rsidRPr="00844F2E">
        <w:t>e)</w:t>
      </w:r>
      <w:r w:rsidRPr="00844F2E">
        <w:tab/>
        <w:t>w stosownych przypadkach – zakresem konsolidacji.</w:t>
      </w:r>
    </w:p>
    <w:p w14:paraId="5FD5AAC8" w14:textId="77777777" w:rsidR="00580E82" w:rsidRPr="0093199D" w:rsidRDefault="00F164BE">
      <w:pPr>
        <w:pStyle w:val="ChapterTitle"/>
        <w:rPr>
          <w:b w:val="0"/>
        </w:rPr>
      </w:pPr>
      <w:r w:rsidRPr="0093199D">
        <w:rPr>
          <w:b w:val="0"/>
        </w:rPr>
        <w:t>ROZDZIAŁ III</w:t>
      </w:r>
    </w:p>
    <w:p w14:paraId="23059C4A" w14:textId="77777777" w:rsidR="00580E82" w:rsidRPr="00844F2E" w:rsidRDefault="00F164BE">
      <w:pPr>
        <w:pStyle w:val="ChapterTitle"/>
      </w:pPr>
      <w:r w:rsidRPr="00844F2E">
        <w:t>PRZEPISY KOŃCOWE</w:t>
      </w:r>
    </w:p>
    <w:p w14:paraId="2949905C" w14:textId="77777777" w:rsidR="00580E82" w:rsidRPr="00844F2E" w:rsidRDefault="00F164BE">
      <w:pPr>
        <w:pStyle w:val="Titrearticle"/>
        <w:spacing w:before="120"/>
      </w:pPr>
      <w:r w:rsidRPr="00844F2E">
        <w:t>Artykuł 12</w:t>
      </w:r>
    </w:p>
    <w:p w14:paraId="0633EC39" w14:textId="3F530E86" w:rsidR="00580E82" w:rsidRPr="00844F2E" w:rsidRDefault="00F164BE">
      <w:pPr>
        <w:pStyle w:val="Titrearticle"/>
        <w:spacing w:before="120"/>
        <w:rPr>
          <w:b/>
          <w:i w:val="0"/>
        </w:rPr>
      </w:pPr>
      <w:r w:rsidRPr="00844F2E">
        <w:rPr>
          <w:b/>
          <w:i w:val="0"/>
        </w:rPr>
        <w:t>Wejście w życie</w:t>
      </w:r>
    </w:p>
    <w:p w14:paraId="10F9EF2C" w14:textId="77777777" w:rsidR="00580E82" w:rsidRPr="00844F2E" w:rsidRDefault="00F164BE">
      <w:r w:rsidRPr="00844F2E">
        <w:t xml:space="preserve">Niniejsze rozporządzenie wchodzi w życie dwudziestego dnia po jego opublikowaniu w </w:t>
      </w:r>
      <w:r w:rsidRPr="00844F2E">
        <w:rPr>
          <w:i/>
        </w:rPr>
        <w:t>Dzienniku Urzędowym Unii Europejskiej</w:t>
      </w:r>
      <w:r w:rsidRPr="00844F2E">
        <w:t>.</w:t>
      </w:r>
    </w:p>
    <w:p w14:paraId="5F5921C1" w14:textId="77777777" w:rsidR="00580E82" w:rsidRPr="00844F2E" w:rsidRDefault="00F164BE">
      <w:pPr>
        <w:pStyle w:val="Applicationdirecte"/>
      </w:pPr>
      <w:r w:rsidRPr="00844F2E">
        <w:t>Niniejsze rozporządzenie wiąże w całości i jest bezpośrednio stosowane we wszystkich państwach członkowskich.</w:t>
      </w:r>
    </w:p>
    <w:p w14:paraId="7970E0D8" w14:textId="77777777" w:rsidR="00580E82" w:rsidRPr="00844F2E" w:rsidRDefault="00F164BE">
      <w:pPr>
        <w:pStyle w:val="Fait"/>
      </w:pPr>
      <w:r w:rsidRPr="00844F2E">
        <w:t xml:space="preserve">Sporządzono w Brukseli dnia </w:t>
      </w:r>
      <w:r w:rsidR="00844F2E">
        <w:t>6</w:t>
      </w:r>
      <w:r w:rsidR="00844F2E" w:rsidRPr="00844F2E">
        <w:t xml:space="preserve"> grudnia 2021</w:t>
      </w:r>
      <w:r w:rsidRPr="00844F2E">
        <w:t xml:space="preserve"> r.</w:t>
      </w:r>
    </w:p>
    <w:p w14:paraId="7A6EC8B5" w14:textId="77777777" w:rsidR="00580E82" w:rsidRPr="00844F2E" w:rsidRDefault="00F164BE">
      <w:pPr>
        <w:pStyle w:val="Institutionquisigne"/>
      </w:pPr>
      <w:r w:rsidRPr="00844F2E">
        <w:tab/>
        <w:t>W imieniu Komisji</w:t>
      </w:r>
    </w:p>
    <w:p w14:paraId="0716CCE8" w14:textId="77777777" w:rsidR="00580E82" w:rsidRPr="00844F2E" w:rsidRDefault="00F164BE">
      <w:pPr>
        <w:pStyle w:val="Personnequisigne"/>
      </w:pPr>
      <w:r w:rsidRPr="00844F2E">
        <w:tab/>
        <w:t>Przewodnicząca</w:t>
      </w:r>
    </w:p>
    <w:p w14:paraId="10BF8B38" w14:textId="77777777" w:rsidR="00580E82" w:rsidRPr="0093199D" w:rsidRDefault="00F164BE">
      <w:pPr>
        <w:pStyle w:val="Personnequisigne"/>
        <w:rPr>
          <w:i w:val="0"/>
        </w:rPr>
      </w:pPr>
      <w:r w:rsidRPr="00844F2E">
        <w:tab/>
      </w:r>
      <w:r w:rsidRPr="0093199D">
        <w:rPr>
          <w:i w:val="0"/>
        </w:rPr>
        <w:t xml:space="preserve">Ursula </w:t>
      </w:r>
      <w:r w:rsidR="00844F2E" w:rsidRPr="00844F2E">
        <w:rPr>
          <w:i w:val="0"/>
        </w:rPr>
        <w:t>VON DER LEYEN</w:t>
      </w:r>
    </w:p>
    <w:sectPr w:rsidR="00580E82" w:rsidRPr="0093199D">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C6C47" w14:textId="77777777" w:rsidR="00F164BE" w:rsidRDefault="00F164BE">
      <w:pPr>
        <w:spacing w:before="0" w:after="0"/>
      </w:pPr>
      <w:r>
        <w:separator/>
      </w:r>
    </w:p>
  </w:endnote>
  <w:endnote w:type="continuationSeparator" w:id="0">
    <w:p w14:paraId="5E452916" w14:textId="77777777" w:rsidR="00F164BE" w:rsidRDefault="00F164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1F6DE" w14:textId="77777777" w:rsidR="00580E82" w:rsidRDefault="00F164BE">
    <w:pPr>
      <w:pStyle w:val="Footer"/>
      <w:tabs>
        <w:tab w:val="clear" w:pos="4535"/>
        <w:tab w:val="clear" w:pos="9921"/>
      </w:tabs>
      <w:ind w:left="0" w:right="0"/>
    </w:pPr>
    <w:r>
      <w:t>PL - Cleaned document</w:t>
    </w:r>
    <w:r>
      <w:tab/>
    </w:r>
    <w:r>
      <w:fldChar w:fldCharType="begin"/>
    </w:r>
    <w:r>
      <w:instrText xml:space="preserve"> PAGE \* MERGEFORMAT </w:instrText>
    </w:r>
    <w:r>
      <w:fldChar w:fldCharType="separate"/>
    </w:r>
    <w:r w:rsidR="0093199D">
      <w:rPr>
        <w:noProof/>
      </w:rPr>
      <w:t>7</w:t>
    </w:r>
    <w:r>
      <w:fldChar w:fldCharType="end"/>
    </w:r>
    <w:r>
      <w:t>/</w:t>
    </w:r>
    <w:fldSimple w:instr=" NUMPAGES \* MERGEFORMAT ">
      <w:r w:rsidR="0093199D">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C99E5" w14:textId="77777777" w:rsidR="00F164BE" w:rsidRDefault="00F164BE">
      <w:pPr>
        <w:spacing w:before="0" w:after="0"/>
      </w:pPr>
      <w:r>
        <w:separator/>
      </w:r>
    </w:p>
  </w:footnote>
  <w:footnote w:type="continuationSeparator" w:id="0">
    <w:p w14:paraId="3E44F746" w14:textId="77777777" w:rsidR="00F164BE" w:rsidRDefault="00F164BE">
      <w:pPr>
        <w:spacing w:before="0" w:after="0"/>
      </w:pPr>
      <w:r>
        <w:continuationSeparator/>
      </w:r>
    </w:p>
  </w:footnote>
  <w:footnote w:id="1">
    <w:p w14:paraId="37ABED25" w14:textId="77777777" w:rsidR="00580E82" w:rsidRDefault="00F164BE">
      <w:pPr>
        <w:pStyle w:val="FootnoteText"/>
      </w:pPr>
      <w:r>
        <w:rPr>
          <w:rStyle w:val="FootnoteReference"/>
        </w:rPr>
        <w:footnoteRef/>
      </w:r>
      <w:r>
        <w:tab/>
        <w:t>Dz.U. L 314 z 5.12.2019, s. 1.</w:t>
      </w:r>
    </w:p>
  </w:footnote>
  <w:footnote w:id="2">
    <w:p w14:paraId="59B58745" w14:textId="77777777" w:rsidR="00580E82" w:rsidRDefault="00F164BE">
      <w:pPr>
        <w:pStyle w:val="FootnoteText"/>
      </w:pPr>
      <w:r>
        <w:rPr>
          <w:rStyle w:val="FootnoteReference"/>
        </w:rPr>
        <w:footnoteRef/>
      </w:r>
      <w:r>
        <w:tab/>
        <w:t>Rozporządzenie Parlamentu Europejskiego i Rady (UE) nr 1093/2010 z dnia 24 listopada 2010 r. w sprawie ustanowienia Europejskiego Urzędu Nadzoru (Europejskiego Urzędu Nadzoru Bankowego), zmiany decyzji nr 716/2009/WE oraz uchylenia decyzji Komisji 2009/78/WE (Dz.U. L 331 z 15.12.2010, s. 12).</w:t>
      </w:r>
    </w:p>
  </w:footnote>
  <w:footnote w:id="3">
    <w:p w14:paraId="24135250" w14:textId="77777777" w:rsidR="001E47BC" w:rsidRDefault="001E47BC">
      <w:pPr>
        <w:pStyle w:val="FootnoteText"/>
      </w:pPr>
      <w:r>
        <w:rPr>
          <w:rStyle w:val="FootnoteReference"/>
        </w:rPr>
        <w:footnoteRef/>
      </w:r>
      <w:r>
        <w:t xml:space="preserve"> </w:t>
      </w:r>
      <w:r>
        <w:tab/>
      </w:r>
      <w:r w:rsidRPr="001E47BC">
        <w:t>Rozporządzenie wykonawcze komisji (UE) 2021/451 z dnia 17 grudnia 2020 r. ustanawiające wykonawcze standardy techniczne do celów stosowania rozporządzenia Parlamentu Europejskiego i Rady (UE) nr 575/2013 w odniesieniu do sprawozdań nadzorczych instytucji oraz uchylające rozporządzenie wykonawcze (UE) nr 680/2014</w:t>
      </w:r>
      <w:r>
        <w:t xml:space="preserve"> (Dz.U. L 97 z 19.3.2021, s</w:t>
      </w:r>
      <w:r w:rsidRPr="001E47BC">
        <w:t>.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40DDD" w14:textId="51E3976C" w:rsidR="00580E82" w:rsidRDefault="00B55FBB">
    <w:pPr>
      <w:pStyle w:val="Header"/>
    </w:pPr>
    <w:r>
      <w:rPr>
        <w:noProof/>
      </w:rPr>
      <mc:AlternateContent>
        <mc:Choice Requires="wps">
          <w:drawing>
            <wp:anchor distT="0" distB="0" distL="114300" distR="114300" simplePos="0" relativeHeight="251659264" behindDoc="0" locked="0" layoutInCell="0" allowOverlap="1" wp14:anchorId="2334F443" wp14:editId="54E4F13D">
              <wp:simplePos x="0" y="0"/>
              <wp:positionH relativeFrom="page">
                <wp:posOffset>0</wp:posOffset>
              </wp:positionH>
              <wp:positionV relativeFrom="page">
                <wp:posOffset>190500</wp:posOffset>
              </wp:positionV>
              <wp:extent cx="7560945" cy="273050"/>
              <wp:effectExtent l="0" t="0" r="0" b="12700"/>
              <wp:wrapNone/>
              <wp:docPr id="1" name="MSIPCM33694a41a6a2c89da0f537d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DBDEEA" w14:textId="11DF7337" w:rsidR="00B55FBB" w:rsidRPr="00B55FBB" w:rsidRDefault="00B55FBB" w:rsidP="00B55FBB">
                          <w:pPr>
                            <w:spacing w:before="0" w:after="0"/>
                            <w:jc w:val="left"/>
                            <w:rPr>
                              <w:rFonts w:ascii="Calibri" w:hAnsi="Calibri" w:cs="Calibri"/>
                              <w:color w:val="000000"/>
                            </w:rPr>
                          </w:pPr>
                          <w:r w:rsidRPr="00B55FBB">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334F443" id="_x0000_t202" coordsize="21600,21600" o:spt="202" path="m,l,21600r21600,l21600,xe">
              <v:stroke joinstyle="miter"/>
              <v:path gradientshapeok="t" o:connecttype="rect"/>
            </v:shapetype>
            <v:shape id="MSIPCM33694a41a6a2c89da0f537d3"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AsdOy/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11DBDEEA" w14:textId="11DF7337" w:rsidR="00B55FBB" w:rsidRPr="00B55FBB" w:rsidRDefault="00B55FBB" w:rsidP="00B55FBB">
                    <w:pPr>
                      <w:spacing w:before="0" w:after="0"/>
                      <w:jc w:val="left"/>
                      <w:rPr>
                        <w:rFonts w:ascii="Calibri" w:hAnsi="Calibri" w:cs="Calibri"/>
                        <w:color w:val="000000"/>
                      </w:rPr>
                    </w:pPr>
                    <w:r w:rsidRPr="00B55FBB">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 w:numId="31">
    <w:abstractNumId w:val="18"/>
  </w:num>
  <w:num w:numId="32">
    <w:abstractNumId w:val="12"/>
  </w:num>
  <w:num w:numId="33">
    <w:abstractNumId w:val="20"/>
  </w:num>
  <w:num w:numId="34">
    <w:abstractNumId w:val="11"/>
  </w:num>
  <w:num w:numId="35">
    <w:abstractNumId w:val="13"/>
  </w:num>
  <w:num w:numId="36">
    <w:abstractNumId w:val="9"/>
  </w:num>
  <w:num w:numId="37">
    <w:abstractNumId w:val="19"/>
  </w:num>
  <w:num w:numId="38">
    <w:abstractNumId w:val="8"/>
  </w:num>
  <w:num w:numId="39">
    <w:abstractNumId w:val="14"/>
  </w:num>
  <w:num w:numId="40">
    <w:abstractNumId w:val="16"/>
  </w:num>
  <w:num w:numId="41">
    <w:abstractNumId w:val="17"/>
  </w:num>
  <w:num w:numId="42">
    <w:abstractNumId w:val="10"/>
  </w:num>
  <w:num w:numId="43">
    <w:abstractNumId w:val="15"/>
  </w:num>
  <w:num w:numId="4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1:58:20"/>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52388FDB-0AC2-4974-A9CA-CE8EBED58D74"/>
    <w:docVar w:name="LW_COVERPAGE_TYPE" w:val="1"/>
    <w:docVar w:name="LW_CROSSREFERENCE" w:val="&lt;UNUSED&gt;"/>
    <w:docVar w:name="LW_DATE.ADOPT.CP" w:val="z dnia XXX r."/>
    <w:docVar w:name="LW_DATE.ADOPT.CP_DATEFORMAT" w:val="z dnia %DATE% r."/>
    <w:docVar w:name="LW_DATE.ADOPT.CP_ISODATE" w:val="&lt;EMPTY&gt;"/>
    <w:docVar w:name="LW_DocType" w:val="COM"/>
    <w:docVar w:name="LW_EMISSION" w:val="&lt;EMPTY&gt;"/>
    <w:docVar w:name="LW_EMISSION_ISODATE" w:val="&lt;EMPTY&gt;"/>
    <w:docVar w:name="LW_EMISSION_LOCATION" w:val="BRX"/>
    <w:docVar w:name="LW_EMISSION_PREFIX" w:val="Bruksela, dnia "/>
    <w:docVar w:name="LW_EMISSION_SUFFIX" w:val=" r."/>
    <w:docVar w:name="LW_ID_DOCMODEL" w:val="SJ-004"/>
    <w:docVar w:name="LW_ID_DOCSIGNATURE" w:val="SJ-004"/>
    <w:docVar w:name="LW_ID_DOCSTRUCTURE" w:val="COM/AA"/>
    <w:docVar w:name="LW_ID_DOCTYPE" w:val="SJ-004"/>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stanawiaj\u261?ce wykonawcze standardy techniczne do celów stosowania rozporz\u261?dzenia Parlamentu Europejskiego i Rady (UE) 2019/2033 w odniesieniu do sprawozdawczo\u347?ci nadzorczej firm inwestycyjnych oraz ujawniania informacji przez firmy inwestycyjne"/>
    <w:docVar w:name="LW_TYPE.DOC.CP" w:val="ROZPORZ\u260?DZENIE WYKONAWCZE KOMISJI (UE) \u8230?/\u8230?"/>
  </w:docVars>
  <w:rsids>
    <w:rsidRoot w:val="00580E82"/>
    <w:rsid w:val="001E47BC"/>
    <w:rsid w:val="003F5019"/>
    <w:rsid w:val="00460BEE"/>
    <w:rsid w:val="00580E82"/>
    <w:rsid w:val="00844F2E"/>
    <w:rsid w:val="0093199D"/>
    <w:rsid w:val="00952281"/>
    <w:rsid w:val="00B55FBB"/>
    <w:rsid w:val="00F16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B4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pl-PL"/>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pl-PL"/>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1"/>
      </w:numPr>
    </w:pPr>
  </w:style>
  <w:style w:type="paragraph" w:customStyle="1" w:styleId="Tiret1">
    <w:name w:val="Tiret 1"/>
    <w:basedOn w:val="Point1"/>
    <w:pPr>
      <w:numPr>
        <w:numId w:val="32"/>
      </w:numPr>
    </w:pPr>
  </w:style>
  <w:style w:type="paragraph" w:customStyle="1" w:styleId="Tiret2">
    <w:name w:val="Tiret 2"/>
    <w:basedOn w:val="Point2"/>
    <w:pPr>
      <w:numPr>
        <w:numId w:val="33"/>
      </w:numPr>
    </w:pPr>
  </w:style>
  <w:style w:type="paragraph" w:customStyle="1" w:styleId="Tiret3">
    <w:name w:val="Tiret 3"/>
    <w:basedOn w:val="Point3"/>
    <w:pPr>
      <w:numPr>
        <w:numId w:val="34"/>
      </w:numPr>
    </w:pPr>
  </w:style>
  <w:style w:type="paragraph" w:customStyle="1" w:styleId="Tiret4">
    <w:name w:val="Tiret 4"/>
    <w:basedOn w:val="Point4"/>
    <w:pPr>
      <w:numPr>
        <w:numId w:val="3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6"/>
      </w:numPr>
    </w:pPr>
  </w:style>
  <w:style w:type="paragraph" w:customStyle="1" w:styleId="NumPar2">
    <w:name w:val="NumPar 2"/>
    <w:basedOn w:val="Normal"/>
    <w:next w:val="Text1"/>
    <w:pPr>
      <w:numPr>
        <w:ilvl w:val="1"/>
        <w:numId w:val="36"/>
      </w:numPr>
    </w:pPr>
  </w:style>
  <w:style w:type="paragraph" w:customStyle="1" w:styleId="NumPar3">
    <w:name w:val="NumPar 3"/>
    <w:basedOn w:val="Normal"/>
    <w:next w:val="Text1"/>
    <w:pPr>
      <w:numPr>
        <w:ilvl w:val="2"/>
        <w:numId w:val="36"/>
      </w:numPr>
    </w:pPr>
  </w:style>
  <w:style w:type="paragraph" w:customStyle="1" w:styleId="NumPar4">
    <w:name w:val="NumPar 4"/>
    <w:basedOn w:val="Normal"/>
    <w:next w:val="Text1"/>
    <w:pPr>
      <w:numPr>
        <w:ilvl w:val="3"/>
        <w:numId w:val="3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8"/>
      </w:numPr>
    </w:pPr>
  </w:style>
  <w:style w:type="paragraph" w:customStyle="1" w:styleId="Point1number">
    <w:name w:val="Point 1 (number)"/>
    <w:basedOn w:val="Normal"/>
    <w:pPr>
      <w:numPr>
        <w:ilvl w:val="2"/>
        <w:numId w:val="38"/>
      </w:numPr>
    </w:pPr>
  </w:style>
  <w:style w:type="paragraph" w:customStyle="1" w:styleId="Point2number">
    <w:name w:val="Point 2 (number)"/>
    <w:basedOn w:val="Normal"/>
    <w:pPr>
      <w:numPr>
        <w:ilvl w:val="4"/>
        <w:numId w:val="38"/>
      </w:numPr>
    </w:pPr>
  </w:style>
  <w:style w:type="paragraph" w:customStyle="1" w:styleId="Point3number">
    <w:name w:val="Point 3 (number)"/>
    <w:basedOn w:val="Normal"/>
    <w:pPr>
      <w:numPr>
        <w:ilvl w:val="6"/>
        <w:numId w:val="38"/>
      </w:numPr>
    </w:pPr>
  </w:style>
  <w:style w:type="paragraph" w:customStyle="1" w:styleId="Point0letter">
    <w:name w:val="Point 0 (letter)"/>
    <w:basedOn w:val="Normal"/>
    <w:pPr>
      <w:numPr>
        <w:ilvl w:val="1"/>
        <w:numId w:val="38"/>
      </w:numPr>
    </w:pPr>
  </w:style>
  <w:style w:type="paragraph" w:customStyle="1" w:styleId="Point1letter">
    <w:name w:val="Point 1 (letter)"/>
    <w:basedOn w:val="Normal"/>
    <w:pPr>
      <w:numPr>
        <w:ilvl w:val="3"/>
        <w:numId w:val="38"/>
      </w:numPr>
    </w:pPr>
  </w:style>
  <w:style w:type="paragraph" w:customStyle="1" w:styleId="Point2letter">
    <w:name w:val="Point 2 (letter)"/>
    <w:basedOn w:val="Normal"/>
    <w:pPr>
      <w:numPr>
        <w:ilvl w:val="5"/>
        <w:numId w:val="38"/>
      </w:numPr>
    </w:pPr>
  </w:style>
  <w:style w:type="paragraph" w:customStyle="1" w:styleId="Point3letter">
    <w:name w:val="Point 3 (letter)"/>
    <w:basedOn w:val="Normal"/>
    <w:pPr>
      <w:numPr>
        <w:ilvl w:val="7"/>
        <w:numId w:val="38"/>
      </w:numPr>
    </w:pPr>
  </w:style>
  <w:style w:type="paragraph" w:customStyle="1" w:styleId="Point4letter">
    <w:name w:val="Point 4 (letter)"/>
    <w:basedOn w:val="Normal"/>
    <w:pPr>
      <w:numPr>
        <w:ilvl w:val="8"/>
        <w:numId w:val="38"/>
      </w:numPr>
    </w:pPr>
  </w:style>
  <w:style w:type="paragraph" w:customStyle="1" w:styleId="Bullet0">
    <w:name w:val="Bullet 0"/>
    <w:basedOn w:val="Normal"/>
    <w:pPr>
      <w:numPr>
        <w:numId w:val="39"/>
      </w:numPr>
    </w:pPr>
  </w:style>
  <w:style w:type="paragraph" w:customStyle="1" w:styleId="Bullet1">
    <w:name w:val="Bullet 1"/>
    <w:basedOn w:val="Normal"/>
    <w:pPr>
      <w:numPr>
        <w:numId w:val="40"/>
      </w:numPr>
    </w:pPr>
  </w:style>
  <w:style w:type="paragraph" w:customStyle="1" w:styleId="Bullet2">
    <w:name w:val="Bullet 2"/>
    <w:basedOn w:val="Normal"/>
    <w:pPr>
      <w:numPr>
        <w:numId w:val="41"/>
      </w:numPr>
    </w:pPr>
  </w:style>
  <w:style w:type="paragraph" w:customStyle="1" w:styleId="Bullet3">
    <w:name w:val="Bullet 3"/>
    <w:basedOn w:val="Normal"/>
    <w:pPr>
      <w:numPr>
        <w:numId w:val="42"/>
      </w:numPr>
    </w:pPr>
  </w:style>
  <w:style w:type="paragraph" w:customStyle="1" w:styleId="Bullet4">
    <w:name w:val="Bullet 4"/>
    <w:basedOn w:val="Normal"/>
    <w:pPr>
      <w:numPr>
        <w:numId w:val="4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F8CB6-7FD3-456B-8E6B-3842E740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2520</Words>
  <Characters>14367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2022-01-14T17:04:11Z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fa0adc1d-7014-42be-a0d1-d5d07c63d83b</vt:lpwstr>
  </property>
  <property fmtid="{D5CDD505-2E9C-101B-9397-08002B2CF9AE}" pid="15" name="MSIP_Label_5c7eb9de-735b-4a68-8fe4-c9c62709b012_ContentBits">
    <vt:lpwstr>1</vt:lpwstr>
  </property>
</Properties>
</file>