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08B59" w14:textId="77777777" w:rsidR="009061B8" w:rsidRDefault="004F0467">
      <w:pPr>
        <w:pStyle w:val="Typedudocument"/>
      </w:pPr>
      <w:r>
        <w:t>REGLAMENTO DE EJECUCIÓN (UE) 2021/… DE LA COMISIÓN</w:t>
      </w:r>
    </w:p>
    <w:p w14:paraId="1FFE9AB8" w14:textId="77777777" w:rsidR="004F0467" w:rsidRPr="007874B5" w:rsidRDefault="00071785" w:rsidP="004F0467">
      <w:pPr>
        <w:pStyle w:val="Datedadoption"/>
      </w:pPr>
      <w:r w:rsidRPr="007874B5">
        <w:t xml:space="preserve">de </w:t>
      </w:r>
      <w:r w:rsidR="004F0467" w:rsidRPr="007874B5">
        <w:rPr>
          <w:rStyle w:val="Marker2"/>
          <w:color w:val="auto"/>
        </w:rPr>
        <w:t>6 de diciembre de 2021</w:t>
      </w:r>
    </w:p>
    <w:p w14:paraId="05823FF7" w14:textId="77777777" w:rsidR="009061B8" w:rsidRDefault="00071785">
      <w:pPr>
        <w:pStyle w:val="Titreobjet"/>
      </w:pPr>
      <w:r>
        <w:t>por el que se establecen normas técnicas de ejecución para la aplicación del Reglamento (UE) 2019/2033 del Parlamento Europeo y del Consejo en relación con la presentación y la publicación de información con fines de supervisión de las empresas de servicios de inversión</w:t>
      </w:r>
    </w:p>
    <w:p w14:paraId="70DCA644" w14:textId="77777777" w:rsidR="009061B8" w:rsidRPr="004F0467" w:rsidRDefault="00071785">
      <w:pPr>
        <w:pStyle w:val="IntrtEEE"/>
        <w:rPr>
          <w:b/>
        </w:rPr>
      </w:pPr>
      <w:r w:rsidRPr="004F0467">
        <w:rPr>
          <w:b/>
        </w:rPr>
        <w:t>(Texto pertinente a efectos del EEE)</w:t>
      </w:r>
    </w:p>
    <w:p w14:paraId="5BE3801A" w14:textId="77777777" w:rsidR="009061B8" w:rsidRDefault="00071785">
      <w:pPr>
        <w:pStyle w:val="Institutionquiagit"/>
      </w:pPr>
      <w:r>
        <w:t>LA COMISIÓN EUROPEA,</w:t>
      </w:r>
    </w:p>
    <w:p w14:paraId="41B659F6" w14:textId="77777777" w:rsidR="009061B8" w:rsidRDefault="00071785">
      <w:r>
        <w:rPr>
          <w:color w:val="000000"/>
        </w:rPr>
        <w:t>Visto el Tratado de Funcionamiento de la Unión Europea,</w:t>
      </w:r>
    </w:p>
    <w:p w14:paraId="0BA5F728" w14:textId="77777777" w:rsidR="009061B8" w:rsidRDefault="00071785">
      <w:r>
        <w:t>Visto el Reglamento (UE) 2019/2033 del Parlamento Europeo y del Consejo, de 27 de noviembre de 2019, relativo a los requisitos prudenciales de las empresas de servicios de inversión, y por el que se modifican los Reglamentos (UE) n.</w:t>
      </w:r>
      <w:r>
        <w:rPr>
          <w:vertAlign w:val="superscript"/>
        </w:rPr>
        <w:t>o</w:t>
      </w:r>
      <w:r>
        <w:t> 1093/2010, (UE) n.</w:t>
      </w:r>
      <w:r>
        <w:rPr>
          <w:vertAlign w:val="superscript"/>
        </w:rPr>
        <w:t>o</w:t>
      </w:r>
      <w:r>
        <w:t> 575/2013, (UE) n.</w:t>
      </w:r>
      <w:r>
        <w:rPr>
          <w:vertAlign w:val="superscript"/>
        </w:rPr>
        <w:t>o</w:t>
      </w:r>
      <w:r>
        <w:t> 600/2014 y (UE) n.</w:t>
      </w:r>
      <w:r>
        <w:rPr>
          <w:vertAlign w:val="superscript"/>
        </w:rPr>
        <w:t>o</w:t>
      </w:r>
      <w:r>
        <w:t> 806/2014 </w:t>
      </w:r>
      <w:r>
        <w:rPr>
          <w:rStyle w:val="FootnoteReference"/>
        </w:rPr>
        <w:footnoteReference w:id="1"/>
      </w:r>
      <w:r>
        <w:t>, y en particular su artículo 49, apartado 2, y su artículo 54, apartado 3,</w:t>
      </w:r>
    </w:p>
    <w:p w14:paraId="79076343" w14:textId="77777777" w:rsidR="009061B8" w:rsidRDefault="00071785">
      <w:r>
        <w:t>Considerando lo siguiente:</w:t>
      </w:r>
    </w:p>
    <w:p w14:paraId="2B780836" w14:textId="77777777" w:rsidR="009061B8" w:rsidRDefault="00071785">
      <w:pPr>
        <w:pStyle w:val="Considrant"/>
        <w:numPr>
          <w:ilvl w:val="0"/>
          <w:numId w:val="0"/>
        </w:numPr>
        <w:tabs>
          <w:tab w:val="left" w:pos="709"/>
        </w:tabs>
        <w:ind w:left="709" w:hanging="709"/>
      </w:pPr>
      <w:r>
        <w:t>(1)</w:t>
      </w:r>
      <w:r>
        <w:tab/>
        <w:t>Los requisitos de información para las empresas de servicios de inversión previstos en el artículo 54 del Reglamento (UE) 2019/2033 deben adaptarse a la actividad de estas empresas y ser proporcionados al tamaño y a la complejidad de las distintas empresas de servicios de inversión. Estos requisitos deben tener en cuenta, en particular, que determinadas empresas de servicios de inversión han de considerarse pequeñas y no interconectadas con arreglo a las condiciones establecidas en el artículo 12 del Reglamento (UE) 2019/2033.</w:t>
      </w:r>
    </w:p>
    <w:p w14:paraId="36DFD7A9" w14:textId="77777777" w:rsidR="009061B8" w:rsidRDefault="00071785">
      <w:pPr>
        <w:pStyle w:val="Considrant"/>
        <w:numPr>
          <w:ilvl w:val="0"/>
          <w:numId w:val="0"/>
        </w:numPr>
        <w:tabs>
          <w:tab w:val="left" w:pos="709"/>
        </w:tabs>
        <w:ind w:left="709" w:hanging="709"/>
      </w:pPr>
      <w:r>
        <w:t>(2)</w:t>
      </w:r>
      <w:r>
        <w:tab/>
        <w:t xml:space="preserve">De conformidad con el artículo 54, apartado 1, del Reglamento (UE) 2019/2033, las empresas de servicios de inversión pequeñas y no interconectadas deben comunicar información sobre el nivel y la composición de sus fondos propios, sus requisitos de fondos propios, la base para el cálculo de sus requisitos de fondos propios y el nivel de actividad en relación con las condiciones establecidas en el artículo 12, apartado 1, del Reglamento (UE) 2019/2033. Las empresas pequeñas y no interconectadas no están obligadas, pues, a comunicar la información con el mismo grado de detalle que otras empresas de servicios de inversión sujetas al Reglamento (UE) 2019/2033. Por consiguiente, las plantillas de información sobre el cálculo de los factores K no deben ser aplicables a las empresas pequeñas y no interconectadas. Además, de conformidad con el artículo 54, apartado 2, párrafo tercero, del Reglamento (UE) 2019/2033, las </w:t>
      </w:r>
      <w:bookmarkStart w:id="0" w:name="_DV_C108"/>
      <w:r>
        <w:t>empresas pequeñas y no interconectadas están exentas de la obligación de informar sobre el riesgo de concentración, y las autoridades competentes pueden eximir a estas empresas de la obligación de informar sobre los requisitos de liquidez</w:t>
      </w:r>
      <w:bookmarkStart w:id="1" w:name="_DV_M108"/>
      <w:bookmarkEnd w:id="0"/>
      <w:bookmarkEnd w:id="1"/>
      <w:r>
        <w:t>.</w:t>
      </w:r>
    </w:p>
    <w:p w14:paraId="44613248" w14:textId="77777777" w:rsidR="009061B8" w:rsidRDefault="00071785">
      <w:pPr>
        <w:pStyle w:val="Considrant"/>
        <w:numPr>
          <w:ilvl w:val="0"/>
          <w:numId w:val="0"/>
        </w:numPr>
        <w:tabs>
          <w:tab w:val="left" w:pos="709"/>
        </w:tabs>
        <w:ind w:left="709" w:hanging="709"/>
      </w:pPr>
      <w:r>
        <w:t>(3)</w:t>
      </w:r>
      <w:r>
        <w:tab/>
        <w:t xml:space="preserve">Todas las empresas de servicios de inversión sujetas al Reglamento (UE) 2019/2033 deben comunicar el perfil y el volumen de su actividad a fin de que las autoridades competentes puedan determinar si dichas empresas cumplen las condiciones </w:t>
      </w:r>
      <w:r>
        <w:lastRenderedPageBreak/>
        <w:t>establecidas en el artículo 12 del Reglamento (UE) 2019/2033 para ser clasificadas como empresas de servicios de inversión pequeñas y no interconectadas.</w:t>
      </w:r>
    </w:p>
    <w:p w14:paraId="5FD2BD5C" w14:textId="77777777" w:rsidR="009061B8" w:rsidRDefault="00071785">
      <w:pPr>
        <w:pStyle w:val="Considrant"/>
        <w:numPr>
          <w:ilvl w:val="0"/>
          <w:numId w:val="0"/>
        </w:numPr>
        <w:tabs>
          <w:tab w:val="left" w:pos="709"/>
        </w:tabs>
        <w:ind w:left="709" w:hanging="709"/>
      </w:pPr>
      <w:r>
        <w:t>(4)</w:t>
      </w:r>
      <w:r>
        <w:tab/>
        <w:t>A fin de ofrecer transparencia a sus inversores y a los mercados en general, el artículo 46 del Reglamento (UE) 2019/2033 exige que las empresas de servicios de inversión que no se consideren pequeñas y no interconectadas hagan pública la información especificada en la parte sexta de dicho Reglamento. Las empresas de servicios de inversión pequeñas y no interconectadas no están sujetas a tales requisitos de publicación de información, salvo que emitan instrumentos de capital de nivel 1 adicional, a fin de ofrecer transparencia a los inversores en estos instrumentos.</w:t>
      </w:r>
    </w:p>
    <w:p w14:paraId="32B75E05" w14:textId="77777777" w:rsidR="009061B8" w:rsidRDefault="00071785">
      <w:pPr>
        <w:pStyle w:val="Considrant"/>
        <w:numPr>
          <w:ilvl w:val="0"/>
          <w:numId w:val="0"/>
        </w:numPr>
        <w:tabs>
          <w:tab w:val="left" w:pos="709"/>
        </w:tabs>
        <w:ind w:left="709" w:hanging="709"/>
      </w:pPr>
      <w:r>
        <w:t>(5)</w:t>
      </w:r>
      <w:r>
        <w:tab/>
        <w:t>El presente Reglamento ha de proporcionar a las empresas de servicios de inversión plantillas y cuadros para transmitir información suficientemente completa y comparable sobre la composición y la calidad de sus fondos propios. Más concretamente, es necesario introducir una plantilla cuantitativa para la publicación de información sobre la composición de los fondos propios y una plantilla flexible sobre la conciliación de los fondos propios reglamentarios con los estados financieros auditados. Por la misma razón, también es necesario establecer una plantilla con información sobre las características más importantes de los instrumentos de fondos propios emitidos por la empresa de servicios de inversión.</w:t>
      </w:r>
    </w:p>
    <w:p w14:paraId="3F9EB95D" w14:textId="77777777" w:rsidR="009061B8" w:rsidRDefault="00071785">
      <w:pPr>
        <w:pStyle w:val="Considrant"/>
        <w:numPr>
          <w:ilvl w:val="0"/>
          <w:numId w:val="0"/>
        </w:numPr>
        <w:tabs>
          <w:tab w:val="left" w:pos="709"/>
        </w:tabs>
        <w:ind w:left="709" w:hanging="709"/>
      </w:pPr>
      <w:r>
        <w:t>(6)</w:t>
      </w:r>
      <w:r>
        <w:tab/>
      </w:r>
      <w:r>
        <w:rPr>
          <w:color w:val="000000"/>
        </w:rPr>
        <w:t>Con el fin de facilitar la aplicación de los requisitos de presentación y publicación de información, es preciso mejorar la coherencia entre las plantillas de presentación de información y las plantillas de publicación de información. La plantilla para la publicación de información sobre la composición de los fondos propios debe, por tanto, ajustarse estrechamente a la correspondiente plantilla de presentación de información sobre el nivel y la composición de los fondos propios. Por el mismo motivo, la plantilla para la publicación de información sobre la conciliación completa de los fondos propios con los estados financieros auditados debe ser flexible en el sentido de que el desglose de la plantilla se base en el desglose del balance incluido en los estados financieros auditados de la empresa de servicios de inversión. Por otra parte, la plantilla para la publicación de información sobre las principales características de los fondos propios reglamentarios debe ser una plantilla fija, y su complejidad debe depender de la complejidad de los instrumentos de fondos propios.</w:t>
      </w:r>
    </w:p>
    <w:p w14:paraId="143550F8" w14:textId="13A6FE1F" w:rsidR="009061B8" w:rsidRDefault="00071785" w:rsidP="0008657E">
      <w:pPr>
        <w:pStyle w:val="Considrant"/>
        <w:numPr>
          <w:ilvl w:val="0"/>
          <w:numId w:val="0"/>
        </w:numPr>
        <w:tabs>
          <w:tab w:val="left" w:pos="709"/>
        </w:tabs>
        <w:ind w:left="709" w:hanging="709"/>
      </w:pPr>
      <w:r>
        <w:t>(7)</w:t>
      </w:r>
      <w:r>
        <w:tab/>
        <w:t>A fin de garantizar que los costes de cumplimiento para las empresas de servicios de inversión no se incrementen de forma injustificada y preservar la calidad de los datos, las obligaciones de presentación y publicación de información deben, en cuanto al fondo, estar armonizadas en la mayor medida posible. Procede, por tanto, establecer en un solo Reglamento las normas aplicables tanto a los requisitos de presentación de información como a los de publicación de información.</w:t>
      </w:r>
    </w:p>
    <w:p w14:paraId="5C6FE8D9" w14:textId="3E62DC3C" w:rsidR="009061B8" w:rsidRDefault="00071785">
      <w:pPr>
        <w:pStyle w:val="Considrant"/>
        <w:numPr>
          <w:ilvl w:val="0"/>
          <w:numId w:val="0"/>
        </w:numPr>
        <w:tabs>
          <w:tab w:val="left" w:pos="709"/>
        </w:tabs>
        <w:ind w:left="709" w:hanging="709"/>
      </w:pPr>
      <w:r>
        <w:t>(</w:t>
      </w:r>
      <w:r w:rsidR="0008657E">
        <w:t>8</w:t>
      </w:r>
      <w:r>
        <w:t>)</w:t>
      </w:r>
      <w:r>
        <w:tab/>
        <w:t>El presente Reglamento se basa en el proyecto de normas técnicas de ejecución presentado por la Autoridad Bancaria Europea (ABE) a la Comisión, previa consulta a la Autoridad Europea de Valores y Mercados.</w:t>
      </w:r>
    </w:p>
    <w:p w14:paraId="4C44B3DC" w14:textId="2CEEA54C" w:rsidR="009061B8" w:rsidRDefault="00071785">
      <w:pPr>
        <w:pStyle w:val="Considrant"/>
        <w:numPr>
          <w:ilvl w:val="0"/>
          <w:numId w:val="0"/>
        </w:numPr>
        <w:tabs>
          <w:tab w:val="left" w:pos="709"/>
        </w:tabs>
        <w:ind w:left="709" w:hanging="709"/>
      </w:pPr>
      <w:r>
        <w:t>(</w:t>
      </w:r>
      <w:r w:rsidR="0008657E">
        <w:t>9</w:t>
      </w:r>
      <w:r>
        <w:t>)</w:t>
      </w:r>
      <w:r>
        <w:tab/>
        <w:t>La ABE ha llevado a cabo consultas públicas abiertas sobre los proyectos de normas técnicas de ejecución en que se basa el presente Reglamento, ha analizado los costes y beneficios potenciales conexos, y ha solicitado el asesoramiento del Grupo de Partes Interesadas del Sector Bancario, establecido de conformidad con el artículo 37 del Reglamento (UE) n.</w:t>
      </w:r>
      <w:r>
        <w:rPr>
          <w:vertAlign w:val="superscript"/>
        </w:rPr>
        <w:t>o</w:t>
      </w:r>
      <w:r>
        <w:t> 1093/2010 del Parlamento Europeo y del Consejo </w:t>
      </w:r>
      <w:r>
        <w:rPr>
          <w:rStyle w:val="FootnoteReference"/>
        </w:rPr>
        <w:footnoteReference w:id="2"/>
      </w:r>
      <w:r>
        <w:t>,</w:t>
      </w:r>
    </w:p>
    <w:p w14:paraId="02B4CF66" w14:textId="77777777" w:rsidR="009061B8" w:rsidRDefault="00071785">
      <w:pPr>
        <w:pStyle w:val="Formuledadoption"/>
      </w:pPr>
      <w:r>
        <w:lastRenderedPageBreak/>
        <w:t>HA ADOPTADO EL PRESENTE REGLAMENTO:</w:t>
      </w:r>
    </w:p>
    <w:p w14:paraId="6D8532AD" w14:textId="77777777" w:rsidR="009061B8" w:rsidRPr="004F0467" w:rsidRDefault="00071785">
      <w:pPr>
        <w:pStyle w:val="ChapterTitle"/>
        <w:rPr>
          <w:b w:val="0"/>
        </w:rPr>
      </w:pPr>
      <w:r w:rsidRPr="004F0467">
        <w:rPr>
          <w:b w:val="0"/>
        </w:rPr>
        <w:t>CAPÍTULO I</w:t>
      </w:r>
    </w:p>
    <w:p w14:paraId="29F600A7" w14:textId="77777777" w:rsidR="009061B8" w:rsidRDefault="00071785">
      <w:pPr>
        <w:pStyle w:val="ChapterTitle"/>
      </w:pPr>
      <w:r>
        <w:t>PRESENTACIÓN DE INFORMACIÓN CON FINES DE SUPERVISIÓN</w:t>
      </w:r>
    </w:p>
    <w:p w14:paraId="5D83BD24" w14:textId="77777777" w:rsidR="009061B8" w:rsidRDefault="00071785">
      <w:pPr>
        <w:pStyle w:val="Titrearticle"/>
      </w:pPr>
      <w:r>
        <w:t>Articulo 1</w:t>
      </w:r>
    </w:p>
    <w:p w14:paraId="21FBE9F1" w14:textId="77777777" w:rsidR="009061B8" w:rsidRDefault="00071785">
      <w:pPr>
        <w:pStyle w:val="Titrearticle"/>
        <w:spacing w:before="120"/>
        <w:rPr>
          <w:b/>
          <w:i w:val="0"/>
        </w:rPr>
      </w:pPr>
      <w:r>
        <w:rPr>
          <w:b/>
          <w:i w:val="0"/>
        </w:rPr>
        <w:t>Fechas de referencia de la información</w:t>
      </w:r>
    </w:p>
    <w:p w14:paraId="584A908D" w14:textId="77777777" w:rsidR="009061B8" w:rsidRDefault="00071785">
      <w:pPr>
        <w:pStyle w:val="NumPar1"/>
        <w:numPr>
          <w:ilvl w:val="0"/>
          <w:numId w:val="0"/>
        </w:numPr>
        <w:tabs>
          <w:tab w:val="left" w:pos="567"/>
        </w:tabs>
      </w:pPr>
      <w:r>
        <w:t>1.</w:t>
      </w:r>
      <w:r>
        <w:tab/>
        <w:t>La información a que se refiere el artículo 54, apartado 1, del Reglamento se comunicará en el estado en que se encuentre en las siguientes fechas de referencia:</w:t>
      </w:r>
    </w:p>
    <w:p w14:paraId="3F984E6F" w14:textId="77777777" w:rsidR="009061B8" w:rsidRDefault="00071785">
      <w:pPr>
        <w:pStyle w:val="Point1"/>
        <w:ind w:left="600"/>
      </w:pPr>
      <w:r>
        <w:t>a)</w:t>
      </w:r>
      <w:r>
        <w:tab/>
        <w:t>información trimestral: 31 de marzo, 30 de junio, 30 de septiembre y 31 de diciembre;</w:t>
      </w:r>
    </w:p>
    <w:p w14:paraId="5105D0AA" w14:textId="77777777" w:rsidR="009061B8" w:rsidRDefault="00071785">
      <w:pPr>
        <w:pStyle w:val="Point1"/>
        <w:ind w:left="600"/>
      </w:pPr>
      <w:r>
        <w:t>b)</w:t>
      </w:r>
      <w:r>
        <w:tab/>
        <w:t>información anual: 31 de diciembre.</w:t>
      </w:r>
    </w:p>
    <w:p w14:paraId="6722E984" w14:textId="77777777" w:rsidR="009061B8" w:rsidRDefault="00071785">
      <w:pPr>
        <w:pStyle w:val="NumPar1"/>
        <w:numPr>
          <w:ilvl w:val="0"/>
          <w:numId w:val="0"/>
        </w:numPr>
        <w:tabs>
          <w:tab w:val="left" w:pos="567"/>
        </w:tabs>
      </w:pPr>
      <w:r>
        <w:t>2.</w:t>
      </w:r>
      <w:r>
        <w:tab/>
        <w:t>Las fechas de referencia del apartado 1 podrán adaptarse cuando la legislación nacional permita a las empresas de servicios de inversión comunicar su información financiera sobre la base del cierre de su ejercicio contable y este no coincida con el año natural, de modo que la comunicación trimestral se efectuará cada tres meses del ejercicio contable correspondiente y la comunicación anual se efectuará al cierre del ejercicio contable.</w:t>
      </w:r>
    </w:p>
    <w:p w14:paraId="41654C0A" w14:textId="77777777" w:rsidR="009061B8" w:rsidRDefault="00071785">
      <w:pPr>
        <w:pStyle w:val="Titrearticle"/>
      </w:pPr>
      <w:r>
        <w:t>Articulo 2</w:t>
      </w:r>
    </w:p>
    <w:p w14:paraId="6622E25D" w14:textId="77777777" w:rsidR="009061B8" w:rsidRDefault="00071785">
      <w:pPr>
        <w:pStyle w:val="Titrearticle"/>
        <w:spacing w:before="120"/>
        <w:rPr>
          <w:b/>
          <w:i w:val="0"/>
        </w:rPr>
      </w:pPr>
      <w:r>
        <w:rPr>
          <w:b/>
          <w:i w:val="0"/>
        </w:rPr>
        <w:t>Fechas de envío de la información</w:t>
      </w:r>
    </w:p>
    <w:p w14:paraId="6352F59B" w14:textId="77777777" w:rsidR="009061B8" w:rsidRDefault="00071785">
      <w:pPr>
        <w:pStyle w:val="NumPar1"/>
        <w:numPr>
          <w:ilvl w:val="0"/>
          <w:numId w:val="0"/>
        </w:numPr>
        <w:tabs>
          <w:tab w:val="left" w:pos="567"/>
        </w:tabs>
      </w:pPr>
      <w:r>
        <w:t>1.</w:t>
      </w:r>
      <w:r>
        <w:tab/>
        <w:t>La información a que se refiere el artículo 54, apartado 1, del Reglamento (UE) 2019/2033 se transmitirá al cierre de la jornada en las siguientes fechas de envío:</w:t>
      </w:r>
    </w:p>
    <w:p w14:paraId="00A523C3" w14:textId="77777777" w:rsidR="009061B8" w:rsidRDefault="00071785">
      <w:pPr>
        <w:pStyle w:val="Point1"/>
        <w:ind w:left="600"/>
      </w:pPr>
      <w:r>
        <w:t>a)</w:t>
      </w:r>
      <w:r>
        <w:tab/>
        <w:t>información trimestral: 12 de mayo, 11 de agosto, 11 de noviembre y 11 de febrero;</w:t>
      </w:r>
    </w:p>
    <w:p w14:paraId="5A59AB42" w14:textId="77777777" w:rsidR="009061B8" w:rsidRDefault="00071785">
      <w:pPr>
        <w:pStyle w:val="Point1"/>
        <w:ind w:left="600"/>
      </w:pPr>
      <w:r>
        <w:t>b)</w:t>
      </w:r>
      <w:r>
        <w:tab/>
        <w:t>información anual: 11 de febrero.</w:t>
      </w:r>
    </w:p>
    <w:p w14:paraId="3D0BDE64" w14:textId="77777777" w:rsidR="009061B8" w:rsidRDefault="00071785">
      <w:pPr>
        <w:pStyle w:val="NumPar1"/>
        <w:numPr>
          <w:ilvl w:val="0"/>
          <w:numId w:val="0"/>
        </w:numPr>
        <w:tabs>
          <w:tab w:val="left" w:pos="567"/>
        </w:tabs>
      </w:pPr>
      <w:r>
        <w:t>2.</w:t>
      </w:r>
      <w:r>
        <w:tab/>
        <w:t>Cuando el día de envío de la información sea festivo en el Estado miembro de la autoridad competente a la que deba facilitarse la información, o bien sábado o domingo, la información se presentará el siguiente día hábil.</w:t>
      </w:r>
    </w:p>
    <w:p w14:paraId="0B5F7859" w14:textId="77777777" w:rsidR="009061B8" w:rsidRDefault="00071785">
      <w:pPr>
        <w:pStyle w:val="NumPar1"/>
        <w:numPr>
          <w:ilvl w:val="0"/>
          <w:numId w:val="0"/>
        </w:numPr>
        <w:tabs>
          <w:tab w:val="left" w:pos="567"/>
        </w:tabs>
      </w:pPr>
      <w:r>
        <w:t>3.</w:t>
      </w:r>
      <w:r>
        <w:tab/>
        <w:t>Cuando las empresas de servicios de inversión comuniquen su información en fechas de referencia adaptadas, basadas en el cierre de su ejercicio contable, de acuerdo con lo indicado en el artículo 1, apartado 2, del presente Reglamento, las fechas de envío podrán adaptarse en consecuencia, de modo que se mantenga el mismo espacio de tiempo desde la fecha de referencia adaptada.</w:t>
      </w:r>
    </w:p>
    <w:p w14:paraId="6898B5E3" w14:textId="77777777" w:rsidR="009061B8" w:rsidRDefault="00071785">
      <w:pPr>
        <w:pStyle w:val="NumPar1"/>
        <w:numPr>
          <w:ilvl w:val="0"/>
          <w:numId w:val="0"/>
        </w:numPr>
        <w:tabs>
          <w:tab w:val="left" w:pos="567"/>
        </w:tabs>
      </w:pPr>
      <w:r>
        <w:t>4.</w:t>
      </w:r>
      <w:r>
        <w:tab/>
        <w:t>Las empresas de servicios de inversión podrán presentar cifras no auditadas. Cuando las cifras auditadas no coincidan con las cifras no auditadas que se hayan presentado, se transmitirán sin demora indebida las cifras auditadas y revisadas. A efectos del presente artículo, por «cifras no auditadas» se entenderá las cifras que no hayan recibido la opinión de un auditor externo, mientras que las «cifras auditadas» serán las fiscalizadas por un auditor externo que haya formulado una opinión de auditoría.</w:t>
      </w:r>
    </w:p>
    <w:p w14:paraId="4586B136" w14:textId="77777777" w:rsidR="009061B8" w:rsidRDefault="00071785">
      <w:pPr>
        <w:pStyle w:val="NumPar1"/>
        <w:numPr>
          <w:ilvl w:val="0"/>
          <w:numId w:val="0"/>
        </w:numPr>
        <w:tabs>
          <w:tab w:val="left" w:pos="567"/>
        </w:tabs>
      </w:pPr>
      <w:r>
        <w:t>5.</w:t>
      </w:r>
      <w:r>
        <w:tab/>
        <w:t>Se presentarán a las autoridades competentes, sin demora indebida, cualesquiera otras correcciones de la información presentada.</w:t>
      </w:r>
    </w:p>
    <w:p w14:paraId="5B494619" w14:textId="77777777" w:rsidR="009061B8" w:rsidRDefault="00071785">
      <w:pPr>
        <w:pStyle w:val="Titrearticle"/>
      </w:pPr>
      <w:r>
        <w:lastRenderedPageBreak/>
        <w:t>Articulo 3</w:t>
      </w:r>
    </w:p>
    <w:p w14:paraId="251312FD" w14:textId="77777777" w:rsidR="009061B8" w:rsidRDefault="00071785">
      <w:pPr>
        <w:pStyle w:val="Titrearticle"/>
        <w:spacing w:before="120"/>
        <w:rPr>
          <w:b/>
          <w:i w:val="0"/>
        </w:rPr>
      </w:pPr>
      <w:r>
        <w:rPr>
          <w:b/>
          <w:i w:val="0"/>
        </w:rPr>
        <w:t>Aplicación de los requisitos de presentación de información en base individual</w:t>
      </w:r>
    </w:p>
    <w:p w14:paraId="67CC2895" w14:textId="77777777" w:rsidR="009061B8" w:rsidRDefault="00071785">
      <w:r>
        <w:t>A fin de cumplir los requisitos de presentación información del artículo 54 del Reglamento (UE) 2019/2033 en base individual, las empresas de servicios de inversión comunicarán la información especificada en los artículos 5, 6 y 7 del presente Reglamento con la frecuencia especificada en ellos.</w:t>
      </w:r>
    </w:p>
    <w:p w14:paraId="1E3DD092" w14:textId="77777777" w:rsidR="009061B8" w:rsidRDefault="00071785">
      <w:pPr>
        <w:pStyle w:val="Titrearticle"/>
      </w:pPr>
      <w:r>
        <w:t>Articulo 4</w:t>
      </w:r>
    </w:p>
    <w:p w14:paraId="44772EDB" w14:textId="77777777" w:rsidR="009061B8" w:rsidRDefault="00071785">
      <w:pPr>
        <w:pStyle w:val="Titrearticle"/>
        <w:spacing w:before="120"/>
        <w:rPr>
          <w:b/>
          <w:i w:val="0"/>
        </w:rPr>
      </w:pPr>
      <w:r>
        <w:rPr>
          <w:b/>
          <w:i w:val="0"/>
        </w:rPr>
        <w:t>Aplicación de los requisitos de presentación de información en base consolidada</w:t>
      </w:r>
    </w:p>
    <w:p w14:paraId="2B4D5BC8" w14:textId="77777777" w:rsidR="009061B8" w:rsidRDefault="00071785">
      <w:pPr>
        <w:rPr>
          <w:i/>
        </w:rPr>
      </w:pPr>
      <w:r>
        <w:t>A fin de cumplir los requisitos de presentación de información del artículo 54 del Reglamento (UE) 2019/2033 en base consolidada, las empresas de servicios de inversión comunicarán la información especificada en los artículos 5 y 6 del presente Reglamento de Ejecución con la frecuencia especificada en ellos.</w:t>
      </w:r>
    </w:p>
    <w:p w14:paraId="51C6C16D" w14:textId="77777777" w:rsidR="009061B8" w:rsidRDefault="00071785">
      <w:pPr>
        <w:pStyle w:val="Titrearticle"/>
      </w:pPr>
      <w:r>
        <w:t>Articulo 5</w:t>
      </w:r>
    </w:p>
    <w:p w14:paraId="50F74E29" w14:textId="77777777" w:rsidR="009061B8" w:rsidRDefault="00071785">
      <w:pPr>
        <w:pStyle w:val="Titrearticle"/>
        <w:spacing w:before="120"/>
        <w:rPr>
          <w:b/>
          <w:i w:val="0"/>
        </w:rPr>
      </w:pPr>
      <w:r>
        <w:rPr>
          <w:b/>
          <w:i w:val="0"/>
        </w:rPr>
        <w:t>Formato y frecuencia de la presentación de información por parte de las empresas de servicios de inversión que no sean empresas de servicios de inversión pequeñas y no interconectadas</w:t>
      </w:r>
    </w:p>
    <w:p w14:paraId="3A7E5363" w14:textId="77777777" w:rsidR="009061B8" w:rsidRDefault="00071785">
      <w:pPr>
        <w:pStyle w:val="NumPar1"/>
        <w:numPr>
          <w:ilvl w:val="0"/>
          <w:numId w:val="0"/>
        </w:numPr>
        <w:tabs>
          <w:tab w:val="left" w:pos="567"/>
        </w:tabs>
      </w:pPr>
      <w:r>
        <w:t>1.</w:t>
      </w:r>
      <w:r>
        <w:tab/>
        <w:t>Las empresas de servicios de inversión que no sean empresas de servicios de inversión pequeñas y no interconectadas comunicarán trimestralmente la información exigida en el artículo 54, apartados 1 y 2, del Reglamento (UE) 2019/2033 utilizando las plantillas establecidas en el anexo I del presente Reglamento y siguiendo las instrucciones que figuran en el anexo II del presente Reglamento.</w:t>
      </w:r>
    </w:p>
    <w:p w14:paraId="1B51C44D" w14:textId="77777777" w:rsidR="009061B8" w:rsidRDefault="00071785">
      <w:pPr>
        <w:pStyle w:val="NumPar1"/>
        <w:numPr>
          <w:ilvl w:val="0"/>
          <w:numId w:val="0"/>
        </w:numPr>
        <w:tabs>
          <w:tab w:val="left" w:pos="567"/>
        </w:tabs>
        <w:rPr>
          <w:szCs w:val="24"/>
        </w:rPr>
      </w:pPr>
      <w:r>
        <w:rPr>
          <w:szCs w:val="24"/>
        </w:rPr>
        <w:t>2.</w:t>
      </w:r>
      <w:r>
        <w:rPr>
          <w:szCs w:val="24"/>
        </w:rPr>
        <w:tab/>
      </w:r>
      <w:r>
        <w:t>Las empresas de servicios de inversión que no sean empresas de servicios de inversión pequeñas y no interconectadas y determinen el requisito basado en los factores K-RtM sobre la base del riesgo de posición neta (K-NPR), de conformidad con el artículo 21, apartado 1, del Reglamento (UE) 2019/2033, comunicarán trimestralmente la información que se especifica en las plantillas C 18.00 a C 24.00 del anexo I del Reglamento de Ejecución (UE) 2021/451 de la Comisión</w:t>
      </w:r>
      <w:r w:rsidR="004F0467">
        <w:t> </w:t>
      </w:r>
      <w:r w:rsidR="004F0467">
        <w:rPr>
          <w:rStyle w:val="FootnoteReference"/>
        </w:rPr>
        <w:footnoteReference w:id="3"/>
      </w:r>
      <w:r>
        <w:t xml:space="preserve"> siguiendo las instrucciones del anexo II, parte 2, de dicho Reglamento de Ejecución.</w:t>
      </w:r>
    </w:p>
    <w:p w14:paraId="2AE46E74" w14:textId="77777777" w:rsidR="009061B8" w:rsidRDefault="00071785">
      <w:pPr>
        <w:pStyle w:val="NumPar1"/>
        <w:numPr>
          <w:ilvl w:val="0"/>
          <w:numId w:val="0"/>
        </w:numPr>
        <w:tabs>
          <w:tab w:val="left" w:pos="567"/>
        </w:tabs>
        <w:rPr>
          <w:szCs w:val="24"/>
        </w:rPr>
      </w:pPr>
      <w:r>
        <w:rPr>
          <w:szCs w:val="24"/>
        </w:rPr>
        <w:t>3.</w:t>
      </w:r>
      <w:r>
        <w:rPr>
          <w:szCs w:val="24"/>
        </w:rPr>
        <w:tab/>
      </w:r>
      <w:r>
        <w:t>Las empresas de servicios de inversión que no sean empresas de servicios de inversión pequeñas y no interconectadas y se acojan a la excepción establecida en el artículo 25, apartado 4, del Reglamento (UE) 2019/2033 comunicarán trimestralmente la información que se especifica en la plantilla C 34.02 del anexo I del Reglamento de Ejecución (UE) 2021/451</w:t>
      </w:r>
      <w:r w:rsidR="004F0467">
        <w:t xml:space="preserve"> </w:t>
      </w:r>
      <w:r>
        <w:t>siguiendo las instrucciones del anexo II, parte 2, de dicho Reglamento de Ejecución.</w:t>
      </w:r>
    </w:p>
    <w:p w14:paraId="186E1FA0" w14:textId="77777777" w:rsidR="009061B8" w:rsidRDefault="00071785">
      <w:pPr>
        <w:pStyle w:val="NumPar1"/>
        <w:numPr>
          <w:ilvl w:val="0"/>
          <w:numId w:val="0"/>
        </w:numPr>
        <w:tabs>
          <w:tab w:val="left" w:pos="567"/>
        </w:tabs>
        <w:rPr>
          <w:szCs w:val="24"/>
        </w:rPr>
      </w:pPr>
      <w:r>
        <w:rPr>
          <w:szCs w:val="24"/>
        </w:rPr>
        <w:t>4.</w:t>
      </w:r>
      <w:r>
        <w:rPr>
          <w:szCs w:val="24"/>
        </w:rPr>
        <w:tab/>
      </w:r>
      <w:r>
        <w:t>Las empresas de servicios de inversión que no sean empresas de servicios de inversión pequeñas y no interconectadas y se acojan a la excepción establecida en el artículo 25, apartado 5, párrafo segundo, del Reglamento (UE) 2019/2033 comunicarán trimestralmente la información que se especifica en la plantilla C 25.00 del anexo I del Reglamento de Ejecución (UE) 2021/451 siguiendo las instrucciones del anexo II, parte 2, de dicho Reglamento de Ejecución.</w:t>
      </w:r>
    </w:p>
    <w:p w14:paraId="53BFFB8A" w14:textId="77777777" w:rsidR="009061B8" w:rsidRDefault="00071785">
      <w:pPr>
        <w:pStyle w:val="Titrearticle"/>
      </w:pPr>
      <w:r>
        <w:lastRenderedPageBreak/>
        <w:t>Articulo 6</w:t>
      </w:r>
    </w:p>
    <w:p w14:paraId="0721C2BD" w14:textId="77777777" w:rsidR="009061B8" w:rsidRDefault="00071785">
      <w:pPr>
        <w:pStyle w:val="Titrearticle"/>
        <w:spacing w:before="120"/>
        <w:rPr>
          <w:b/>
          <w:i w:val="0"/>
        </w:rPr>
      </w:pPr>
      <w:r>
        <w:rPr>
          <w:b/>
          <w:i w:val="0"/>
        </w:rPr>
        <w:t>Formato y frecuencia de la presentación de información por parte de las empresas de servicios de inversión pequeñas y no interconectadas</w:t>
      </w:r>
    </w:p>
    <w:p w14:paraId="35388BD3" w14:textId="77777777" w:rsidR="009061B8" w:rsidRDefault="00071785">
      <w:pPr>
        <w:pStyle w:val="NumPar1"/>
        <w:numPr>
          <w:ilvl w:val="0"/>
          <w:numId w:val="0"/>
        </w:numPr>
        <w:tabs>
          <w:tab w:val="left" w:pos="567"/>
        </w:tabs>
      </w:pPr>
      <w:r>
        <w:t>1.</w:t>
      </w:r>
      <w:r>
        <w:tab/>
        <w:t>Las empresas de servicios de inversión pequeñas y no interconectadas comunicarán anualmente la información especificada en las plantillas del anexo III del presente Reglamento siguiendo las instrucciones del anexo IV del presente Reglamento. Las empresas de servicios de inversión que se beneficien de la exención a que se refiere el artículo 43, apartado 1, párrafo segundo, del Reglamento (UE) 2019/2033 quedarán exentas de la obligación de presentar la información especificada en la plantilla IF 09.01 del anexo III del presente Reglamento.</w:t>
      </w:r>
    </w:p>
    <w:p w14:paraId="5558FC36" w14:textId="77777777" w:rsidR="009061B8" w:rsidRDefault="00071785">
      <w:pPr>
        <w:pStyle w:val="Titrearticle"/>
      </w:pPr>
      <w:r>
        <w:t>Articulo 7</w:t>
      </w:r>
    </w:p>
    <w:p w14:paraId="51D0864C" w14:textId="77777777" w:rsidR="009061B8" w:rsidRDefault="00071785">
      <w:pPr>
        <w:pStyle w:val="Titrearticle"/>
        <w:spacing w:before="120"/>
        <w:rPr>
          <w:b/>
          <w:i w:val="0"/>
        </w:rPr>
      </w:pPr>
      <w:r>
        <w:rPr>
          <w:b/>
          <w:i w:val="0"/>
        </w:rPr>
        <w:t>Formato y frecuencia de la presentación de información por parte de las entidades que se benefician de la aplicación del artículo 8 del Reglamento (UE) 2019/2033</w:t>
      </w:r>
    </w:p>
    <w:p w14:paraId="47BCF3EA" w14:textId="77777777" w:rsidR="009061B8" w:rsidRDefault="00071785">
      <w:pPr>
        <w:rPr>
          <w:rFonts w:eastAsia="Times New Roman"/>
          <w:szCs w:val="24"/>
        </w:rPr>
      </w:pPr>
      <w:r>
        <w:t>No obstante lo dispuesto en el artículo 4 del presente Reglamento, las entidades a que se refiere el artículo 8, apartado 3, del Reglamento (UE) 2019/2033 que se beneficien de la aplicación de dicho artículo comunicarán trimestralmente la información establecida en las plantillas del anexo VIII del presente Reglamento siguiendo las instrucciones que figuran en el anexo IX del presente Reglamento.</w:t>
      </w:r>
    </w:p>
    <w:p w14:paraId="36E63DD6" w14:textId="77777777" w:rsidR="009061B8" w:rsidRDefault="00071785">
      <w:pPr>
        <w:pStyle w:val="Titrearticle"/>
      </w:pPr>
      <w:r>
        <w:t>Articulo 8</w:t>
      </w:r>
    </w:p>
    <w:p w14:paraId="39DF0ED0" w14:textId="77777777" w:rsidR="009061B8" w:rsidRDefault="00071785">
      <w:pPr>
        <w:pStyle w:val="Titrearticle"/>
        <w:spacing w:before="120"/>
        <w:rPr>
          <w:b/>
          <w:i w:val="0"/>
        </w:rPr>
      </w:pPr>
      <w:r>
        <w:rPr>
          <w:b/>
          <w:i w:val="0"/>
        </w:rPr>
        <w:t>Precisión de los datos e información asociada a la presentación</w:t>
      </w:r>
    </w:p>
    <w:p w14:paraId="3D4813C2" w14:textId="77777777" w:rsidR="009061B8" w:rsidRDefault="00071785">
      <w:pPr>
        <w:pStyle w:val="NumPar1"/>
        <w:numPr>
          <w:ilvl w:val="0"/>
          <w:numId w:val="0"/>
        </w:numPr>
        <w:tabs>
          <w:tab w:val="left" w:pos="567"/>
        </w:tabs>
      </w:pPr>
      <w:r>
        <w:t>1.</w:t>
      </w:r>
      <w:r>
        <w:tab/>
        <w:t>Las empresas de servicios de inversión comunicarán la información contemplada en el presente Reglamento en los formatos de intercambio de datos y la presentación que especifiquen las autoridades competentes, respetando la definición de los puntos de datos del modelo de puntos de datos y las fórmulas de validación especificadas en el anexo V, así como las disposiciones siguientes:</w:t>
      </w:r>
    </w:p>
    <w:p w14:paraId="112ADD49" w14:textId="77777777" w:rsidR="009061B8" w:rsidRDefault="00071785">
      <w:pPr>
        <w:pStyle w:val="Point1"/>
        <w:ind w:left="600"/>
      </w:pPr>
      <w:r>
        <w:t>a)</w:t>
      </w:r>
      <w:r>
        <w:tab/>
        <w:t>no se incluirá en los datos presentados información no exigida o no procedente;</w:t>
      </w:r>
    </w:p>
    <w:p w14:paraId="3477EAE6" w14:textId="77777777" w:rsidR="009061B8" w:rsidRDefault="00071785">
      <w:pPr>
        <w:pStyle w:val="Point1"/>
        <w:ind w:left="600"/>
      </w:pPr>
      <w:r>
        <w:t>b)</w:t>
      </w:r>
      <w:r>
        <w:tab/>
        <w:t>los valores numéricos se presentarán como hechos con arreglo a las siguientes convenciones:</w:t>
      </w:r>
    </w:p>
    <w:p w14:paraId="777B47ED" w14:textId="77777777" w:rsidR="009061B8" w:rsidRDefault="00071785">
      <w:pPr>
        <w:pStyle w:val="Point2"/>
        <w:ind w:left="1134"/>
      </w:pPr>
      <w:r>
        <w:t>i)</w:t>
      </w:r>
      <w:r>
        <w:tab/>
        <w:t>los puntos de datos con datos de tipo «monetario» se comunicarán con una precisión mínima de miles de unidades,</w:t>
      </w:r>
    </w:p>
    <w:p w14:paraId="4F834F26" w14:textId="77777777" w:rsidR="009061B8" w:rsidRDefault="00071785">
      <w:pPr>
        <w:pStyle w:val="Point2"/>
        <w:ind w:left="1134"/>
      </w:pPr>
      <w:r>
        <w:t>ii)</w:t>
      </w:r>
      <w:r>
        <w:tab/>
        <w:t>los puntos de datos con datos de tipo «porcentaje» se expresarán por unidad con una precisión mínima de cuatro decimales,</w:t>
      </w:r>
    </w:p>
    <w:p w14:paraId="7B804EFA" w14:textId="77777777" w:rsidR="009061B8" w:rsidRDefault="00071785">
      <w:pPr>
        <w:pStyle w:val="Point2"/>
        <w:ind w:left="1134"/>
      </w:pPr>
      <w:r>
        <w:t>iii)</w:t>
      </w:r>
      <w:r>
        <w:tab/>
        <w:t>los puntos de datos con datos de tipo «números enteros» se comunicarán sin decimales y con una precisión de unidades.</w:t>
      </w:r>
    </w:p>
    <w:p w14:paraId="0462B56D" w14:textId="77777777" w:rsidR="009061B8" w:rsidRDefault="00071785">
      <w:pPr>
        <w:pStyle w:val="NumPar1"/>
        <w:numPr>
          <w:ilvl w:val="0"/>
          <w:numId w:val="0"/>
        </w:numPr>
        <w:tabs>
          <w:tab w:val="left" w:pos="567"/>
        </w:tabs>
      </w:pPr>
      <w:r>
        <w:t>2.</w:t>
      </w:r>
      <w:r>
        <w:tab/>
        <w:t>Las empresas de servicios de inversión se identificarán mediante su identificador de entidad jurídica (LEI). Las personas jurídicas y contrapartes distintas de las empresas de servicios de inversión se identificarán mediante su LEI, siempre que dispongan de él.</w:t>
      </w:r>
    </w:p>
    <w:p w14:paraId="59D6B997" w14:textId="77777777" w:rsidR="009061B8" w:rsidRDefault="00071785">
      <w:pPr>
        <w:pStyle w:val="NumPar1"/>
        <w:numPr>
          <w:ilvl w:val="0"/>
          <w:numId w:val="0"/>
        </w:numPr>
        <w:tabs>
          <w:tab w:val="left" w:pos="567"/>
        </w:tabs>
      </w:pPr>
      <w:r>
        <w:t>3.</w:t>
      </w:r>
      <w:r>
        <w:tab/>
        <w:t>La información presentada por las empresas de servicios de inversión con arreglo al presente Reglamento se acompañará de la información siguiente:</w:t>
      </w:r>
    </w:p>
    <w:p w14:paraId="1D9AA907" w14:textId="77777777" w:rsidR="009061B8" w:rsidRDefault="00071785">
      <w:pPr>
        <w:pStyle w:val="Point1"/>
        <w:ind w:left="600"/>
      </w:pPr>
      <w:r>
        <w:t>a)</w:t>
      </w:r>
      <w:r>
        <w:tab/>
        <w:t>fecha de referencia y período de referencia de la presentación de información;</w:t>
      </w:r>
    </w:p>
    <w:p w14:paraId="51533CD8" w14:textId="77777777" w:rsidR="009061B8" w:rsidRDefault="00071785">
      <w:pPr>
        <w:pStyle w:val="Point1"/>
        <w:ind w:left="600"/>
      </w:pPr>
      <w:r>
        <w:t>b)</w:t>
      </w:r>
      <w:r>
        <w:tab/>
        <w:t>divisa de referencia;</w:t>
      </w:r>
    </w:p>
    <w:p w14:paraId="0152195E" w14:textId="77777777" w:rsidR="009061B8" w:rsidRDefault="00071785">
      <w:pPr>
        <w:pStyle w:val="Point1"/>
        <w:ind w:left="600"/>
      </w:pPr>
      <w:r>
        <w:t>c)</w:t>
      </w:r>
      <w:r>
        <w:tab/>
        <w:t>norma contable;</w:t>
      </w:r>
    </w:p>
    <w:p w14:paraId="45A3D808" w14:textId="77777777" w:rsidR="009061B8" w:rsidRDefault="00071785">
      <w:pPr>
        <w:pStyle w:val="Point1"/>
        <w:ind w:left="600"/>
      </w:pPr>
      <w:r>
        <w:lastRenderedPageBreak/>
        <w:t>d)</w:t>
      </w:r>
      <w:r>
        <w:tab/>
        <w:t>identificador de entidad jurídica (LEI) de la entidad declarante;</w:t>
      </w:r>
    </w:p>
    <w:p w14:paraId="39A37D2E" w14:textId="77777777" w:rsidR="009061B8" w:rsidRDefault="00071785">
      <w:pPr>
        <w:pStyle w:val="Point1"/>
        <w:ind w:left="600"/>
      </w:pPr>
      <w:r>
        <w:t>e)</w:t>
      </w:r>
      <w:r>
        <w:tab/>
        <w:t>ámbito de consolidación.</w:t>
      </w:r>
    </w:p>
    <w:p w14:paraId="50061D95" w14:textId="77777777" w:rsidR="009061B8" w:rsidRPr="004F0467" w:rsidRDefault="00071785">
      <w:pPr>
        <w:pStyle w:val="ChapterTitle"/>
        <w:rPr>
          <w:b w:val="0"/>
        </w:rPr>
      </w:pPr>
      <w:r w:rsidRPr="004F0467">
        <w:rPr>
          <w:b w:val="0"/>
        </w:rPr>
        <w:t>CAPÍTULO II</w:t>
      </w:r>
    </w:p>
    <w:p w14:paraId="15A9CF19" w14:textId="77777777" w:rsidR="009061B8" w:rsidRDefault="00071785">
      <w:pPr>
        <w:pStyle w:val="ChapterTitle"/>
      </w:pPr>
      <w:r>
        <w:t>PUBLICACIÓN DE INFORMACIÓN POR PARTE DE LAS EMPRESAS DE SERVICIOS DE INVERSIÓN</w:t>
      </w:r>
    </w:p>
    <w:p w14:paraId="2E7AB020" w14:textId="77777777" w:rsidR="009061B8" w:rsidRDefault="00071785">
      <w:pPr>
        <w:pStyle w:val="Titrearticle"/>
      </w:pPr>
      <w:r>
        <w:t>Articulo 9</w:t>
      </w:r>
    </w:p>
    <w:p w14:paraId="33C37E63" w14:textId="77777777" w:rsidR="009061B8" w:rsidRDefault="00071785">
      <w:pPr>
        <w:pStyle w:val="Titrearticle"/>
        <w:spacing w:before="120"/>
        <w:rPr>
          <w:b/>
          <w:i w:val="0"/>
        </w:rPr>
      </w:pPr>
      <w:r>
        <w:rPr>
          <w:b/>
          <w:i w:val="0"/>
        </w:rPr>
        <w:t>Principios aplicables a la publicación de información</w:t>
      </w:r>
    </w:p>
    <w:p w14:paraId="6DD46FBB" w14:textId="77777777" w:rsidR="009061B8" w:rsidRDefault="00071785">
      <w:pPr>
        <w:pStyle w:val="NumPar1"/>
        <w:numPr>
          <w:ilvl w:val="0"/>
          <w:numId w:val="0"/>
        </w:numPr>
      </w:pPr>
      <w:r>
        <w:t>1.</w:t>
      </w:r>
      <w:r>
        <w:tab/>
        <w:t>La información que se haga pública de conformidad con el presente Reglamento estará sujeta a los siguientes principios:</w:t>
      </w:r>
    </w:p>
    <w:p w14:paraId="09CF5BFD" w14:textId="77777777" w:rsidR="009061B8" w:rsidRDefault="00071785">
      <w:pPr>
        <w:pStyle w:val="Point1"/>
        <w:ind w:left="600"/>
      </w:pPr>
      <w:r>
        <w:t>a)</w:t>
      </w:r>
      <w:r>
        <w:tab/>
        <w:t>La información publicada estará sometida al mismo nivel de verificación interna que el aplicable al informe de gestión incluido en el informe financiero de la empresa de servicios de inversión.</w:t>
      </w:r>
    </w:p>
    <w:p w14:paraId="7308A08B" w14:textId="77777777" w:rsidR="009061B8" w:rsidRDefault="00071785">
      <w:pPr>
        <w:pStyle w:val="Point1"/>
        <w:ind w:left="600"/>
      </w:pPr>
      <w:r>
        <w:t>b)</w:t>
      </w:r>
      <w:r>
        <w:tab/>
        <w:t>La información publicada será clara, se presentará de forma comprensible para los usuarios de la información y se comunicará a través de un medio accesible. Los mensajes importantes se destacarán y serán fáciles de encontrar. Las cuestiones complejas se explicarán en un lenguaje sencillo. La información relacionada se presentará conjuntamente.</w:t>
      </w:r>
    </w:p>
    <w:p w14:paraId="2D03F812" w14:textId="77777777" w:rsidR="009061B8" w:rsidRDefault="00071785">
      <w:pPr>
        <w:pStyle w:val="Point1"/>
        <w:ind w:left="600"/>
      </w:pPr>
      <w:r>
        <w:t>c)</w:t>
      </w:r>
      <w:r>
        <w:tab/>
        <w:t>La información publicada será significativa y coherente a lo largo del tiempo, de modo que los usuarios puedan comparar la información entre distintos períodos de publicación.</w:t>
      </w:r>
    </w:p>
    <w:p w14:paraId="0C50A2E2" w14:textId="77777777" w:rsidR="009061B8" w:rsidRDefault="00071785">
      <w:pPr>
        <w:pStyle w:val="Point1"/>
        <w:ind w:left="600"/>
      </w:pPr>
      <w:r>
        <w:t>d)</w:t>
      </w:r>
      <w:r>
        <w:tab/>
        <w:t>Las publicaciones cuantitativas irán acompañadas de explicaciones cualitativas y de cualquier otra información complementaria que sea necesaria para que los usuarios de la información puedan comprenderla, y en particular se señalará todo cambio significativo en una publicación con respecto a la información contenida en publicaciones anteriores.</w:t>
      </w:r>
    </w:p>
    <w:p w14:paraId="0C857180" w14:textId="77777777" w:rsidR="009061B8" w:rsidRDefault="00071785">
      <w:pPr>
        <w:pStyle w:val="Titrearticle"/>
      </w:pPr>
      <w:r>
        <w:t>Articulo 10</w:t>
      </w:r>
    </w:p>
    <w:p w14:paraId="765FF438" w14:textId="77777777" w:rsidR="009061B8" w:rsidRDefault="00071785">
      <w:pPr>
        <w:pStyle w:val="Titrearticle"/>
        <w:spacing w:before="120"/>
        <w:rPr>
          <w:b/>
          <w:i w:val="0"/>
        </w:rPr>
      </w:pPr>
      <w:r>
        <w:rPr>
          <w:b/>
          <w:i w:val="0"/>
        </w:rPr>
        <w:t>Publicación de información sobre los fondos propios por parte de las empresas de servicios de inversión</w:t>
      </w:r>
    </w:p>
    <w:p w14:paraId="5A28F570" w14:textId="77777777" w:rsidR="009061B8" w:rsidRDefault="00071785">
      <w:r>
        <w:t>Las empresas de servicios de inversión harán pública la información sobre fondos propios exigida por el artículo 49, apartado 1, del Reglamento (UE) 2019/2033 utilizando las plantillas del anexo VI del presente Reglamento y de conformidad con las instrucciones pertinentes establecidas en el anexo VII del presente Reglamento.</w:t>
      </w:r>
    </w:p>
    <w:p w14:paraId="705CB582" w14:textId="77777777" w:rsidR="009061B8" w:rsidRDefault="00071785">
      <w:pPr>
        <w:pStyle w:val="Titrearticle"/>
      </w:pPr>
      <w:r>
        <w:t>Articulo 11</w:t>
      </w:r>
    </w:p>
    <w:p w14:paraId="2FAC24AE" w14:textId="77777777" w:rsidR="009061B8" w:rsidRDefault="00071785">
      <w:pPr>
        <w:pStyle w:val="Titrearticle"/>
        <w:spacing w:before="120"/>
        <w:rPr>
          <w:b/>
          <w:i w:val="0"/>
        </w:rPr>
      </w:pPr>
      <w:r>
        <w:rPr>
          <w:b/>
          <w:i w:val="0"/>
        </w:rPr>
        <w:t>Disposiciones generales sobre la publicación de información</w:t>
      </w:r>
    </w:p>
    <w:p w14:paraId="7A07E2C7" w14:textId="77777777" w:rsidR="009061B8" w:rsidRDefault="00071785">
      <w:pPr>
        <w:pStyle w:val="NumPar1"/>
        <w:numPr>
          <w:ilvl w:val="0"/>
          <w:numId w:val="0"/>
        </w:numPr>
        <w:tabs>
          <w:tab w:val="left" w:pos="567"/>
        </w:tabs>
      </w:pPr>
      <w:r>
        <w:t>1.</w:t>
      </w:r>
      <w:r>
        <w:tab/>
        <w:t>Cuando hagan pública la información a que se refiere el artículo 10 del presente Reglamento, las empresas de servicios de inversión se asegurarán de que los valores numéricos se presenten como hechos de conformidad con lo siguiente:</w:t>
      </w:r>
    </w:p>
    <w:p w14:paraId="1B93D5A5" w14:textId="77777777" w:rsidR="009061B8" w:rsidRDefault="00071785">
      <w:pPr>
        <w:pStyle w:val="Point1"/>
        <w:ind w:left="600"/>
      </w:pPr>
      <w:r>
        <w:t>a)</w:t>
      </w:r>
      <w:r>
        <w:tab/>
        <w:t>los datos monetarios cuantitativos se publicarán con una precisión mínima de miles de unidades;</w:t>
      </w:r>
    </w:p>
    <w:p w14:paraId="1177DD68" w14:textId="77777777" w:rsidR="009061B8" w:rsidRDefault="00071785">
      <w:pPr>
        <w:pStyle w:val="Point1"/>
        <w:ind w:left="600"/>
      </w:pPr>
      <w:r>
        <w:lastRenderedPageBreak/>
        <w:t>b)</w:t>
      </w:r>
      <w:r>
        <w:tab/>
        <w:t>los datos cuantitativos publicados como «porcentaje» se expresarán por unidad con una precisión mínima de cuatro decimales.</w:t>
      </w:r>
    </w:p>
    <w:p w14:paraId="3E7596AE" w14:textId="77777777" w:rsidR="009061B8" w:rsidRDefault="00071785">
      <w:pPr>
        <w:pStyle w:val="NumPar1"/>
        <w:numPr>
          <w:ilvl w:val="0"/>
          <w:numId w:val="0"/>
        </w:numPr>
        <w:tabs>
          <w:tab w:val="left" w:pos="567"/>
        </w:tabs>
      </w:pPr>
      <w:r>
        <w:t>2.</w:t>
      </w:r>
      <w:r>
        <w:tab/>
        <w:t>Cuando hagan pública la información a que se refiere el artículo 10 del presente Reglamento, las empresas de servicios de inversión se asegurarán de que los datos se asocien con la siguiente información:</w:t>
      </w:r>
    </w:p>
    <w:p w14:paraId="40225805" w14:textId="77777777" w:rsidR="009061B8" w:rsidRDefault="00071785">
      <w:pPr>
        <w:pStyle w:val="Point1"/>
        <w:ind w:left="600"/>
      </w:pPr>
      <w:r>
        <w:t>a)</w:t>
      </w:r>
      <w:r>
        <w:tab/>
        <w:t>fecha de referencia y período de referencia de la publicación;</w:t>
      </w:r>
    </w:p>
    <w:p w14:paraId="0097843F" w14:textId="77777777" w:rsidR="009061B8" w:rsidRDefault="00071785">
      <w:pPr>
        <w:pStyle w:val="Point1"/>
        <w:ind w:left="600"/>
      </w:pPr>
      <w:r>
        <w:t>b)</w:t>
      </w:r>
      <w:r>
        <w:tab/>
        <w:t>moneda de la publicación;</w:t>
      </w:r>
    </w:p>
    <w:p w14:paraId="4FB922DA" w14:textId="77777777" w:rsidR="009061B8" w:rsidRDefault="00071785">
      <w:pPr>
        <w:pStyle w:val="Point1"/>
        <w:ind w:left="600"/>
      </w:pPr>
      <w:r>
        <w:t>c)</w:t>
      </w:r>
      <w:r>
        <w:tab/>
        <w:t>nombre y, cuando proceda, identificador de entidad jurídica (LEI) de la entidad declarante;</w:t>
      </w:r>
    </w:p>
    <w:p w14:paraId="0C7AE75B" w14:textId="77777777" w:rsidR="009061B8" w:rsidRDefault="00071785">
      <w:pPr>
        <w:pStyle w:val="Point1"/>
        <w:ind w:left="600"/>
      </w:pPr>
      <w:r>
        <w:t>d)</w:t>
      </w:r>
      <w:r>
        <w:tab/>
        <w:t>cuando proceda, norma contable;</w:t>
      </w:r>
    </w:p>
    <w:p w14:paraId="620A4B0C" w14:textId="77777777" w:rsidR="009061B8" w:rsidRDefault="00071785">
      <w:pPr>
        <w:pStyle w:val="Point1"/>
        <w:ind w:left="600"/>
      </w:pPr>
      <w:r>
        <w:t>e)</w:t>
      </w:r>
      <w:r>
        <w:tab/>
        <w:t>cuando proceda, ámbito de consolidación.</w:t>
      </w:r>
    </w:p>
    <w:p w14:paraId="3FEE0604" w14:textId="77777777" w:rsidR="009061B8" w:rsidRPr="004F0467" w:rsidRDefault="00071785">
      <w:pPr>
        <w:pStyle w:val="ChapterTitle"/>
        <w:rPr>
          <w:b w:val="0"/>
        </w:rPr>
      </w:pPr>
      <w:r w:rsidRPr="004F0467">
        <w:rPr>
          <w:b w:val="0"/>
        </w:rPr>
        <w:t>CAPÍTULO III</w:t>
      </w:r>
    </w:p>
    <w:p w14:paraId="2969AE8E" w14:textId="77777777" w:rsidR="009061B8" w:rsidRDefault="00071785">
      <w:pPr>
        <w:pStyle w:val="ChapterTitle"/>
      </w:pPr>
      <w:r>
        <w:t>DISPOSICIONES FINALES</w:t>
      </w:r>
    </w:p>
    <w:p w14:paraId="565A5507" w14:textId="77777777" w:rsidR="009061B8" w:rsidRDefault="00071785">
      <w:pPr>
        <w:pStyle w:val="Titrearticle"/>
        <w:spacing w:before="120"/>
      </w:pPr>
      <w:r>
        <w:t>Articulo 12</w:t>
      </w:r>
    </w:p>
    <w:p w14:paraId="627CC668" w14:textId="1A00536F" w:rsidR="009061B8" w:rsidRDefault="00071785">
      <w:pPr>
        <w:pStyle w:val="Titrearticle"/>
        <w:spacing w:before="120"/>
        <w:rPr>
          <w:b/>
          <w:i w:val="0"/>
        </w:rPr>
      </w:pPr>
      <w:r>
        <w:rPr>
          <w:b/>
          <w:i w:val="0"/>
        </w:rPr>
        <w:t>Entrada en vigor</w:t>
      </w:r>
    </w:p>
    <w:p w14:paraId="67D46DF4" w14:textId="77777777" w:rsidR="009061B8" w:rsidRDefault="00071785">
      <w:r>
        <w:t xml:space="preserve">El presente Reglamento entrará en vigor a los veinte días de su publicación en el </w:t>
      </w:r>
      <w:r>
        <w:rPr>
          <w:i/>
        </w:rPr>
        <w:t>Diario Oficial de la Unión Europea</w:t>
      </w:r>
      <w:r>
        <w:t>.</w:t>
      </w:r>
    </w:p>
    <w:p w14:paraId="5B8B123D" w14:textId="77777777" w:rsidR="009061B8" w:rsidRDefault="00071785">
      <w:pPr>
        <w:pStyle w:val="Applicationdirecte"/>
      </w:pPr>
      <w:r>
        <w:t>El presente Reglamento será obligatorio en todos sus elementos y directamente aplicable en cada Estado miembro.</w:t>
      </w:r>
    </w:p>
    <w:p w14:paraId="01479DE2" w14:textId="77777777" w:rsidR="009061B8" w:rsidRDefault="00071785">
      <w:pPr>
        <w:pStyle w:val="Fait"/>
      </w:pPr>
      <w:r>
        <w:t>Hecho en Bruselas, el</w:t>
      </w:r>
      <w:r w:rsidR="004F0467">
        <w:t xml:space="preserve"> 6 de diciembre de 2021.</w:t>
      </w:r>
    </w:p>
    <w:p w14:paraId="338093E9" w14:textId="77777777" w:rsidR="009061B8" w:rsidRDefault="00071785">
      <w:pPr>
        <w:pStyle w:val="Institutionquisigne"/>
      </w:pPr>
      <w:r>
        <w:tab/>
        <w:t>Por la Comisión</w:t>
      </w:r>
    </w:p>
    <w:p w14:paraId="66B71CF2" w14:textId="77777777" w:rsidR="009061B8" w:rsidRDefault="00071785">
      <w:pPr>
        <w:pStyle w:val="Personnequisigne"/>
      </w:pPr>
      <w:r>
        <w:tab/>
        <w:t>La Presidenta</w:t>
      </w:r>
    </w:p>
    <w:p w14:paraId="19DE6A50" w14:textId="77777777" w:rsidR="009061B8" w:rsidRPr="004F0467" w:rsidRDefault="00071785">
      <w:pPr>
        <w:pStyle w:val="Personnequisigne"/>
        <w:rPr>
          <w:i w:val="0"/>
        </w:rPr>
      </w:pPr>
      <w:r>
        <w:tab/>
      </w:r>
      <w:r w:rsidRPr="004F0467">
        <w:rPr>
          <w:i w:val="0"/>
        </w:rPr>
        <w:t xml:space="preserve">Ursula </w:t>
      </w:r>
      <w:r w:rsidR="004F0467" w:rsidRPr="004F0467">
        <w:rPr>
          <w:i w:val="0"/>
        </w:rPr>
        <w:t>VON DER LEYEN</w:t>
      </w:r>
    </w:p>
    <w:sectPr w:rsidR="009061B8" w:rsidRPr="004F0467">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E1BEC" w14:textId="77777777" w:rsidR="00071785" w:rsidRDefault="00071785">
      <w:pPr>
        <w:spacing w:before="0" w:after="0"/>
      </w:pPr>
      <w:r>
        <w:separator/>
      </w:r>
    </w:p>
  </w:endnote>
  <w:endnote w:type="continuationSeparator" w:id="0">
    <w:p w14:paraId="3245D224" w14:textId="77777777" w:rsidR="00071785" w:rsidRDefault="000717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D824" w14:textId="77777777" w:rsidR="009061B8" w:rsidRDefault="00071785">
    <w:pPr>
      <w:pStyle w:val="Footer"/>
      <w:tabs>
        <w:tab w:val="clear" w:pos="4535"/>
        <w:tab w:val="clear" w:pos="9921"/>
      </w:tabs>
      <w:ind w:left="0" w:right="0"/>
    </w:pPr>
    <w:r>
      <w:t>ES - Cleaned document</w:t>
    </w:r>
    <w:r>
      <w:tab/>
    </w:r>
    <w:r>
      <w:fldChar w:fldCharType="begin"/>
    </w:r>
    <w:r>
      <w:instrText xml:space="preserve"> PAGE \* MERGEFORMAT </w:instrText>
    </w:r>
    <w:r>
      <w:fldChar w:fldCharType="separate"/>
    </w:r>
    <w:r w:rsidR="004F0467">
      <w:rPr>
        <w:noProof/>
      </w:rPr>
      <w:t>7</w:t>
    </w:r>
    <w:r>
      <w:fldChar w:fldCharType="end"/>
    </w:r>
    <w:r>
      <w:t>/</w:t>
    </w:r>
    <w:r w:rsidR="007874B5">
      <w:fldChar w:fldCharType="begin"/>
    </w:r>
    <w:r w:rsidR="007874B5">
      <w:instrText xml:space="preserve"> NUMPAGES \* MERGEFORMAT </w:instrText>
    </w:r>
    <w:r w:rsidR="007874B5">
      <w:fldChar w:fldCharType="separate"/>
    </w:r>
    <w:r w:rsidR="004F0467">
      <w:rPr>
        <w:noProof/>
      </w:rPr>
      <w:t>7</w:t>
    </w:r>
    <w:r w:rsidR="007874B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13A8F" w14:textId="77777777" w:rsidR="00071785" w:rsidRDefault="00071785">
      <w:pPr>
        <w:spacing w:before="0" w:after="0"/>
      </w:pPr>
      <w:r>
        <w:separator/>
      </w:r>
    </w:p>
  </w:footnote>
  <w:footnote w:type="continuationSeparator" w:id="0">
    <w:p w14:paraId="79195F86" w14:textId="77777777" w:rsidR="00071785" w:rsidRDefault="00071785">
      <w:pPr>
        <w:spacing w:before="0" w:after="0"/>
      </w:pPr>
      <w:r>
        <w:continuationSeparator/>
      </w:r>
    </w:p>
  </w:footnote>
  <w:footnote w:id="1">
    <w:p w14:paraId="182E950E" w14:textId="77777777" w:rsidR="009061B8" w:rsidRDefault="00071785">
      <w:pPr>
        <w:pStyle w:val="FootnoteText"/>
      </w:pPr>
      <w:r>
        <w:rPr>
          <w:rStyle w:val="FootnoteReference"/>
        </w:rPr>
        <w:footnoteRef/>
      </w:r>
      <w:r>
        <w:tab/>
        <w:t>DO L 314 de 5.12.2019, p. 1.</w:t>
      </w:r>
    </w:p>
  </w:footnote>
  <w:footnote w:id="2">
    <w:p w14:paraId="4E190BC2" w14:textId="77777777" w:rsidR="009061B8" w:rsidRDefault="00071785">
      <w:pPr>
        <w:pStyle w:val="FootnoteText"/>
      </w:pPr>
      <w:r>
        <w:rPr>
          <w:rStyle w:val="FootnoteReference"/>
        </w:rPr>
        <w:footnoteRef/>
      </w:r>
      <w:r>
        <w:tab/>
        <w:t>Reglamento (UE) n.</w:t>
      </w:r>
      <w:r>
        <w:rPr>
          <w:vertAlign w:val="superscript"/>
        </w:rPr>
        <w:t>o</w:t>
      </w:r>
      <w:r>
        <w:t> 1093/2010 del Parlamento Europeo y del Consejo, de 24 de noviembre de 2010, por el que se crea una Autoridad Europea de Supervisión (Autoridad Bancaria Europea), se modifica la Decisión n.</w:t>
      </w:r>
      <w:r>
        <w:rPr>
          <w:vertAlign w:val="superscript"/>
        </w:rPr>
        <w:t>o</w:t>
      </w:r>
      <w:r>
        <w:t> 716/2009/CE y se deroga la Decisión 2009/78/CE de la Comisión (DO L 331 de 15.12.2010, p. 12).</w:t>
      </w:r>
    </w:p>
  </w:footnote>
  <w:footnote w:id="3">
    <w:p w14:paraId="31E4EADE" w14:textId="77777777" w:rsidR="004F0467" w:rsidRPr="004F0467" w:rsidRDefault="004F0467">
      <w:pPr>
        <w:pStyle w:val="FootnoteText"/>
        <w:rPr>
          <w:lang w:val="es-ES"/>
        </w:rPr>
      </w:pPr>
      <w:r>
        <w:rPr>
          <w:rStyle w:val="FootnoteReference"/>
        </w:rPr>
        <w:footnoteRef/>
      </w:r>
      <w:r>
        <w:t xml:space="preserve"> </w:t>
      </w:r>
      <w:r>
        <w:rPr>
          <w:lang w:val="es-ES"/>
        </w:rPr>
        <w:tab/>
      </w:r>
      <w:r w:rsidRPr="004F0467">
        <w:t>Reglamento de Ejecución (UE) 2021/451 de la Comisión, de 17 de diciembre de 2020, por el que se establecen normas técnicas de ejecución para la apl</w:t>
      </w:r>
      <w:r>
        <w:t>icación del Reglamento (UE) n.</w:t>
      </w:r>
      <w:r w:rsidRPr="004F0467">
        <w:rPr>
          <w:vertAlign w:val="superscript"/>
        </w:rPr>
        <w:t>o</w:t>
      </w:r>
      <w:r>
        <w:t> </w:t>
      </w:r>
      <w:r w:rsidRPr="004F0467">
        <w:t>575/2013 del Parlamento Europeo y del Consejo en relación con la comunicación de información con fines de supervisión por parte de las entidades, y por el que se deroga el Reglamento de Ejecució</w:t>
      </w:r>
      <w:r>
        <w:t>n (UE) n.</w:t>
      </w:r>
      <w:r w:rsidRPr="004F0467">
        <w:rPr>
          <w:vertAlign w:val="superscript"/>
        </w:rPr>
        <w:t>o</w:t>
      </w:r>
      <w:r>
        <w:t> </w:t>
      </w:r>
      <w:r w:rsidRPr="004F0467">
        <w:t>680/2014</w:t>
      </w:r>
      <w:r w:rsidRPr="004F0467">
        <w:rPr>
          <w:lang w:val="es-ES"/>
        </w:rPr>
        <w:t xml:space="preserve"> </w:t>
      </w:r>
      <w:r>
        <w:rPr>
          <w:lang w:val="es-ES"/>
        </w:rPr>
        <w:t>(DO L 97 de 19.3.2021,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F740" w14:textId="6310C09E" w:rsidR="009061B8" w:rsidRDefault="0008657E">
    <w:pPr>
      <w:pStyle w:val="Header"/>
    </w:pPr>
    <w:r>
      <w:rPr>
        <w:noProof/>
      </w:rPr>
      <mc:AlternateContent>
        <mc:Choice Requires="wps">
          <w:drawing>
            <wp:anchor distT="0" distB="0" distL="114300" distR="114300" simplePos="0" relativeHeight="251659264" behindDoc="0" locked="0" layoutInCell="0" allowOverlap="1" wp14:anchorId="14BA61B1" wp14:editId="0F38F6C7">
              <wp:simplePos x="0" y="0"/>
              <wp:positionH relativeFrom="page">
                <wp:posOffset>0</wp:posOffset>
              </wp:positionH>
              <wp:positionV relativeFrom="page">
                <wp:posOffset>190500</wp:posOffset>
              </wp:positionV>
              <wp:extent cx="7560945" cy="273050"/>
              <wp:effectExtent l="0" t="0" r="0" b="12700"/>
              <wp:wrapNone/>
              <wp:docPr id="1" name="MSIPCMfe404cf8a7e5856bc6706480"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FAFBC1" w14:textId="112C3751" w:rsidR="0008657E" w:rsidRPr="0008657E" w:rsidRDefault="0008657E" w:rsidP="0008657E">
                          <w:pPr>
                            <w:spacing w:before="0" w:after="0"/>
                            <w:jc w:val="left"/>
                            <w:rPr>
                              <w:rFonts w:ascii="Calibri" w:hAnsi="Calibri" w:cs="Calibri"/>
                              <w:color w:val="000000"/>
                            </w:rPr>
                          </w:pPr>
                          <w:r w:rsidRPr="0008657E">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4BA61B1" id="_x0000_t202" coordsize="21600,21600" o:spt="202" path="m,l,21600r21600,l21600,xe">
              <v:stroke joinstyle="miter"/>
              <v:path gradientshapeok="t" o:connecttype="rect"/>
            </v:shapetype>
            <v:shape id="MSIPCMfe404cf8a7e5856bc6706480"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UPpUta8CAABHBQAADgAAAAAA&#10;AAAAAAAAAAAuAgAAZHJzL2Uyb0RvYy54bWxQSwECLQAUAAYACAAAACEAKBpSTdwAAAAHAQAADwAA&#10;AAAAAAAAAAAAAAAJBQAAZHJzL2Rvd25yZXYueG1sUEsFBgAAAAAEAAQA8wAAABIGAAAAAA==&#10;" o:allowincell="f" filled="f" stroked="f" strokeweight=".5pt">
              <v:textbox inset="20pt,0,,0">
                <w:txbxContent>
                  <w:p w14:paraId="60FAFBC1" w14:textId="112C3751" w:rsidR="0008657E" w:rsidRPr="0008657E" w:rsidRDefault="0008657E" w:rsidP="0008657E">
                    <w:pPr>
                      <w:spacing w:before="0" w:after="0"/>
                      <w:jc w:val="left"/>
                      <w:rPr>
                        <w:rFonts w:ascii="Calibri" w:hAnsi="Calibri" w:cs="Calibri"/>
                        <w:color w:val="000000"/>
                      </w:rPr>
                    </w:pPr>
                    <w:r w:rsidRPr="0008657E">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7:54: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111FF102-F01D-4ABE-BD72-0C0662625BF9"/>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para la aplicación del Reglamento (UE) 2019/2033 del Parlamento Europeo y del Consejo en relación con la presentación y la publicación de información con fines de supervisión de las empresas de servicios de inversión"/>
    <w:docVar w:name="LW_TYPE.DOC.CP" w:val="REGLAMENTO DE EJECUCIÓN (UE) \u8230?/... DE LA COMISIÓN"/>
  </w:docVars>
  <w:rsids>
    <w:rsidRoot w:val="009061B8"/>
    <w:rsid w:val="00071785"/>
    <w:rsid w:val="0008657E"/>
    <w:rsid w:val="004F0467"/>
    <w:rsid w:val="007874B5"/>
    <w:rsid w:val="009061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76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lang w:val="es-ES"/>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lang w:val="es-ES"/>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s-ES"/>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s-ES"/>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1"/>
      </w:numPr>
    </w:pPr>
  </w:style>
  <w:style w:type="paragraph" w:customStyle="1" w:styleId="Tiret1">
    <w:name w:val="Tiret 1"/>
    <w:basedOn w:val="Point1"/>
    <w:pPr>
      <w:numPr>
        <w:numId w:val="32"/>
      </w:numPr>
    </w:pPr>
  </w:style>
  <w:style w:type="paragraph" w:customStyle="1" w:styleId="Tiret2">
    <w:name w:val="Tiret 2"/>
    <w:basedOn w:val="Point2"/>
    <w:pPr>
      <w:numPr>
        <w:numId w:val="33"/>
      </w:numPr>
    </w:pPr>
  </w:style>
  <w:style w:type="paragraph" w:customStyle="1" w:styleId="Tiret3">
    <w:name w:val="Tiret 3"/>
    <w:basedOn w:val="Point3"/>
    <w:pPr>
      <w:numPr>
        <w:numId w:val="34"/>
      </w:numPr>
    </w:pPr>
  </w:style>
  <w:style w:type="paragraph" w:customStyle="1" w:styleId="Tiret4">
    <w:name w:val="Tiret 4"/>
    <w:basedOn w:val="Point4"/>
    <w:pPr>
      <w:numPr>
        <w:numId w:val="3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6"/>
      </w:numPr>
    </w:pPr>
  </w:style>
  <w:style w:type="paragraph" w:customStyle="1" w:styleId="NumPar2">
    <w:name w:val="NumPar 2"/>
    <w:basedOn w:val="Normal"/>
    <w:next w:val="Text1"/>
    <w:pPr>
      <w:numPr>
        <w:ilvl w:val="1"/>
        <w:numId w:val="36"/>
      </w:numPr>
    </w:pPr>
  </w:style>
  <w:style w:type="paragraph" w:customStyle="1" w:styleId="NumPar3">
    <w:name w:val="NumPar 3"/>
    <w:basedOn w:val="Normal"/>
    <w:next w:val="Text1"/>
    <w:pPr>
      <w:numPr>
        <w:ilvl w:val="2"/>
        <w:numId w:val="36"/>
      </w:numPr>
    </w:pPr>
  </w:style>
  <w:style w:type="paragraph" w:customStyle="1" w:styleId="NumPar4">
    <w:name w:val="NumPar 4"/>
    <w:basedOn w:val="Normal"/>
    <w:next w:val="Text1"/>
    <w:pPr>
      <w:numPr>
        <w:ilvl w:val="3"/>
        <w:numId w:val="3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8"/>
      </w:numPr>
    </w:pPr>
  </w:style>
  <w:style w:type="paragraph" w:customStyle="1" w:styleId="Point1number">
    <w:name w:val="Point 1 (number)"/>
    <w:basedOn w:val="Normal"/>
    <w:pPr>
      <w:numPr>
        <w:ilvl w:val="2"/>
        <w:numId w:val="38"/>
      </w:numPr>
    </w:pPr>
  </w:style>
  <w:style w:type="paragraph" w:customStyle="1" w:styleId="Point2number">
    <w:name w:val="Point 2 (number)"/>
    <w:basedOn w:val="Normal"/>
    <w:pPr>
      <w:numPr>
        <w:ilvl w:val="4"/>
        <w:numId w:val="38"/>
      </w:numPr>
    </w:pPr>
  </w:style>
  <w:style w:type="paragraph" w:customStyle="1" w:styleId="Point3number">
    <w:name w:val="Point 3 (number)"/>
    <w:basedOn w:val="Normal"/>
    <w:pPr>
      <w:numPr>
        <w:ilvl w:val="6"/>
        <w:numId w:val="38"/>
      </w:numPr>
    </w:pPr>
  </w:style>
  <w:style w:type="paragraph" w:customStyle="1" w:styleId="Point0letter">
    <w:name w:val="Point 0 (letter)"/>
    <w:basedOn w:val="Normal"/>
    <w:pPr>
      <w:numPr>
        <w:ilvl w:val="1"/>
        <w:numId w:val="38"/>
      </w:numPr>
    </w:pPr>
  </w:style>
  <w:style w:type="paragraph" w:customStyle="1" w:styleId="Point1letter">
    <w:name w:val="Point 1 (letter)"/>
    <w:basedOn w:val="Normal"/>
    <w:pPr>
      <w:numPr>
        <w:ilvl w:val="3"/>
        <w:numId w:val="38"/>
      </w:numPr>
    </w:pPr>
  </w:style>
  <w:style w:type="paragraph" w:customStyle="1" w:styleId="Point2letter">
    <w:name w:val="Point 2 (letter)"/>
    <w:basedOn w:val="Normal"/>
    <w:pPr>
      <w:numPr>
        <w:ilvl w:val="5"/>
        <w:numId w:val="38"/>
      </w:numPr>
    </w:pPr>
  </w:style>
  <w:style w:type="paragraph" w:customStyle="1" w:styleId="Point3letter">
    <w:name w:val="Point 3 (letter)"/>
    <w:basedOn w:val="Normal"/>
    <w:pPr>
      <w:numPr>
        <w:ilvl w:val="7"/>
        <w:numId w:val="38"/>
      </w:numPr>
    </w:pPr>
  </w:style>
  <w:style w:type="paragraph" w:customStyle="1" w:styleId="Point4letter">
    <w:name w:val="Point 4 (letter)"/>
    <w:basedOn w:val="Normal"/>
    <w:pPr>
      <w:numPr>
        <w:ilvl w:val="8"/>
        <w:numId w:val="38"/>
      </w:numPr>
    </w:pPr>
  </w:style>
  <w:style w:type="paragraph" w:customStyle="1" w:styleId="Bullet0">
    <w:name w:val="Bullet 0"/>
    <w:basedOn w:val="Normal"/>
    <w:pPr>
      <w:numPr>
        <w:numId w:val="39"/>
      </w:numPr>
    </w:pPr>
  </w:style>
  <w:style w:type="paragraph" w:customStyle="1" w:styleId="Bullet1">
    <w:name w:val="Bullet 1"/>
    <w:basedOn w:val="Normal"/>
    <w:pPr>
      <w:numPr>
        <w:numId w:val="40"/>
      </w:numPr>
    </w:pPr>
  </w:style>
  <w:style w:type="paragraph" w:customStyle="1" w:styleId="Bullet2">
    <w:name w:val="Bullet 2"/>
    <w:basedOn w:val="Normal"/>
    <w:pPr>
      <w:numPr>
        <w:numId w:val="41"/>
      </w:numPr>
    </w:pPr>
  </w:style>
  <w:style w:type="paragraph" w:customStyle="1" w:styleId="Bullet3">
    <w:name w:val="Bullet 3"/>
    <w:basedOn w:val="Normal"/>
    <w:pPr>
      <w:numPr>
        <w:numId w:val="42"/>
      </w:numPr>
    </w:pPr>
  </w:style>
  <w:style w:type="paragraph" w:customStyle="1" w:styleId="Bullet4">
    <w:name w:val="Bullet 4"/>
    <w:basedOn w:val="Normal"/>
    <w:pPr>
      <w:numPr>
        <w:numId w:val="4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93C83-0FD2-4BD4-B842-B0E28CDC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2668</Words>
  <Characters>15209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2022-01-17T14:02:35Z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8e84e4c5-4ee0-48ad-a877-1c89d191cd9b</vt:lpwstr>
  </property>
  <property fmtid="{D5CDD505-2E9C-101B-9397-08002B2CF9AE}" pid="15" name="MSIP_Label_5c7eb9de-735b-4a68-8fe4-c9c62709b012_ContentBits">
    <vt:lpwstr>1</vt:lpwstr>
  </property>
</Properties>
</file>