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8B0C9" w14:textId="77777777" w:rsidR="005D744E" w:rsidRDefault="00FE29FF">
      <w:pPr>
        <w:pStyle w:val="Typedudocument"/>
      </w:pPr>
      <w:r>
        <w:t>Uitvoeringsverordening (EU) 2021/</w:t>
      </w:r>
      <w:r w:rsidRPr="00FE29FF">
        <w:rPr>
          <w:highlight w:val="yellow"/>
        </w:rPr>
        <w:t>…</w:t>
      </w:r>
      <w:r>
        <w:t xml:space="preserve"> van de Commissie </w:t>
      </w:r>
    </w:p>
    <w:p w14:paraId="5B12E0EA" w14:textId="77777777" w:rsidR="005D744E" w:rsidRDefault="00196D69">
      <w:pPr>
        <w:pStyle w:val="Datedadoption"/>
      </w:pPr>
      <w:r>
        <w:t xml:space="preserve">van </w:t>
      </w:r>
      <w:r w:rsidR="00FE29FF">
        <w:t xml:space="preserve">6 december 2021 </w:t>
      </w:r>
    </w:p>
    <w:p w14:paraId="7E4B5F4C" w14:textId="77777777" w:rsidR="005D744E" w:rsidRDefault="00196D69">
      <w:pPr>
        <w:pStyle w:val="Titreobjet"/>
      </w:pPr>
      <w:r>
        <w:t>tot vaststelling van technische uitvoeringsnormen voor de toepassing van Verordening (EU) 2019/2033 van het Europees Parlement en de Raad wat betreft toezichtrapportage en openbaarmakingen door beleggingsondernemingen</w:t>
      </w:r>
    </w:p>
    <w:p w14:paraId="2C93F533" w14:textId="77777777" w:rsidR="005D744E" w:rsidRDefault="00196D69">
      <w:pPr>
        <w:pStyle w:val="IntrtEEE"/>
      </w:pPr>
      <w:r>
        <w:rPr>
          <w:b/>
        </w:rPr>
        <w:t>(Voor de EER relevante tekst)</w:t>
      </w:r>
    </w:p>
    <w:p w14:paraId="4332727B" w14:textId="77777777" w:rsidR="005D744E" w:rsidRDefault="00196D69">
      <w:pPr>
        <w:pStyle w:val="Institutionquiagit"/>
      </w:pPr>
      <w:r>
        <w:t>DE EUROPESE COMMISSIE,</w:t>
      </w:r>
    </w:p>
    <w:p w14:paraId="015EA112" w14:textId="77777777" w:rsidR="005D744E" w:rsidRDefault="00196D69">
      <w:r>
        <w:t>Gezien het Verdrag betreffende de werking van de Europese Unie,</w:t>
      </w:r>
    </w:p>
    <w:p w14:paraId="2655CE7D" w14:textId="77777777" w:rsidR="005D744E" w:rsidRDefault="00196D69">
      <w:r>
        <w:t xml:space="preserve">Gezien Verordening (EU) 2019/2033 van het Europees Parlement en de Raad van 27 november 2019 betreffende prudentiële vereisten voor beleggingsondernemingen en tot wijziging van Verordeningen (EU) </w:t>
      </w:r>
      <w:r w:rsidR="00FE29FF">
        <w:t>nr. </w:t>
      </w:r>
      <w:r>
        <w:t xml:space="preserve">1093/2010, (EU) </w:t>
      </w:r>
      <w:r w:rsidR="00FE29FF">
        <w:t>nr. </w:t>
      </w:r>
      <w:r>
        <w:t xml:space="preserve">575/2013, (EU) </w:t>
      </w:r>
      <w:r w:rsidR="00FE29FF">
        <w:t>nr. </w:t>
      </w:r>
      <w:r>
        <w:t xml:space="preserve">600/2014 en (EU) </w:t>
      </w:r>
      <w:r w:rsidR="00FE29FF">
        <w:t>nr. </w:t>
      </w:r>
      <w:r>
        <w:t>806/2014 </w:t>
      </w:r>
      <w:r>
        <w:rPr>
          <w:rStyle w:val="FootnoteReference"/>
        </w:rPr>
        <w:footnoteReference w:id="1"/>
      </w:r>
      <w:r>
        <w:t>, en met name artikel 49, lid 2, en artikel 54, lid 3,</w:t>
      </w:r>
    </w:p>
    <w:p w14:paraId="44DF4590" w14:textId="77777777" w:rsidR="005D744E" w:rsidRDefault="00196D69">
      <w:r>
        <w:t>Overwegende hetgeen volgt:</w:t>
      </w:r>
    </w:p>
    <w:p w14:paraId="447C7479" w14:textId="77777777" w:rsidR="005D744E" w:rsidRDefault="00196D69">
      <w:pPr>
        <w:pStyle w:val="Considrant"/>
        <w:numPr>
          <w:ilvl w:val="0"/>
          <w:numId w:val="0"/>
        </w:numPr>
        <w:tabs>
          <w:tab w:val="left" w:pos="709"/>
        </w:tabs>
        <w:ind w:left="709" w:hanging="709"/>
      </w:pPr>
      <w:r>
        <w:t>(1)</w:t>
      </w:r>
      <w:r>
        <w:tab/>
        <w:t>De in artikel 54 van Verordening (EU) 2019/2033 vastgestelde rapportagevereisten voor beleggingsondernemingen moeten worden toegesneden op de bedrijfsactiviteiten van de beleggingsondernemingen en evenredig zijn aan de schaal en complexiteit van verschillende beleggingsondernemingen. Die vereisten dienen met name rekening te houden met het feit dat bepaalde beleggingsondernemingen volgens de voorwaarden van artikel 12 van Verordening (EU) 2019/2033 als klein en niet-verweven moeten worden beschouwd.</w:t>
      </w:r>
    </w:p>
    <w:p w14:paraId="758D2F4E" w14:textId="77777777" w:rsidR="005D744E" w:rsidRDefault="00196D69">
      <w:pPr>
        <w:pStyle w:val="Considrant"/>
        <w:numPr>
          <w:ilvl w:val="0"/>
          <w:numId w:val="0"/>
        </w:numPr>
        <w:tabs>
          <w:tab w:val="left" w:pos="709"/>
        </w:tabs>
        <w:ind w:left="709" w:hanging="709"/>
      </w:pPr>
      <w:r>
        <w:t>(2)</w:t>
      </w:r>
      <w:r>
        <w:tab/>
        <w:t>Volgens artikel 54, lid 1, van Verordening (EU) 2019/2033 moeten kleine en niet-verweven beleggingsondernemingen informatie rapporteren over de omvang en samenstelling van hun eigen vermogen, hun eigenvermogensvereisten, de basis voor de berekening van hun eigenvermogensvereisten, en de omvang van de activiteiten met betrekking tot de voorwaarden van artikel 12, lid 1, van Verordening (EU) 2019/2033. Kleine en niet-verweven ondernemingen hoeven de informatie dus niet met dezelfde mate van detail te rapporteren als beleggingsondernemingen die onder Verordening (EU) 2019/2033 vallen. De rapportagetemplates voor de berekening van de K-factor hoeven dus niet te gelden voor kleine en niet-verweven ondernemingen. Voorts zijn kleine en niet-verweven ondernemingen, overeenkomstig artikel 54, lid 2, derde alinea, van Verordening (EU) 2019/2033, vrijgesteld van rapportage over concentratierisico en kunnen bevoegde autoriteiten kleine en niet-verweven ondernemingen vrijstellen van de verplichting om te rapporteren over liquiditeitsvereisten</w:t>
      </w:r>
      <w:bookmarkStart w:id="0" w:name="_DV_M108"/>
      <w:bookmarkEnd w:id="0"/>
      <w:r>
        <w:t>.</w:t>
      </w:r>
    </w:p>
    <w:p w14:paraId="445CAC03" w14:textId="77777777" w:rsidR="005D744E" w:rsidRDefault="00196D69">
      <w:pPr>
        <w:pStyle w:val="Considrant"/>
        <w:numPr>
          <w:ilvl w:val="0"/>
          <w:numId w:val="0"/>
        </w:numPr>
        <w:tabs>
          <w:tab w:val="left" w:pos="709"/>
        </w:tabs>
        <w:ind w:left="709" w:hanging="709"/>
      </w:pPr>
      <w:r>
        <w:t>(3)</w:t>
      </w:r>
      <w:r>
        <w:tab/>
        <w:t>Alle beleggingsondernemingen die onder Verordening (EU) 2019/2033 vallen, moeten het profiel en de omvang van hun activiteiten rapporteren zodat de bevoegde autoriteiten kunnen beoordelen of die beleggingsondernemingen aan de voorwaarden van artikel 12 van Verordening (EU) 2019/2033 voldoen om als kleine en niet-verweven beleggingsondernemingen te worden ingedeeld.</w:t>
      </w:r>
    </w:p>
    <w:p w14:paraId="323FBF7D" w14:textId="77777777" w:rsidR="005D744E" w:rsidRDefault="00196D69">
      <w:pPr>
        <w:pStyle w:val="Considrant"/>
        <w:numPr>
          <w:ilvl w:val="0"/>
          <w:numId w:val="0"/>
        </w:numPr>
        <w:tabs>
          <w:tab w:val="left" w:pos="709"/>
        </w:tabs>
        <w:ind w:left="709" w:hanging="709"/>
      </w:pPr>
      <w:r>
        <w:lastRenderedPageBreak/>
        <w:t>(4)</w:t>
      </w:r>
      <w:r>
        <w:tab/>
        <w:t>Om voor transparantie ten aanzien van hun beleggers en de ruimere markten te zorgen, moeten beleggingsondernemingen niet zijnde kleine en niet-verweven beleggingsondernemingen volgens artikel 46 van Verordening (EU) 2019/2033 de in deel zes van die verordening vermelde informatie openbaar maken. Voor kleine en niet-verweven beleggingsondernemingen gelden die openbaarmakingsvereisten alleen wanneer zij aanvullend-tier</w:t>
      </w:r>
      <w:r w:rsidR="00FE29FF">
        <w:t> </w:t>
      </w:r>
      <w:r>
        <w:t>1‐instrumenten uitgeven, om zo de beleggers in die instrumenten transparantie te bieden.</w:t>
      </w:r>
    </w:p>
    <w:p w14:paraId="52A1F46D" w14:textId="77777777" w:rsidR="005D744E" w:rsidRDefault="00196D69">
      <w:pPr>
        <w:pStyle w:val="Considrant"/>
        <w:numPr>
          <w:ilvl w:val="0"/>
          <w:numId w:val="0"/>
        </w:numPr>
        <w:tabs>
          <w:tab w:val="left" w:pos="709"/>
        </w:tabs>
        <w:ind w:left="709" w:hanging="709"/>
      </w:pPr>
      <w:r>
        <w:t>(5)</w:t>
      </w:r>
      <w:r>
        <w:tab/>
        <w:t>Deze verordening moet voorzien in templates en tabellen waarmee beleggingsondernemingen voldoende brede en vergelijkbare informatie kunnen verstrekken over de samenstelling en kwaliteit van hun eigen vermogen. Meer bepaald moeten er een template worden ingevoerd voor kwantitatieve rapportage over de samenstelling van het eigen vermogen alsmede een flexibele template over de reconciliatie van het vereiste toetsingsvermogen met de gecontroleerde jaarrekening. Om diezelfde reden moet er ook een template komen met informatie over de meest relevante kenmerken van door de beleggingsonderneming uitgegeven eigenvermogensinstrumenten.</w:t>
      </w:r>
    </w:p>
    <w:p w14:paraId="2A2AE785" w14:textId="77777777" w:rsidR="005D744E" w:rsidRDefault="00196D69">
      <w:pPr>
        <w:pStyle w:val="Considrant"/>
        <w:numPr>
          <w:ilvl w:val="0"/>
          <w:numId w:val="0"/>
        </w:numPr>
        <w:tabs>
          <w:tab w:val="left" w:pos="709"/>
        </w:tabs>
        <w:ind w:left="709" w:hanging="709"/>
      </w:pPr>
      <w:r>
        <w:t>(6)</w:t>
      </w:r>
      <w:r>
        <w:tab/>
      </w:r>
      <w:r>
        <w:rPr>
          <w:color w:val="000000"/>
        </w:rPr>
        <w:t>Om de uitvoering van rapportage- en openbaarmakingsvereisten te vereenvoudigen, moet de coherentie tussen rapportage- en openbaarmakingstemplates worden versterkt. De template voor de openbaarmaking van de samenstelling van het eigen vermogen moet dus nauw worden afgestemd op de daarmee samenhangende rapportagetemplate over de omvang en samenstelling van het eigen vermogen. Om diezelfde reden moet de template voor de openbaarmaking over volledige reconciliatie van het eigen vermogen met de gecontroleerde jaarrekeningen flexibel zijn, in die zin dat de uitsplitsing in de template gebaseerd moet zijn op de uitsplitsing van de balans in de gecontroleerde jaarrekeningen van de beleggingsonderneming. Voorts moet de template voor de openbaarmaking over de belangrijkste kenmerken van het vereiste toetsingsvermogen een vaste template zijn en moet de complexiteit ervan afhangen van de complexiteit van de eigenvermogensinstrumenten.</w:t>
      </w:r>
    </w:p>
    <w:p w14:paraId="71D51A82" w14:textId="03F738EB" w:rsidR="005D744E" w:rsidRDefault="00196D69" w:rsidP="00806787">
      <w:pPr>
        <w:pStyle w:val="Considrant"/>
        <w:numPr>
          <w:ilvl w:val="0"/>
          <w:numId w:val="0"/>
        </w:numPr>
        <w:tabs>
          <w:tab w:val="left" w:pos="709"/>
        </w:tabs>
        <w:ind w:left="709" w:hanging="709"/>
      </w:pPr>
      <w:r>
        <w:t>(7)</w:t>
      </w:r>
      <w:r>
        <w:tab/>
        <w:t>Om te vermijden dat de compliancekosten voor beleggingsondernemingen niet onredelijk toenemen en dat de datakwaliteit behouden blijft, moeten de rapportage- en openbaarmakingsverplichtingen naar inhoud onderling maximaal worden afgestemd. Daarom dienen de standaarden die voor zowel rapportage- als openbaarmakingsvereisten van toepassing zijn, in één verordening te worden opgenomen.</w:t>
      </w:r>
    </w:p>
    <w:p w14:paraId="1766D322" w14:textId="031A611E" w:rsidR="005D744E" w:rsidRDefault="00196D69">
      <w:pPr>
        <w:pStyle w:val="Considrant"/>
        <w:numPr>
          <w:ilvl w:val="0"/>
          <w:numId w:val="0"/>
        </w:numPr>
        <w:tabs>
          <w:tab w:val="left" w:pos="709"/>
        </w:tabs>
        <w:ind w:left="709" w:hanging="709"/>
      </w:pPr>
      <w:r>
        <w:t>(</w:t>
      </w:r>
      <w:r w:rsidR="00806787">
        <w:t>8</w:t>
      </w:r>
      <w:r>
        <w:t>)</w:t>
      </w:r>
      <w:r>
        <w:tab/>
        <w:t>Deze verordening is gebaseerd op de ontwerpen van technische reguleringsnormen die de Europese Bankautoriteit (“EBA”) na raadpleging van de Europese Autoriteit voor effecten en markten (ESMA) bij de Commissie heeft ingediend.</w:t>
      </w:r>
    </w:p>
    <w:p w14:paraId="5EBE7406" w14:textId="175364C6" w:rsidR="005D744E" w:rsidRDefault="00196D69">
      <w:pPr>
        <w:pStyle w:val="Considrant"/>
        <w:numPr>
          <w:ilvl w:val="0"/>
          <w:numId w:val="0"/>
        </w:numPr>
        <w:tabs>
          <w:tab w:val="left" w:pos="709"/>
        </w:tabs>
        <w:ind w:left="709" w:hanging="709"/>
      </w:pPr>
      <w:r>
        <w:t>(</w:t>
      </w:r>
      <w:r w:rsidR="00806787">
        <w:t>9</w:t>
      </w:r>
      <w:r>
        <w:t>)</w:t>
      </w:r>
      <w:r>
        <w:tab/>
        <w:t xml:space="preserve">De EBA heeft open publieke raadplegingen gehouden over de ontwerpen van technische uitvoeringsnormen waarop deze verordening is gebaseerd, de mogelijke kosten en baten ervan geanalyseerd en het advies van de overeenkomstig artikel 37 van Verordening (EU) </w:t>
      </w:r>
      <w:r w:rsidR="00FE29FF">
        <w:t>nr. </w:t>
      </w:r>
      <w:r>
        <w:t>1093/2010 van het Europees Parlement en de Raad </w:t>
      </w:r>
      <w:r>
        <w:rPr>
          <w:rStyle w:val="FootnoteReference"/>
        </w:rPr>
        <w:footnoteReference w:id="2"/>
      </w:r>
      <w:r>
        <w:t xml:space="preserve"> opgerichte Stakeholdergroep bankwezen ingewonnen,</w:t>
      </w:r>
    </w:p>
    <w:p w14:paraId="4B75FE9E" w14:textId="77777777" w:rsidR="005D744E" w:rsidRDefault="00196D69">
      <w:pPr>
        <w:pStyle w:val="Formuledadoption"/>
      </w:pPr>
      <w:r>
        <w:lastRenderedPageBreak/>
        <w:t>HEEFT DE VOLGENDE VERORDENING VASTGESTELD:</w:t>
      </w:r>
    </w:p>
    <w:p w14:paraId="08B5D795" w14:textId="77777777" w:rsidR="005D744E" w:rsidRDefault="00196D69">
      <w:pPr>
        <w:pStyle w:val="ChapterTitle"/>
      </w:pPr>
      <w:r>
        <w:t>HOOFDSTUK I</w:t>
      </w:r>
    </w:p>
    <w:p w14:paraId="431C1CFC" w14:textId="77777777" w:rsidR="005D744E" w:rsidRDefault="00196D69">
      <w:pPr>
        <w:pStyle w:val="ChapterTitle"/>
      </w:pPr>
      <w:r>
        <w:t>TOEZICHTRAPPORTAGE</w:t>
      </w:r>
    </w:p>
    <w:p w14:paraId="2890CFAE" w14:textId="77777777" w:rsidR="005D744E" w:rsidRPr="00FE29FF" w:rsidRDefault="00196D69">
      <w:pPr>
        <w:pStyle w:val="Titrearticle"/>
      </w:pPr>
      <w:r w:rsidRPr="00FE29FF">
        <w:t>Artikel 1</w:t>
      </w:r>
    </w:p>
    <w:p w14:paraId="567C21C6" w14:textId="77777777" w:rsidR="005D744E" w:rsidRDefault="00196D69">
      <w:pPr>
        <w:pStyle w:val="Titrearticle"/>
        <w:spacing w:before="120"/>
        <w:rPr>
          <w:b/>
          <w:i w:val="0"/>
        </w:rPr>
      </w:pPr>
      <w:r>
        <w:rPr>
          <w:b/>
          <w:i w:val="0"/>
        </w:rPr>
        <w:t>Rapportagereferentiedata</w:t>
      </w:r>
    </w:p>
    <w:p w14:paraId="7328816B" w14:textId="77777777" w:rsidR="005D744E" w:rsidRDefault="00196D69">
      <w:pPr>
        <w:pStyle w:val="NumPar1"/>
        <w:numPr>
          <w:ilvl w:val="0"/>
          <w:numId w:val="0"/>
        </w:numPr>
        <w:tabs>
          <w:tab w:val="left" w:pos="567"/>
        </w:tabs>
      </w:pPr>
      <w:r>
        <w:t>1.</w:t>
      </w:r>
      <w:r>
        <w:tab/>
        <w:t>De in artikel 54, lid 1, van Verordening (EU) 2019/2033 gevraagde informatie wordt gerapporteerd zoals die beschikbaar is op de volgende rapportagereferentiedata:</w:t>
      </w:r>
    </w:p>
    <w:p w14:paraId="73F9D390" w14:textId="77777777" w:rsidR="005D744E" w:rsidRDefault="00196D69">
      <w:pPr>
        <w:pStyle w:val="Point1letter"/>
        <w:numPr>
          <w:ilvl w:val="0"/>
          <w:numId w:val="0"/>
        </w:numPr>
        <w:ind w:left="567" w:hanging="567"/>
      </w:pPr>
      <w:r>
        <w:t>a)</w:t>
      </w:r>
      <w:r>
        <w:tab/>
        <w:t>kwartaalrapportage: 31 maart, 30 juni, 30 september en 31 december;</w:t>
      </w:r>
    </w:p>
    <w:p w14:paraId="52363884" w14:textId="77777777" w:rsidR="005D744E" w:rsidRDefault="00196D69">
      <w:pPr>
        <w:pStyle w:val="Point1letter"/>
        <w:numPr>
          <w:ilvl w:val="0"/>
          <w:numId w:val="0"/>
        </w:numPr>
        <w:ind w:left="567" w:hanging="567"/>
      </w:pPr>
      <w:r>
        <w:t>b)</w:t>
      </w:r>
      <w:r>
        <w:tab/>
        <w:t>jaarrapportage: 31 december.</w:t>
      </w:r>
    </w:p>
    <w:p w14:paraId="05230DE0" w14:textId="77777777" w:rsidR="005D744E" w:rsidRDefault="00196D69">
      <w:pPr>
        <w:pStyle w:val="NumPar1"/>
        <w:numPr>
          <w:ilvl w:val="0"/>
          <w:numId w:val="0"/>
        </w:numPr>
        <w:tabs>
          <w:tab w:val="left" w:pos="567"/>
        </w:tabs>
      </w:pPr>
      <w:r>
        <w:t>2.</w:t>
      </w:r>
      <w:r>
        <w:tab/>
        <w:t>De in lid 1 genoemde rapportagereferentiedata kunnen worden aangepast wanneer beleggingsondernemingen volgens nationale wetgeving hun financiële informatie mogen rapporteren op basis van het einde van hun boekjaar dat afwijkt van het kalenderjaar, zodat de kwartaalrapportage van informatie om de drie maanden van het betrokken boekjaar plaatsvindt en de jaarrapportage per ultimo van het boekjaar.</w:t>
      </w:r>
    </w:p>
    <w:p w14:paraId="2CD80FC3" w14:textId="77777777" w:rsidR="005D744E" w:rsidRPr="00FE29FF" w:rsidRDefault="00196D69">
      <w:pPr>
        <w:pStyle w:val="Titrearticle"/>
      </w:pPr>
      <w:r w:rsidRPr="00FE29FF">
        <w:t>Artikel 2</w:t>
      </w:r>
    </w:p>
    <w:p w14:paraId="77E166F5" w14:textId="77777777" w:rsidR="005D744E" w:rsidRDefault="00196D69">
      <w:pPr>
        <w:pStyle w:val="Titrearticle"/>
        <w:spacing w:before="120"/>
        <w:rPr>
          <w:b/>
          <w:i w:val="0"/>
        </w:rPr>
      </w:pPr>
      <w:r>
        <w:rPr>
          <w:b/>
          <w:i w:val="0"/>
        </w:rPr>
        <w:t>Indieningsdata voor de rapportage</w:t>
      </w:r>
    </w:p>
    <w:p w14:paraId="1D37AAE9" w14:textId="77777777" w:rsidR="005D744E" w:rsidRDefault="00196D69">
      <w:pPr>
        <w:pStyle w:val="NumPar1"/>
        <w:numPr>
          <w:ilvl w:val="0"/>
          <w:numId w:val="0"/>
        </w:numPr>
        <w:tabs>
          <w:tab w:val="left" w:pos="567"/>
        </w:tabs>
      </w:pPr>
      <w:r>
        <w:t>1.</w:t>
      </w:r>
      <w:r>
        <w:tab/>
        <w:t>De in artikel 54, lid 1, van Verordening (EU) 2019/2033 gevraagde informatie wordt gerapporteerd zoals die op de volgende indieningsdata aan het eind van de werkdag beschikbaar is:</w:t>
      </w:r>
    </w:p>
    <w:p w14:paraId="7BA46151" w14:textId="77777777" w:rsidR="005D744E" w:rsidRDefault="00196D69">
      <w:pPr>
        <w:pStyle w:val="Point1letter"/>
        <w:numPr>
          <w:ilvl w:val="0"/>
          <w:numId w:val="0"/>
        </w:numPr>
        <w:ind w:left="567" w:hanging="567"/>
      </w:pPr>
      <w:r>
        <w:t>a)</w:t>
      </w:r>
      <w:r>
        <w:tab/>
        <w:t>kwartaalrapportage: 12 mei, 11 augustus, 11 november en 11 februari;</w:t>
      </w:r>
    </w:p>
    <w:p w14:paraId="6C3654DD" w14:textId="77777777" w:rsidR="005D744E" w:rsidRDefault="00196D69">
      <w:pPr>
        <w:pStyle w:val="Point1letter"/>
        <w:numPr>
          <w:ilvl w:val="0"/>
          <w:numId w:val="0"/>
        </w:numPr>
        <w:ind w:left="567" w:hanging="567"/>
      </w:pPr>
      <w:r>
        <w:t>b)</w:t>
      </w:r>
      <w:r>
        <w:tab/>
        <w:t>jaarrapportage: 11 februari.</w:t>
      </w:r>
    </w:p>
    <w:p w14:paraId="7B62869C" w14:textId="77777777" w:rsidR="005D744E" w:rsidRDefault="00196D69">
      <w:pPr>
        <w:pStyle w:val="NumPar1"/>
        <w:numPr>
          <w:ilvl w:val="0"/>
          <w:numId w:val="0"/>
        </w:numPr>
        <w:tabs>
          <w:tab w:val="left" w:pos="567"/>
        </w:tabs>
      </w:pPr>
      <w:r>
        <w:t>2.</w:t>
      </w:r>
      <w:r>
        <w:tab/>
        <w:t>Wanneer de dag voor het indienen van de rapportage in de lidstaat van de bevoegde autoriteit waarbij de rapportage moet worden ingeleverd, op een feestdag of op een zaterdag of zondag valt, wordt de rapportage op de eerstvolgende werkdag ingediend.</w:t>
      </w:r>
    </w:p>
    <w:p w14:paraId="0DD31745" w14:textId="77777777" w:rsidR="005D744E" w:rsidRDefault="00196D69">
      <w:pPr>
        <w:pStyle w:val="NumPar1"/>
        <w:numPr>
          <w:ilvl w:val="0"/>
          <w:numId w:val="0"/>
        </w:numPr>
        <w:tabs>
          <w:tab w:val="left" w:pos="567"/>
        </w:tabs>
      </w:pPr>
      <w:r>
        <w:t>3.</w:t>
      </w:r>
      <w:r>
        <w:tab/>
        <w:t>Wanneer beleggingsondernemingen hun financiële informatie rapporteren op rapportagereferentiedata die zijn aangepast op basis van het einde van hun boekjaar zoals beschreven in artikel 1, lid 2, van deze verordening, kunnen de indieningsdata dienovereenkomstig worden aangepast, zodat vanaf de aangepaste rapportagereferentiedatum dezelfde periode voor het indienen van de informatie wordt aangehouden.</w:t>
      </w:r>
    </w:p>
    <w:p w14:paraId="76306AA2" w14:textId="77777777" w:rsidR="005D744E" w:rsidRDefault="00196D69">
      <w:pPr>
        <w:pStyle w:val="NumPar1"/>
        <w:numPr>
          <w:ilvl w:val="0"/>
          <w:numId w:val="0"/>
        </w:numPr>
        <w:tabs>
          <w:tab w:val="left" w:pos="567"/>
        </w:tabs>
      </w:pPr>
      <w:r>
        <w:t>4.</w:t>
      </w:r>
      <w:r>
        <w:tab/>
        <w:t>Beleggingsondernemingen mogen ongecontroleerde cijfers indienen. Wanneer gecontroleerde cijfers afwijken van ingediende ongecontroleerde cijfers, worden de herziene, gecontroleerde cijfers onverwijld ingediend. Voor de toepassing van dit artikel zijn “ongecontroleerde cijfers” cijfers waarvoor geen controleverklaring is afgegeven door een externe accountant, terwijl gecontroleerde cijfers cijfers zijn die zijn gecontroleerd door een externe accountant die daarvoor een controleverklaring heeft afgegeven.</w:t>
      </w:r>
    </w:p>
    <w:p w14:paraId="3A77CE60" w14:textId="77777777" w:rsidR="005D744E" w:rsidRDefault="00196D69">
      <w:pPr>
        <w:pStyle w:val="NumPar1"/>
        <w:numPr>
          <w:ilvl w:val="0"/>
          <w:numId w:val="0"/>
        </w:numPr>
        <w:tabs>
          <w:tab w:val="left" w:pos="567"/>
        </w:tabs>
      </w:pPr>
      <w:r>
        <w:t>5.</w:t>
      </w:r>
      <w:r>
        <w:tab/>
        <w:t>Correcties van de ingediende rapportage worden onverwijld bij de bevoegde autoriteiten ingediend.</w:t>
      </w:r>
    </w:p>
    <w:p w14:paraId="213506BA" w14:textId="77777777" w:rsidR="005D744E" w:rsidRPr="00AC06AB" w:rsidRDefault="00196D69">
      <w:pPr>
        <w:pStyle w:val="Titrearticle"/>
      </w:pPr>
      <w:r w:rsidRPr="00AC06AB">
        <w:lastRenderedPageBreak/>
        <w:t>Artikel 3</w:t>
      </w:r>
    </w:p>
    <w:p w14:paraId="0A4FDCD9" w14:textId="77777777" w:rsidR="005D744E" w:rsidRDefault="00196D69">
      <w:pPr>
        <w:pStyle w:val="Titrearticle"/>
        <w:spacing w:before="120"/>
        <w:rPr>
          <w:b/>
          <w:i w:val="0"/>
        </w:rPr>
      </w:pPr>
      <w:r>
        <w:rPr>
          <w:b/>
          <w:i w:val="0"/>
        </w:rPr>
        <w:t>Toepassing van rapportagevereisten op individuele basis</w:t>
      </w:r>
    </w:p>
    <w:p w14:paraId="34D82B0D" w14:textId="77777777" w:rsidR="005D744E" w:rsidRDefault="00196D69">
      <w:r>
        <w:t>Om op individuele basis aan de rapportagevereisten van artikel 54 van Verordening (EU) 2019/2033 te voldoen, rapporteren beleggingsondernemingen de in de artikelen 5, 6 en 7 van deze verordening genoemde informatie volgens de daarin genoemde frequentie.</w:t>
      </w:r>
    </w:p>
    <w:p w14:paraId="63F870BB" w14:textId="77777777" w:rsidR="005D744E" w:rsidRPr="00AC06AB" w:rsidRDefault="00196D69">
      <w:pPr>
        <w:pStyle w:val="Titrearticle"/>
      </w:pPr>
      <w:r w:rsidRPr="00AC06AB">
        <w:t>Artikel 4</w:t>
      </w:r>
    </w:p>
    <w:p w14:paraId="4D099C0F" w14:textId="77777777" w:rsidR="005D744E" w:rsidRDefault="00196D69">
      <w:pPr>
        <w:pStyle w:val="Titrearticle"/>
        <w:spacing w:before="120"/>
        <w:rPr>
          <w:b/>
          <w:i w:val="0"/>
        </w:rPr>
      </w:pPr>
      <w:r>
        <w:rPr>
          <w:b/>
          <w:i w:val="0"/>
        </w:rPr>
        <w:t>Toepassing van rapportagevereisten op geconsolideerde basis</w:t>
      </w:r>
    </w:p>
    <w:p w14:paraId="04B4DB65" w14:textId="77777777" w:rsidR="005D744E" w:rsidRDefault="00196D69">
      <w:pPr>
        <w:rPr>
          <w:i/>
        </w:rPr>
      </w:pPr>
      <w:r>
        <w:t>Om op geconsolideerde basis aan de rapportagevereisten van artikel 54 van Verordening (EU) 2019/2033 te voldoen, rapporteren beleggingsondernemingen de in de artikelen 5 en 6 van deze uitvoeringsverordening genoemde informatie volgens de daarin vastgestelde frequentie.</w:t>
      </w:r>
    </w:p>
    <w:p w14:paraId="29517368" w14:textId="77777777" w:rsidR="005D744E" w:rsidRPr="00AC06AB" w:rsidRDefault="00196D69">
      <w:pPr>
        <w:pStyle w:val="Titrearticle"/>
      </w:pPr>
      <w:r w:rsidRPr="00AC06AB">
        <w:t>Artikel 5</w:t>
      </w:r>
    </w:p>
    <w:p w14:paraId="34C51BB9" w14:textId="77777777" w:rsidR="005D744E" w:rsidRDefault="00196D69">
      <w:pPr>
        <w:pStyle w:val="Titrearticle"/>
        <w:spacing w:before="120"/>
        <w:rPr>
          <w:b/>
          <w:i w:val="0"/>
        </w:rPr>
      </w:pPr>
      <w:r>
        <w:rPr>
          <w:b/>
          <w:i w:val="0"/>
        </w:rPr>
        <w:t>Format en frequentie van de rapportage door beleggingsondernemingen niet zijnde kleine en niet-verweven beleggingsondernemingen</w:t>
      </w:r>
    </w:p>
    <w:p w14:paraId="08C551DE" w14:textId="77777777" w:rsidR="005D744E" w:rsidRDefault="00196D69">
      <w:pPr>
        <w:pStyle w:val="NumPar1"/>
        <w:numPr>
          <w:ilvl w:val="0"/>
          <w:numId w:val="0"/>
        </w:numPr>
        <w:tabs>
          <w:tab w:val="left" w:pos="567"/>
        </w:tabs>
      </w:pPr>
      <w:r>
        <w:t>1.</w:t>
      </w:r>
      <w:r>
        <w:tab/>
        <w:t>Beleggingsondernemingen niet zijnde kleine en niet-verweven beleggingsondernemingen rapporteren op kwartaalbasis de door artikel 54, leden 1 en 2, van Verordening (EU) 2019/2033 voorgeschreven informatie aan de hand van de in bijlage I bij deze verordening vastgestelde templates overeenkomstig de in bijlage II bij deze verordening gegeven instructies.</w:t>
      </w:r>
    </w:p>
    <w:p w14:paraId="14E253F8" w14:textId="77777777" w:rsidR="005D744E" w:rsidRPr="00AC06AB" w:rsidRDefault="00196D69">
      <w:pPr>
        <w:pStyle w:val="NumPar1"/>
        <w:numPr>
          <w:ilvl w:val="0"/>
          <w:numId w:val="0"/>
        </w:numPr>
        <w:tabs>
          <w:tab w:val="left" w:pos="567"/>
        </w:tabs>
        <w:rPr>
          <w:szCs w:val="24"/>
        </w:rPr>
      </w:pPr>
      <w:r>
        <w:rPr>
          <w:szCs w:val="24"/>
        </w:rPr>
        <w:t>2.</w:t>
      </w:r>
      <w:r>
        <w:rPr>
          <w:szCs w:val="24"/>
        </w:rPr>
        <w:tab/>
      </w:r>
      <w:r>
        <w:t xml:space="preserve">Beleggingsondernemingen niet zijnde kleine en niet-verweven beleggingsondernemingen die overeenkomstig artikel 21, lid 1, van Verordening (EU) 2019/2033 het RtM K‐factorvereiste op basis van het K‐NPR bepalen, rapporteren op </w:t>
      </w:r>
      <w:r w:rsidRPr="00AC06AB">
        <w:t>kwartaalbasis de in de templates C</w:t>
      </w:r>
      <w:r w:rsidR="00AC06AB">
        <w:t> </w:t>
      </w:r>
      <w:r w:rsidRPr="00AC06AB">
        <w:t>18.00 tot en met C</w:t>
      </w:r>
      <w:r w:rsidR="00AC06AB">
        <w:t> </w:t>
      </w:r>
      <w:r w:rsidRPr="00AC06AB">
        <w:t>24.00 van bijlage I bij Uitvoeringsverordening (EU) 2021/451 van de Commissie</w:t>
      </w:r>
      <w:r w:rsidR="00AC06AB">
        <w:rPr>
          <w:rStyle w:val="FootnoteReference"/>
        </w:rPr>
        <w:footnoteReference w:id="3"/>
      </w:r>
      <w:r w:rsidRPr="00AC06AB">
        <w:t xml:space="preserve"> vermelde informatie overeenkomstig de in deel 2 van bijlage II bij die uitvoeringsverordening gegeven instructies.</w:t>
      </w:r>
    </w:p>
    <w:p w14:paraId="49BC0BEA" w14:textId="77777777" w:rsidR="005D744E" w:rsidRPr="00AC06AB" w:rsidRDefault="00196D69">
      <w:pPr>
        <w:pStyle w:val="NumPar1"/>
        <w:numPr>
          <w:ilvl w:val="0"/>
          <w:numId w:val="0"/>
        </w:numPr>
        <w:tabs>
          <w:tab w:val="left" w:pos="567"/>
        </w:tabs>
        <w:rPr>
          <w:szCs w:val="24"/>
        </w:rPr>
      </w:pPr>
      <w:r w:rsidRPr="00AC06AB">
        <w:rPr>
          <w:szCs w:val="24"/>
        </w:rPr>
        <w:t>3.</w:t>
      </w:r>
      <w:r w:rsidRPr="00AC06AB">
        <w:rPr>
          <w:szCs w:val="24"/>
        </w:rPr>
        <w:tab/>
      </w:r>
      <w:r w:rsidRPr="00AC06AB">
        <w:t>Beleggingsondernemingen niet zijnde kleine en niet-verweven beleggingsondernemingen die gebruikmaken van de afwijking van artikel 25, lid 4, van Verordening (EU) 2019/2033, rapporteren op kwartaalbasis de in template C</w:t>
      </w:r>
      <w:r w:rsidR="00AC06AB">
        <w:t> </w:t>
      </w:r>
      <w:r w:rsidRPr="00AC06AB">
        <w:t>34.02 van bijlage I bij Uitvoeringsverordening (EU) 2021/451 vermelde informatie overeenkomstig de in deel 2 van bijlage II bij die uitvoeringsverordening gegeven instructies.</w:t>
      </w:r>
    </w:p>
    <w:p w14:paraId="4E21DA09" w14:textId="77777777" w:rsidR="005D744E" w:rsidRDefault="00196D69">
      <w:pPr>
        <w:pStyle w:val="NumPar1"/>
        <w:numPr>
          <w:ilvl w:val="0"/>
          <w:numId w:val="0"/>
        </w:numPr>
        <w:tabs>
          <w:tab w:val="left" w:pos="567"/>
        </w:tabs>
        <w:rPr>
          <w:szCs w:val="24"/>
        </w:rPr>
      </w:pPr>
      <w:r w:rsidRPr="00AC06AB">
        <w:rPr>
          <w:szCs w:val="24"/>
        </w:rPr>
        <w:t>4.</w:t>
      </w:r>
      <w:r w:rsidRPr="00AC06AB">
        <w:rPr>
          <w:szCs w:val="24"/>
        </w:rPr>
        <w:tab/>
      </w:r>
      <w:r w:rsidRPr="00AC06AB">
        <w:t>Beleggingsondernemingen niet zijnde kleine en niet-verweven beleggingsondernemingen die gebruikmaken van de afwijking van artikel 25, lid 5, tweede alinea, van Verordening (EU) 2019/2033, rapporteren op kwartaalbasis de in template C</w:t>
      </w:r>
      <w:r w:rsidR="00AC06AB">
        <w:t> </w:t>
      </w:r>
      <w:r w:rsidRPr="00AC06AB">
        <w:t>25.00</w:t>
      </w:r>
      <w:r>
        <w:t xml:space="preserve"> van bijlage I bij Uitvoeringsverordening (EU) 2021/451 vermelde informatie overeenkomstig de in deel 2 van bijlage II bij die uitvoeringsverordening gegeven instructies.</w:t>
      </w:r>
    </w:p>
    <w:p w14:paraId="03B676CC" w14:textId="77777777" w:rsidR="005D744E" w:rsidRPr="00AC06AB" w:rsidRDefault="00196D69">
      <w:pPr>
        <w:pStyle w:val="Titrearticle"/>
      </w:pPr>
      <w:r w:rsidRPr="00AC06AB">
        <w:t>Artikel 6</w:t>
      </w:r>
    </w:p>
    <w:p w14:paraId="09F81654" w14:textId="77777777" w:rsidR="005D744E" w:rsidRDefault="00196D69">
      <w:pPr>
        <w:pStyle w:val="Titrearticle"/>
        <w:spacing w:before="120"/>
        <w:rPr>
          <w:b/>
          <w:i w:val="0"/>
        </w:rPr>
      </w:pPr>
      <w:r>
        <w:rPr>
          <w:b/>
          <w:i w:val="0"/>
        </w:rPr>
        <w:t>Format en frequentie van de rapportage door kleine en niet-verweven beleggingsondernemingen</w:t>
      </w:r>
    </w:p>
    <w:p w14:paraId="0D7D3A0F" w14:textId="77777777" w:rsidR="005D744E" w:rsidRPr="00AC06AB" w:rsidRDefault="00196D69">
      <w:pPr>
        <w:pStyle w:val="NumPar1"/>
        <w:numPr>
          <w:ilvl w:val="0"/>
          <w:numId w:val="0"/>
        </w:numPr>
        <w:tabs>
          <w:tab w:val="left" w:pos="567"/>
        </w:tabs>
      </w:pPr>
      <w:r>
        <w:t>1.</w:t>
      </w:r>
      <w:r>
        <w:tab/>
        <w:t xml:space="preserve">Kleine en niet-verweven beleggingsondernemingen rapporteren op jaarbasis de in de templates van bijlage III bij deze verordening vermelde informatie overeenkomstig de </w:t>
      </w:r>
      <w:r>
        <w:lastRenderedPageBreak/>
        <w:t xml:space="preserve">instructies van bijlage IV bij deze verordening. Beleggingsondernemingen die aanspraak </w:t>
      </w:r>
      <w:r w:rsidRPr="00AC06AB">
        <w:t>kunnen maken op de in artikel 43, lid 1, tweede alinea, van Verordening (EU) 2019/2033 bedoelde vrijstelling, zijn vrijgesteld van de verplichting om de in template IF</w:t>
      </w:r>
      <w:r w:rsidR="00AC06AB" w:rsidRPr="00AC06AB">
        <w:t> </w:t>
      </w:r>
      <w:r w:rsidRPr="00AC06AB">
        <w:t>09.01 van bijlage III bij deze verordening vermelde informatie in te dienen.</w:t>
      </w:r>
    </w:p>
    <w:p w14:paraId="18290501" w14:textId="77777777" w:rsidR="005D744E" w:rsidRPr="00AC06AB" w:rsidRDefault="00196D69">
      <w:pPr>
        <w:pStyle w:val="Titrearticle"/>
      </w:pPr>
      <w:r w:rsidRPr="00AC06AB">
        <w:t>Artikel 7</w:t>
      </w:r>
    </w:p>
    <w:p w14:paraId="78B1A9A3" w14:textId="77777777" w:rsidR="005D744E" w:rsidRDefault="00196D69">
      <w:pPr>
        <w:pStyle w:val="Titrearticle"/>
        <w:spacing w:before="120"/>
        <w:rPr>
          <w:b/>
          <w:i w:val="0"/>
        </w:rPr>
      </w:pPr>
      <w:r>
        <w:rPr>
          <w:b/>
          <w:i w:val="0"/>
        </w:rPr>
        <w:t>Format en frequentie van de rapportage door voor artikel 8 van Verordening (EU) 2019/2033 in aanmerking komende entiteiten</w:t>
      </w:r>
    </w:p>
    <w:p w14:paraId="52C5CDD9" w14:textId="77777777" w:rsidR="005D744E" w:rsidRDefault="00196D69">
      <w:pPr>
        <w:rPr>
          <w:rFonts w:eastAsia="Times New Roman"/>
          <w:szCs w:val="24"/>
        </w:rPr>
      </w:pPr>
      <w:r>
        <w:t>In afwijking van artikel 4 van deze verordening rapporteren de in artikel 8, lid 3, van Verordening (EU) 2019/2033 bedoelde entiteiten die voor de toepassing van dat artikel in aanmerking komen, op kwartaalbasis de in de templates van bijlage VIII bij deze verordening vermelde informatie overeenkomstig de in bijlage IX bij deze verordening gegeven instructies.</w:t>
      </w:r>
    </w:p>
    <w:p w14:paraId="0976CC96" w14:textId="77777777" w:rsidR="005D744E" w:rsidRPr="00AC06AB" w:rsidRDefault="00196D69">
      <w:pPr>
        <w:pStyle w:val="Titrearticle"/>
      </w:pPr>
      <w:r w:rsidRPr="00AC06AB">
        <w:t>Artikel 8</w:t>
      </w:r>
    </w:p>
    <w:p w14:paraId="2D93464C" w14:textId="77777777" w:rsidR="005D744E" w:rsidRDefault="00196D69">
      <w:pPr>
        <w:pStyle w:val="Titrearticle"/>
        <w:spacing w:before="120"/>
        <w:rPr>
          <w:b/>
          <w:i w:val="0"/>
        </w:rPr>
      </w:pPr>
      <w:r>
        <w:rPr>
          <w:b/>
          <w:i w:val="0"/>
        </w:rPr>
        <w:t>Nauwkeurigheid van data en informatie waarvan indieningen vergezeld moeten gaan</w:t>
      </w:r>
    </w:p>
    <w:p w14:paraId="05FCA71B" w14:textId="77777777" w:rsidR="005D744E" w:rsidRDefault="00196D69">
      <w:pPr>
        <w:pStyle w:val="NumPar1"/>
        <w:numPr>
          <w:ilvl w:val="0"/>
          <w:numId w:val="0"/>
        </w:numPr>
        <w:tabs>
          <w:tab w:val="left" w:pos="567"/>
        </w:tabs>
      </w:pPr>
      <w:r>
        <w:t>1.</w:t>
      </w:r>
      <w:r>
        <w:tab/>
        <w:t>Beleggingsondernemingen dienen de in deze verordening bedoelde informatie in de door bevoegde autoriteiten formats voor data-uitwisseling en -presentatie in volgens de definitie van datapunten uit het Data Point Model (DPM) en de validatievoorschriften in bijlage V, en houden zich daarbij aan de volgende voorschriften:</w:t>
      </w:r>
    </w:p>
    <w:p w14:paraId="48A373F3" w14:textId="77777777" w:rsidR="005D744E" w:rsidRDefault="00196D69">
      <w:pPr>
        <w:pStyle w:val="Point1letter"/>
        <w:numPr>
          <w:ilvl w:val="0"/>
          <w:numId w:val="0"/>
        </w:numPr>
        <w:ind w:left="567" w:hanging="567"/>
      </w:pPr>
      <w:r>
        <w:t>a)</w:t>
      </w:r>
      <w:r>
        <w:tab/>
        <w:t>bij het indienen van data wordt niet-gevraagde of niet-toepasselijke informatie achterwege gelaten;</w:t>
      </w:r>
    </w:p>
    <w:p w14:paraId="41A41382" w14:textId="77777777" w:rsidR="005D744E" w:rsidRDefault="00196D69">
      <w:pPr>
        <w:pStyle w:val="Point1letter"/>
        <w:numPr>
          <w:ilvl w:val="0"/>
          <w:numId w:val="0"/>
        </w:numPr>
        <w:ind w:left="567" w:hanging="567"/>
      </w:pPr>
      <w:r>
        <w:t>b)</w:t>
      </w:r>
      <w:r>
        <w:tab/>
        <w:t>numerieke waarden worden op de volgende wijze als feitelijke informatie ingediend:</w:t>
      </w:r>
    </w:p>
    <w:p w14:paraId="4E8D4116" w14:textId="77777777" w:rsidR="005D744E" w:rsidRDefault="00196D69">
      <w:pPr>
        <w:pStyle w:val="Point2"/>
        <w:ind w:left="1134"/>
      </w:pPr>
      <w:r>
        <w:t>i)</w:t>
      </w:r>
      <w:r>
        <w:tab/>
        <w:t>datapunten van het datatype “Monetair” worden met een minimale nauwkeurigheid van duizendtallen gerapporteerd;</w:t>
      </w:r>
    </w:p>
    <w:p w14:paraId="1C06C12F" w14:textId="77777777" w:rsidR="005D744E" w:rsidRDefault="00196D69">
      <w:pPr>
        <w:pStyle w:val="Point2"/>
        <w:ind w:left="1134"/>
      </w:pPr>
      <w:r>
        <w:t>ii)</w:t>
      </w:r>
      <w:r>
        <w:tab/>
        <w:t>datapunten van het datatype “Percentage” worden met een minimale nauwkeurigheid van vier cijfers achter de komma uitgedrukt;</w:t>
      </w:r>
    </w:p>
    <w:p w14:paraId="4A2DF9E5" w14:textId="77777777" w:rsidR="005D744E" w:rsidRDefault="00196D69">
      <w:pPr>
        <w:pStyle w:val="Point2"/>
        <w:ind w:left="1134"/>
      </w:pPr>
      <w:r>
        <w:t>iii)</w:t>
      </w:r>
      <w:r>
        <w:tab/>
        <w:t>datapunten van het datatype “Geheel getal” worden zonder cijfers achter de komma en tot op de eenheid nauwkeurig gerapporteerd.</w:t>
      </w:r>
    </w:p>
    <w:p w14:paraId="60D8AD84" w14:textId="77777777" w:rsidR="005D744E" w:rsidRDefault="00196D69">
      <w:pPr>
        <w:pStyle w:val="NumPar1"/>
        <w:numPr>
          <w:ilvl w:val="0"/>
          <w:numId w:val="0"/>
        </w:numPr>
        <w:tabs>
          <w:tab w:val="left" w:pos="567"/>
        </w:tabs>
      </w:pPr>
      <w:r>
        <w:t>2.</w:t>
      </w:r>
      <w:r>
        <w:tab/>
        <w:t>Beleggingsondernemingen worden geïdentificeerd aan de hand van hun identificatiecode voor juridische entiteiten (LEI). Rechtspersonen en tegenpartijen die geen beleggingsondernemingen zijn, worden geïdentificeerd aan de hand van hun LEI (voor zover beschikbaar).</w:t>
      </w:r>
    </w:p>
    <w:p w14:paraId="73858D4C" w14:textId="77777777" w:rsidR="005D744E" w:rsidRDefault="00196D69">
      <w:pPr>
        <w:pStyle w:val="NumPar1"/>
        <w:numPr>
          <w:ilvl w:val="0"/>
          <w:numId w:val="0"/>
        </w:numPr>
        <w:tabs>
          <w:tab w:val="left" w:pos="567"/>
        </w:tabs>
      </w:pPr>
      <w:r>
        <w:t>3.</w:t>
      </w:r>
      <w:r>
        <w:tab/>
        <w:t>Informatie die beleggingsondernemingen op basis van deze verordening indienen, gaat van de volgende informatie vergezeld:</w:t>
      </w:r>
    </w:p>
    <w:p w14:paraId="658A8F79" w14:textId="77777777" w:rsidR="005D744E" w:rsidRDefault="00196D69">
      <w:pPr>
        <w:pStyle w:val="Point1letter"/>
        <w:numPr>
          <w:ilvl w:val="0"/>
          <w:numId w:val="0"/>
        </w:numPr>
        <w:ind w:left="567" w:hanging="567"/>
      </w:pPr>
      <w:r>
        <w:t>a)</w:t>
      </w:r>
      <w:r>
        <w:tab/>
        <w:t>rapportagereferentiedatum en referentieperiode;</w:t>
      </w:r>
    </w:p>
    <w:p w14:paraId="0FAF0055" w14:textId="77777777" w:rsidR="005D744E" w:rsidRDefault="00196D69">
      <w:pPr>
        <w:pStyle w:val="Point1letter"/>
        <w:numPr>
          <w:ilvl w:val="0"/>
          <w:numId w:val="0"/>
        </w:numPr>
        <w:ind w:left="567" w:hanging="567"/>
      </w:pPr>
      <w:r>
        <w:t>b)</w:t>
      </w:r>
      <w:r>
        <w:tab/>
        <w:t>rapportagevaluta;</w:t>
      </w:r>
    </w:p>
    <w:p w14:paraId="47AC7B85" w14:textId="77777777" w:rsidR="005D744E" w:rsidRDefault="00196D69">
      <w:pPr>
        <w:pStyle w:val="Point1letter"/>
        <w:numPr>
          <w:ilvl w:val="0"/>
          <w:numId w:val="0"/>
        </w:numPr>
        <w:ind w:left="567" w:hanging="567"/>
      </w:pPr>
      <w:r>
        <w:t>c)</w:t>
      </w:r>
      <w:r>
        <w:tab/>
        <w:t>standaard voor financiële verslaglegging;</w:t>
      </w:r>
    </w:p>
    <w:p w14:paraId="3F0B7176" w14:textId="77777777" w:rsidR="005D744E" w:rsidRDefault="00196D69">
      <w:pPr>
        <w:pStyle w:val="Point1letter"/>
        <w:numPr>
          <w:ilvl w:val="0"/>
          <w:numId w:val="0"/>
        </w:numPr>
        <w:ind w:left="567" w:hanging="567"/>
      </w:pPr>
      <w:r>
        <w:t>d)</w:t>
      </w:r>
      <w:r>
        <w:tab/>
        <w:t>identificatiecode voor juridische entiteiten (LEI) van de rapporterende instelling;</w:t>
      </w:r>
    </w:p>
    <w:p w14:paraId="350C9508" w14:textId="77777777" w:rsidR="005D744E" w:rsidRDefault="00196D69">
      <w:pPr>
        <w:pStyle w:val="Point1letter"/>
        <w:numPr>
          <w:ilvl w:val="0"/>
          <w:numId w:val="0"/>
        </w:numPr>
        <w:ind w:left="567" w:hanging="567"/>
      </w:pPr>
      <w:r>
        <w:t>e)</w:t>
      </w:r>
      <w:r>
        <w:tab/>
        <w:t>consolidatiekring.</w:t>
      </w:r>
    </w:p>
    <w:p w14:paraId="3EBE3397" w14:textId="77777777" w:rsidR="005D744E" w:rsidRDefault="00196D69">
      <w:pPr>
        <w:pStyle w:val="ChapterTitle"/>
      </w:pPr>
      <w:r>
        <w:lastRenderedPageBreak/>
        <w:t>HOOFDSTUK II</w:t>
      </w:r>
    </w:p>
    <w:p w14:paraId="21CDFFF9" w14:textId="77777777" w:rsidR="005D744E" w:rsidRDefault="00196D69">
      <w:pPr>
        <w:pStyle w:val="ChapterTitle"/>
      </w:pPr>
      <w:r>
        <w:t>OPENBAARMAKING DOOR BELEGGINGSONDERNEMINGEN</w:t>
      </w:r>
    </w:p>
    <w:p w14:paraId="76E1BE4F" w14:textId="77777777" w:rsidR="005D744E" w:rsidRPr="00AC06AB" w:rsidRDefault="00196D69">
      <w:pPr>
        <w:pStyle w:val="Titrearticle"/>
      </w:pPr>
      <w:r w:rsidRPr="00AC06AB">
        <w:t>Artikel 9</w:t>
      </w:r>
    </w:p>
    <w:p w14:paraId="4D4EC825" w14:textId="77777777" w:rsidR="005D744E" w:rsidRDefault="00196D69">
      <w:pPr>
        <w:pStyle w:val="Titrearticle"/>
        <w:spacing w:before="120"/>
        <w:rPr>
          <w:b/>
          <w:i w:val="0"/>
        </w:rPr>
      </w:pPr>
      <w:r>
        <w:rPr>
          <w:b/>
          <w:i w:val="0"/>
        </w:rPr>
        <w:t>Openbaarmakingsbeginselen</w:t>
      </w:r>
    </w:p>
    <w:p w14:paraId="62611F90" w14:textId="77777777" w:rsidR="005D744E" w:rsidRDefault="00196D69">
      <w:pPr>
        <w:pStyle w:val="NumPar1"/>
        <w:numPr>
          <w:ilvl w:val="0"/>
          <w:numId w:val="0"/>
        </w:numPr>
      </w:pPr>
      <w:r>
        <w:t>1.</w:t>
      </w:r>
      <w:r>
        <w:tab/>
        <w:t>Voor overeenkomstig deze verordening openbaar te maken informatie gelden de volgende beginselen:</w:t>
      </w:r>
    </w:p>
    <w:p w14:paraId="4304B546" w14:textId="77777777" w:rsidR="005D744E" w:rsidRDefault="00196D69">
      <w:pPr>
        <w:pStyle w:val="Point1letter"/>
        <w:numPr>
          <w:ilvl w:val="0"/>
          <w:numId w:val="0"/>
        </w:numPr>
        <w:ind w:left="567" w:hanging="567"/>
      </w:pPr>
      <w:r>
        <w:t>a)</w:t>
      </w:r>
      <w:r>
        <w:tab/>
        <w:t>voor openbaarmakingen geldt dezelfde mate van interne verificatie als voor het in het financieel verslag van de beleggingsonderneming opgenomen managementverslag;</w:t>
      </w:r>
    </w:p>
    <w:p w14:paraId="26AB0FBB" w14:textId="77777777" w:rsidR="005D744E" w:rsidRDefault="00196D69">
      <w:pPr>
        <w:pStyle w:val="Point1letter"/>
        <w:numPr>
          <w:ilvl w:val="0"/>
          <w:numId w:val="0"/>
        </w:numPr>
        <w:ind w:left="567" w:hanging="567"/>
      </w:pPr>
      <w:r>
        <w:t>b)</w:t>
      </w:r>
      <w:r>
        <w:tab/>
        <w:t>openbaarmakingen zijn duidelijk en worden gepresenteerd in een voor gebruikers begrijpelijke vorm en worden via een toegankelijk medium gecommuniceerd. Belangrijke berichten worden speciaal gemarkeerd en zijn gemakkelijk te vinden. Complexe kwesties worden in eenvoudige taal uitgelegd. Onderling samenhangende informatie wordt gebundeld gepresenteerd;</w:t>
      </w:r>
    </w:p>
    <w:p w14:paraId="0B872F7C" w14:textId="77777777" w:rsidR="005D744E" w:rsidRDefault="00196D69">
      <w:pPr>
        <w:pStyle w:val="Point1letter"/>
        <w:numPr>
          <w:ilvl w:val="0"/>
          <w:numId w:val="0"/>
        </w:numPr>
        <w:ind w:left="567" w:hanging="567"/>
      </w:pPr>
      <w:r>
        <w:t>c)</w:t>
      </w:r>
      <w:r>
        <w:tab/>
        <w:t>openbaarmakingen zijn betekenisvol en consistent in de tijd, zodat gebruikers van informatie deze kunnen vergelijken voor verschillende openbaarmakingsperiodes;</w:t>
      </w:r>
    </w:p>
    <w:p w14:paraId="5C356483" w14:textId="77777777" w:rsidR="005D744E" w:rsidRDefault="00196D69">
      <w:pPr>
        <w:pStyle w:val="Point1letter"/>
        <w:numPr>
          <w:ilvl w:val="0"/>
          <w:numId w:val="0"/>
        </w:numPr>
        <w:ind w:left="567" w:hanging="567"/>
      </w:pPr>
      <w:r>
        <w:t>d)</w:t>
      </w:r>
      <w:r>
        <w:tab/>
        <w:t>kwantitatieve openbaarmakingen gaan vergezeld van kwalitatieve toelichtingen en alle overige aanvullende informatie die noodzakelijk kan zijn om deze openbaarmakingen voor de gebruikers van die informatie begrijpelijk te maken, waarbij met name wordt gewezen op significante wijzigingen in bepaalde openbaarmakingen ten opzichte van de informatie in vorige openbaarmakingen.</w:t>
      </w:r>
    </w:p>
    <w:p w14:paraId="075DE5D6" w14:textId="77777777" w:rsidR="005D744E" w:rsidRPr="00AC06AB" w:rsidRDefault="00196D69">
      <w:pPr>
        <w:pStyle w:val="Titrearticle"/>
      </w:pPr>
      <w:r w:rsidRPr="00AC06AB">
        <w:t>Artikel 10</w:t>
      </w:r>
    </w:p>
    <w:p w14:paraId="3846F9F7" w14:textId="77777777" w:rsidR="005D744E" w:rsidRDefault="00196D69">
      <w:pPr>
        <w:pStyle w:val="Titrearticle"/>
        <w:spacing w:before="120"/>
        <w:rPr>
          <w:b/>
          <w:i w:val="0"/>
        </w:rPr>
      </w:pPr>
      <w:r>
        <w:rPr>
          <w:b/>
          <w:i w:val="0"/>
        </w:rPr>
        <w:t>Openbaarmaking van het eigen vermogen door beleggingsondernemingen</w:t>
      </w:r>
    </w:p>
    <w:p w14:paraId="15F04D8D" w14:textId="77777777" w:rsidR="005D744E" w:rsidRDefault="00196D69">
      <w:r>
        <w:t>Beleggingsondernemingen doen de overeenkomstig artikel 49, lid 1, van Verordening (EU) 2019/2033 verlangde openbaarmakingen over eigen vermogen aan de hand van de templates van bijlage VI bij deze verordening en overeenkomstig de desbetreffende instructies in bijlage VII bij deze verordening.</w:t>
      </w:r>
    </w:p>
    <w:p w14:paraId="3EDBE560" w14:textId="77777777" w:rsidR="005D744E" w:rsidRPr="00AC06AB" w:rsidRDefault="00196D69">
      <w:pPr>
        <w:pStyle w:val="Titrearticle"/>
      </w:pPr>
      <w:r w:rsidRPr="00AC06AB">
        <w:t>Artikel 11</w:t>
      </w:r>
    </w:p>
    <w:p w14:paraId="14FB74D6" w14:textId="77777777" w:rsidR="005D744E" w:rsidRDefault="00196D69">
      <w:pPr>
        <w:pStyle w:val="Titrearticle"/>
        <w:spacing w:before="120"/>
        <w:rPr>
          <w:b/>
          <w:i w:val="0"/>
        </w:rPr>
      </w:pPr>
      <w:r>
        <w:rPr>
          <w:b/>
          <w:i w:val="0"/>
        </w:rPr>
        <w:t>Algemene bepalingen inzake openbaarmakingen</w:t>
      </w:r>
    </w:p>
    <w:p w14:paraId="0DBDEADF" w14:textId="77777777" w:rsidR="005D744E" w:rsidRDefault="00196D69">
      <w:pPr>
        <w:pStyle w:val="NumPar1"/>
        <w:numPr>
          <w:ilvl w:val="0"/>
          <w:numId w:val="0"/>
        </w:numPr>
        <w:tabs>
          <w:tab w:val="left" w:pos="567"/>
        </w:tabs>
      </w:pPr>
      <w:r>
        <w:t>1.</w:t>
      </w:r>
      <w:r>
        <w:tab/>
        <w:t>Bij de openbaarmaking van de in artikel 10 van deze verordening bedoelde informatie zien beleggingsondernemingen erop toe dat numerieke waarden op de volgende wijze als feitelijke informatie worden ingediend:</w:t>
      </w:r>
    </w:p>
    <w:p w14:paraId="49E8182C" w14:textId="77777777" w:rsidR="005D744E" w:rsidRDefault="00196D69">
      <w:pPr>
        <w:pStyle w:val="Point1letter"/>
        <w:numPr>
          <w:ilvl w:val="0"/>
          <w:numId w:val="0"/>
        </w:numPr>
        <w:ind w:left="567" w:hanging="567"/>
      </w:pPr>
      <w:r>
        <w:t>a)</w:t>
      </w:r>
      <w:r>
        <w:tab/>
        <w:t>kwantitatieve monetaire data worden met een minimale nauwkeurigheid van duizendtallen openbaar gemaakt;</w:t>
      </w:r>
    </w:p>
    <w:p w14:paraId="67F41B6F" w14:textId="77777777" w:rsidR="005D744E" w:rsidRDefault="00196D69">
      <w:pPr>
        <w:pStyle w:val="Point1letter"/>
        <w:numPr>
          <w:ilvl w:val="0"/>
          <w:numId w:val="0"/>
        </w:numPr>
        <w:ind w:left="567" w:hanging="567"/>
      </w:pPr>
      <w:r>
        <w:t>b)</w:t>
      </w:r>
      <w:r>
        <w:tab/>
        <w:t>als “Percentage” openbaar gemaakte kwantitatieve data worden met een minimale nauwkeurigheid van vier cijfers achter de komma uitgedrukt.</w:t>
      </w:r>
    </w:p>
    <w:p w14:paraId="1ACD6E28" w14:textId="77777777" w:rsidR="005D744E" w:rsidRDefault="00196D69">
      <w:pPr>
        <w:pStyle w:val="NumPar1"/>
        <w:numPr>
          <w:ilvl w:val="0"/>
          <w:numId w:val="0"/>
        </w:numPr>
        <w:tabs>
          <w:tab w:val="left" w:pos="567"/>
        </w:tabs>
      </w:pPr>
      <w:r>
        <w:t>2.</w:t>
      </w:r>
      <w:r>
        <w:tab/>
        <w:t>Bij de openbaarmaking van de in artikel 10 van deze verordening bedoelde informatie zien beleggingsondernemingen erop toe dat bij de data ook alle volgende informatie wordt verschaft:</w:t>
      </w:r>
    </w:p>
    <w:p w14:paraId="5607BF89" w14:textId="77777777" w:rsidR="005D744E" w:rsidRDefault="00196D69">
      <w:pPr>
        <w:pStyle w:val="Point1letter"/>
        <w:numPr>
          <w:ilvl w:val="0"/>
          <w:numId w:val="0"/>
        </w:numPr>
        <w:ind w:left="567" w:hanging="567"/>
      </w:pPr>
      <w:r>
        <w:lastRenderedPageBreak/>
        <w:t>a)</w:t>
      </w:r>
      <w:r>
        <w:tab/>
        <w:t>referentiedatum en referentieperiode voor de openbaarmaking;</w:t>
      </w:r>
    </w:p>
    <w:p w14:paraId="024BBDCB" w14:textId="77777777" w:rsidR="005D744E" w:rsidRDefault="00196D69">
      <w:pPr>
        <w:pStyle w:val="Point1letter"/>
        <w:numPr>
          <w:ilvl w:val="0"/>
          <w:numId w:val="0"/>
        </w:numPr>
        <w:ind w:left="567" w:hanging="567"/>
      </w:pPr>
      <w:r>
        <w:t>b)</w:t>
      </w:r>
      <w:r>
        <w:tab/>
        <w:t>openbaarmakingsvaluta;</w:t>
      </w:r>
    </w:p>
    <w:p w14:paraId="2EBCD21D" w14:textId="77777777" w:rsidR="005D744E" w:rsidRDefault="00196D69">
      <w:pPr>
        <w:pStyle w:val="Point1letter"/>
        <w:numPr>
          <w:ilvl w:val="0"/>
          <w:numId w:val="0"/>
        </w:numPr>
        <w:ind w:left="567" w:hanging="567"/>
      </w:pPr>
      <w:r>
        <w:t>c)</w:t>
      </w:r>
      <w:r>
        <w:tab/>
        <w:t>naam en, in voorkomend geval, de identificatiecode voor juridische entiteiten (LEI) van de openbaarmakende entiteit;</w:t>
      </w:r>
    </w:p>
    <w:p w14:paraId="1CD57350" w14:textId="77777777" w:rsidR="005D744E" w:rsidRDefault="00196D69">
      <w:pPr>
        <w:pStyle w:val="Point1letter"/>
        <w:numPr>
          <w:ilvl w:val="0"/>
          <w:numId w:val="0"/>
        </w:numPr>
        <w:ind w:left="567" w:hanging="567"/>
      </w:pPr>
      <w:r>
        <w:t>d)</w:t>
      </w:r>
      <w:r>
        <w:tab/>
        <w:t>standaard voor financiële verslaglegging (in voorkomend geval);</w:t>
      </w:r>
    </w:p>
    <w:p w14:paraId="43B58733" w14:textId="77777777" w:rsidR="005D744E" w:rsidRDefault="00196D69">
      <w:pPr>
        <w:pStyle w:val="Point1letter"/>
        <w:numPr>
          <w:ilvl w:val="0"/>
          <w:numId w:val="0"/>
        </w:numPr>
        <w:ind w:left="567" w:hanging="567"/>
      </w:pPr>
      <w:r>
        <w:t>e)</w:t>
      </w:r>
      <w:r>
        <w:tab/>
        <w:t>de consolidatiekring (in voorkomend geval).</w:t>
      </w:r>
    </w:p>
    <w:p w14:paraId="26107FC7" w14:textId="77777777" w:rsidR="005D744E" w:rsidRDefault="00196D69">
      <w:pPr>
        <w:pStyle w:val="ChapterTitle"/>
      </w:pPr>
      <w:r>
        <w:t>HOOFDSTUK III</w:t>
      </w:r>
    </w:p>
    <w:p w14:paraId="6202BD5F" w14:textId="77777777" w:rsidR="005D744E" w:rsidRDefault="00196D69">
      <w:pPr>
        <w:pStyle w:val="ChapterTitle"/>
      </w:pPr>
      <w:r>
        <w:t>SLOTBEPALINGEN</w:t>
      </w:r>
    </w:p>
    <w:p w14:paraId="1E27DBAD" w14:textId="77777777" w:rsidR="005D744E" w:rsidRPr="00AC06AB" w:rsidRDefault="00196D69">
      <w:pPr>
        <w:pStyle w:val="Titrearticle"/>
        <w:spacing w:before="120"/>
      </w:pPr>
      <w:r w:rsidRPr="00AC06AB">
        <w:t>Artikel 12</w:t>
      </w:r>
    </w:p>
    <w:p w14:paraId="7A23407B" w14:textId="43B42E40" w:rsidR="005D744E" w:rsidRDefault="00196D69">
      <w:pPr>
        <w:pStyle w:val="Titrearticle"/>
        <w:spacing w:before="120"/>
        <w:rPr>
          <w:b/>
          <w:i w:val="0"/>
        </w:rPr>
      </w:pPr>
      <w:r>
        <w:rPr>
          <w:b/>
          <w:i w:val="0"/>
        </w:rPr>
        <w:t>Inwerkingtreding</w:t>
      </w:r>
    </w:p>
    <w:p w14:paraId="356D9736" w14:textId="77777777" w:rsidR="005D744E" w:rsidRDefault="00196D69">
      <w:r>
        <w:t xml:space="preserve">Deze verordening treedt in werking op de twintigste dag na die van de bekendmaking ervan in het </w:t>
      </w:r>
      <w:r>
        <w:rPr>
          <w:i/>
        </w:rPr>
        <w:t>Publicatieblad van de Europese Unie</w:t>
      </w:r>
      <w:r>
        <w:t>.</w:t>
      </w:r>
    </w:p>
    <w:p w14:paraId="484EB514" w14:textId="77777777" w:rsidR="005D744E" w:rsidRDefault="00196D69">
      <w:pPr>
        <w:pStyle w:val="Applicationdirecte"/>
      </w:pPr>
      <w:r>
        <w:t>Deze verordening is verbindend in al haar onderdelen en is rechtstreeks toepasselijk in elke lidstaat.</w:t>
      </w:r>
    </w:p>
    <w:p w14:paraId="0E859E87" w14:textId="77777777" w:rsidR="005D744E" w:rsidRDefault="00196D69">
      <w:pPr>
        <w:pStyle w:val="Fait"/>
      </w:pPr>
      <w:r>
        <w:t>Gedaan te Brussel,</w:t>
      </w:r>
      <w:r w:rsidR="00AC06AB">
        <w:t xml:space="preserve"> 6 december 2021.</w:t>
      </w:r>
    </w:p>
    <w:p w14:paraId="371F67DA" w14:textId="77777777" w:rsidR="005D744E" w:rsidRDefault="00196D69">
      <w:pPr>
        <w:pStyle w:val="Institutionquisigne"/>
      </w:pPr>
      <w:r>
        <w:tab/>
        <w:t>Voor de Commissie</w:t>
      </w:r>
    </w:p>
    <w:p w14:paraId="4ADFE29F" w14:textId="77777777" w:rsidR="005D744E" w:rsidRDefault="00196D69">
      <w:pPr>
        <w:pStyle w:val="Personnequisigne"/>
      </w:pPr>
      <w:r>
        <w:tab/>
        <w:t>De voorzitter</w:t>
      </w:r>
    </w:p>
    <w:p w14:paraId="0A05D218" w14:textId="77777777" w:rsidR="005D744E" w:rsidRDefault="00196D69">
      <w:pPr>
        <w:pStyle w:val="Personnequisigne"/>
        <w:rPr>
          <w:i w:val="0"/>
        </w:rPr>
      </w:pPr>
      <w:r w:rsidRPr="00AC06AB">
        <w:rPr>
          <w:i w:val="0"/>
        </w:rPr>
        <w:tab/>
        <w:t>Ursula VON DER LEYEN</w:t>
      </w:r>
    </w:p>
    <w:p w14:paraId="1C599E84" w14:textId="77777777" w:rsidR="00AC06AB" w:rsidRPr="00AC06AB" w:rsidRDefault="00AC06AB" w:rsidP="00AC06AB">
      <w:pPr>
        <w:pStyle w:val="Institutionquisigne"/>
        <w:jc w:val="center"/>
        <w:rPr>
          <w:i w:val="0"/>
        </w:rPr>
      </w:pPr>
      <w:r>
        <w:rPr>
          <w:i w:val="0"/>
        </w:rPr>
        <w:t>________</w:t>
      </w:r>
    </w:p>
    <w:sectPr w:rsidR="00AC06AB" w:rsidRPr="00AC06AB">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BBC10" w14:textId="77777777" w:rsidR="00196D69" w:rsidRDefault="00196D69">
      <w:pPr>
        <w:spacing w:before="0" w:after="0"/>
      </w:pPr>
      <w:r>
        <w:separator/>
      </w:r>
    </w:p>
  </w:endnote>
  <w:endnote w:type="continuationSeparator" w:id="0">
    <w:p w14:paraId="55FBBBC1" w14:textId="77777777" w:rsidR="00196D69" w:rsidRDefault="00196D6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DD96F" w14:textId="77777777" w:rsidR="005D744E" w:rsidRDefault="005D7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3730D" w14:textId="77777777" w:rsidR="005D744E" w:rsidRDefault="005D744E">
    <w:pPr>
      <w:pStyle w:val="Footer"/>
      <w:tabs>
        <w:tab w:val="clear" w:pos="4535"/>
        <w:tab w:val="clear" w:pos="9921"/>
      </w:tabs>
      <w:ind w:left="0" w:righ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F1E67" w14:textId="77777777" w:rsidR="005D744E" w:rsidRDefault="005D7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2DF7B" w14:textId="77777777" w:rsidR="00196D69" w:rsidRDefault="00196D69">
      <w:pPr>
        <w:spacing w:before="0" w:after="0"/>
      </w:pPr>
      <w:r>
        <w:separator/>
      </w:r>
    </w:p>
  </w:footnote>
  <w:footnote w:type="continuationSeparator" w:id="0">
    <w:p w14:paraId="72910115" w14:textId="77777777" w:rsidR="00196D69" w:rsidRDefault="00196D69">
      <w:pPr>
        <w:spacing w:before="0" w:after="0"/>
      </w:pPr>
      <w:r>
        <w:continuationSeparator/>
      </w:r>
    </w:p>
  </w:footnote>
  <w:footnote w:id="1">
    <w:p w14:paraId="059FE668" w14:textId="77777777" w:rsidR="005D744E" w:rsidRDefault="00196D69">
      <w:pPr>
        <w:pStyle w:val="FootnoteText"/>
      </w:pPr>
      <w:r>
        <w:rPr>
          <w:rStyle w:val="FootnoteReference"/>
        </w:rPr>
        <w:footnoteRef/>
      </w:r>
      <w:r>
        <w:tab/>
        <w:t>PB L 314 van 5.12.2019, blz. 1.</w:t>
      </w:r>
    </w:p>
  </w:footnote>
  <w:footnote w:id="2">
    <w:p w14:paraId="6256EA10" w14:textId="77777777" w:rsidR="005D744E" w:rsidRDefault="00196D69">
      <w:pPr>
        <w:pStyle w:val="FootnoteText"/>
      </w:pPr>
      <w:r>
        <w:rPr>
          <w:rStyle w:val="FootnoteReference"/>
        </w:rPr>
        <w:footnoteRef/>
      </w:r>
      <w:r>
        <w:tab/>
        <w:t xml:space="preserve">Verordening (EU) </w:t>
      </w:r>
      <w:r w:rsidR="00FE29FF">
        <w:t>nr. </w:t>
      </w:r>
      <w:r>
        <w:t xml:space="preserve">1093/2010 van het Europees Parlement en de Raad van 24 november 2010 tot oprichting van een Europese toezichthoudende autoriteit (Europese Bankautoriteit), tot wijziging van Besluit </w:t>
      </w:r>
      <w:r w:rsidR="00FE29FF">
        <w:t>nr. </w:t>
      </w:r>
      <w:r>
        <w:t>716/2009/EG en tot intrekking van Besluit 2009/78/EG van de Commissie (PB L 331 van 15.12.2010, blz. 12).</w:t>
      </w:r>
    </w:p>
  </w:footnote>
  <w:footnote w:id="3">
    <w:p w14:paraId="3B5E5030" w14:textId="77777777" w:rsidR="00AC06AB" w:rsidRPr="00AC06AB" w:rsidRDefault="00AC06AB" w:rsidP="00AC06AB">
      <w:pPr>
        <w:pStyle w:val="FootnoteText"/>
        <w:rPr>
          <w:lang w:val="nl-BE"/>
        </w:rPr>
      </w:pPr>
      <w:r>
        <w:rPr>
          <w:rStyle w:val="FootnoteReference"/>
        </w:rPr>
        <w:footnoteRef/>
      </w:r>
      <w:r>
        <w:tab/>
        <w:t>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van 19.3.2021,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29279" w14:textId="77777777" w:rsidR="005D744E" w:rsidRDefault="005D7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BF14E" w14:textId="48CFDEFE" w:rsidR="005D744E" w:rsidRDefault="00806787">
    <w:pPr>
      <w:pStyle w:val="Header"/>
    </w:pPr>
    <w:r>
      <w:rPr>
        <w:noProof/>
      </w:rPr>
      <mc:AlternateContent>
        <mc:Choice Requires="wps">
          <w:drawing>
            <wp:anchor distT="0" distB="0" distL="114300" distR="114300" simplePos="0" relativeHeight="251659264" behindDoc="0" locked="0" layoutInCell="0" allowOverlap="1" wp14:anchorId="69AA8386" wp14:editId="6B61EB12">
              <wp:simplePos x="0" y="0"/>
              <wp:positionH relativeFrom="page">
                <wp:posOffset>0</wp:posOffset>
              </wp:positionH>
              <wp:positionV relativeFrom="page">
                <wp:posOffset>190500</wp:posOffset>
              </wp:positionV>
              <wp:extent cx="7560945" cy="273050"/>
              <wp:effectExtent l="0" t="0" r="0" b="12700"/>
              <wp:wrapNone/>
              <wp:docPr id="1" name="MSIPCM28b844fe8db5f625efe6847e"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224B61" w14:textId="2661270E" w:rsidR="00806787" w:rsidRPr="00806787" w:rsidRDefault="00806787" w:rsidP="00806787">
                          <w:pPr>
                            <w:spacing w:before="0" w:after="0"/>
                            <w:jc w:val="left"/>
                            <w:rPr>
                              <w:rFonts w:ascii="Calibri" w:hAnsi="Calibri" w:cs="Calibri"/>
                              <w:color w:val="000000"/>
                            </w:rPr>
                          </w:pPr>
                          <w:r w:rsidRPr="00806787">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9AA8386" id="_x0000_t202" coordsize="21600,21600" o:spt="202" path="m,l,21600r21600,l21600,xe">
              <v:stroke joinstyle="miter"/>
              <v:path gradientshapeok="t" o:connecttype="rect"/>
            </v:shapetype>
            <v:shape id="MSIPCM28b844fe8db5f625efe6847e"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AiK9bQ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75224B61" w14:textId="2661270E" w:rsidR="00806787" w:rsidRPr="00806787" w:rsidRDefault="00806787" w:rsidP="00806787">
                    <w:pPr>
                      <w:spacing w:before="0" w:after="0"/>
                      <w:jc w:val="left"/>
                      <w:rPr>
                        <w:rFonts w:ascii="Calibri" w:hAnsi="Calibri" w:cs="Calibri"/>
                        <w:color w:val="000000"/>
                      </w:rPr>
                    </w:pPr>
                    <w:r w:rsidRPr="00806787">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10104" w14:textId="77777777" w:rsidR="005D744E" w:rsidRDefault="005D7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nl-NL" w:vendorID="64" w:dllVersion="6"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3:54:5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74E9C66E-DC02-4CE5-93DE-DFCB2C01225A"/>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voor de toepassing van Verordening (EU) 2019/2033 van het Europees Parlement en de Raad wat betreft toezichtrapportage en openbaarmakingen door beleggingsondernemingen"/>
    <w:docVar w:name="LW_TYPE.DOC.CP" w:val="UITVOERINGSVERORDENING (EU) \u8230?/... VAN DE COMMISSIE"/>
  </w:docVars>
  <w:rsids>
    <w:rsidRoot w:val="005D744E"/>
    <w:rsid w:val="00196D69"/>
    <w:rsid w:val="005D744E"/>
    <w:rsid w:val="00806787"/>
    <w:rsid w:val="00AC06AB"/>
    <w:rsid w:val="00FE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8C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nl-NL"/>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nl-NL"/>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C4303-2ECE-4858-8248-B681342F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2438</Words>
  <Characters>13900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2022-01-14T16:59:51Z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c99a3b0b-8f14-4bf7-a06f-74d97315554e</vt:lpwstr>
  </property>
  <property fmtid="{D5CDD505-2E9C-101B-9397-08002B2CF9AE}" pid="15" name="MSIP_Label_5c7eb9de-735b-4a68-8fe4-c9c62709b012_ContentBits">
    <vt:lpwstr>1</vt:lpwstr>
  </property>
</Properties>
</file>