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A7C869" w14:textId="77777777" w:rsidR="00A83313" w:rsidRPr="007E5B57" w:rsidRDefault="004C05DF">
      <w:pPr>
        <w:pStyle w:val="Typedudocument"/>
      </w:pPr>
      <w:r w:rsidRPr="007E5B57">
        <w:t>Vykonávacie nariadenie Komisie (EÚ) 2021</w:t>
      </w:r>
      <w:r w:rsidR="00C13E07" w:rsidRPr="007E5B57">
        <w:t>/…</w:t>
      </w:r>
    </w:p>
    <w:p w14:paraId="6FC06864" w14:textId="77777777" w:rsidR="00A83313" w:rsidRPr="007E5B57" w:rsidRDefault="00C13E07">
      <w:pPr>
        <w:pStyle w:val="Datedadoption"/>
      </w:pPr>
      <w:r w:rsidRPr="007E5B57">
        <w:t>z</w:t>
      </w:r>
      <w:r w:rsidR="004C05DF" w:rsidRPr="007E5B57">
        <w:t>o</w:t>
      </w:r>
      <w:r w:rsidRPr="007E5B57">
        <w:t> </w:t>
      </w:r>
      <w:r w:rsidR="004C05DF" w:rsidRPr="007E5B57">
        <w:t>6. decembra 2021</w:t>
      </w:r>
      <w:r w:rsidRPr="007E5B57">
        <w:t>,</w:t>
      </w:r>
    </w:p>
    <w:p w14:paraId="4371B518" w14:textId="77777777" w:rsidR="00A83313" w:rsidRPr="007E5B57" w:rsidRDefault="00C13E07">
      <w:pPr>
        <w:pStyle w:val="Titreobjet"/>
      </w:pPr>
      <w:r w:rsidRPr="007E5B57">
        <w:t>ktorým sa stanovujú vykonávacie technické predpisy na uplatňovanie nariadenia Európskeho parlamentu a Rady (EÚ) 2019/2033, pokiaľ ide o predkladanie správ a zverejňovanie informácií investičnými spoločnosťami na účely dohľadu</w:t>
      </w:r>
    </w:p>
    <w:p w14:paraId="7C3D41CA" w14:textId="77777777" w:rsidR="00A83313" w:rsidRPr="007E5B57" w:rsidRDefault="00C13E07">
      <w:pPr>
        <w:pStyle w:val="IntrtEEE"/>
        <w:rPr>
          <w:b/>
        </w:rPr>
      </w:pPr>
      <w:r w:rsidRPr="007E5B57">
        <w:rPr>
          <w:b/>
        </w:rPr>
        <w:t>(Text s významom pre EHP)</w:t>
      </w:r>
    </w:p>
    <w:p w14:paraId="5511EE0C" w14:textId="77777777" w:rsidR="00A83313" w:rsidRPr="007E5B57" w:rsidRDefault="00C13E07">
      <w:pPr>
        <w:pStyle w:val="Institutionquiagit"/>
      </w:pPr>
      <w:r w:rsidRPr="007E5B57">
        <w:t>EURÓPSKA KOMISIA,</w:t>
      </w:r>
    </w:p>
    <w:p w14:paraId="2BE63261" w14:textId="77777777" w:rsidR="00A83313" w:rsidRPr="007E5B57" w:rsidRDefault="00C13E07">
      <w:r w:rsidRPr="007E5B57">
        <w:t>so zreteľom na Zmluvu o fungovaní Európskej únie,</w:t>
      </w:r>
    </w:p>
    <w:p w14:paraId="39277BEB" w14:textId="77777777" w:rsidR="00A83313" w:rsidRPr="007E5B57" w:rsidRDefault="00C13E07">
      <w:r w:rsidRPr="007E5B57">
        <w:t>so zreteľom na nariadenie Európskeho parlamentu a Rady (EÚ) 2019/2033 z 27. novembra 2019 o prudenciálnych požiadavkách na investičné spoločnosti a o zmene nariadení (EÚ) č. 1093/2010, (EÚ) č. 575/2013, (EÚ) č. 600/2014 a (EÚ) č. 806/2014 </w:t>
      </w:r>
      <w:r w:rsidRPr="007E5B57">
        <w:rPr>
          <w:rStyle w:val="FootnoteReference"/>
        </w:rPr>
        <w:footnoteReference w:id="1"/>
      </w:r>
      <w:r w:rsidRPr="007E5B57">
        <w:t>, a najmä na jeho článok 49 ods. 2 a článok 54 ods. 3,</w:t>
      </w:r>
    </w:p>
    <w:p w14:paraId="3AC9C78E" w14:textId="77777777" w:rsidR="00A83313" w:rsidRPr="007E5B57" w:rsidRDefault="00C13E07">
      <w:r w:rsidRPr="007E5B57">
        <w:t>keďže:</w:t>
      </w:r>
    </w:p>
    <w:p w14:paraId="69F95C9D" w14:textId="77777777" w:rsidR="00A83313" w:rsidRPr="007E5B57" w:rsidRDefault="00C13E07">
      <w:pPr>
        <w:pStyle w:val="Considrant"/>
        <w:numPr>
          <w:ilvl w:val="0"/>
          <w:numId w:val="0"/>
        </w:numPr>
        <w:tabs>
          <w:tab w:val="left" w:pos="709"/>
        </w:tabs>
        <w:ind w:left="709" w:hanging="709"/>
      </w:pPr>
      <w:r w:rsidRPr="007E5B57">
        <w:t>(1)</w:t>
      </w:r>
      <w:r w:rsidRPr="007E5B57">
        <w:tab/>
        <w:t>Požiadavky na predkladanie správ pre investičné spoločnosti stanovené v článku 54 nariadenia (EÚ) 2019/2033 by mali byť prispôsobené obchodnej činnosti investičných spoločností a mali by byť primerané rozsahu a zložitosti rôznych investičných spoločností. V uvedených požiadavkách by sa malo zohľadniť najmä to, že určité investičné spoločnosti sa majú považovať za malé a neprepojené podľa podmienok stanovených v článku 12 nariadenia (EÚ) 2019/2033.</w:t>
      </w:r>
    </w:p>
    <w:p w14:paraId="1E62DE8F" w14:textId="77777777" w:rsidR="00A83313" w:rsidRPr="007E5B57" w:rsidRDefault="00C13E07">
      <w:pPr>
        <w:pStyle w:val="Considrant"/>
        <w:numPr>
          <w:ilvl w:val="0"/>
          <w:numId w:val="0"/>
        </w:numPr>
        <w:tabs>
          <w:tab w:val="left" w:pos="709"/>
        </w:tabs>
        <w:ind w:left="709" w:hanging="709"/>
      </w:pPr>
      <w:r w:rsidRPr="007E5B57">
        <w:t>(2)</w:t>
      </w:r>
      <w:r w:rsidRPr="007E5B57">
        <w:tab/>
        <w:t xml:space="preserve">Podľa článku 54 ods. 1 nariadenia (EÚ) 2019/2033 majú malé a neprepojené investičné spoločnosti oznamovať informácie o výške a zložení svojich vlastných zdrojov, svojich požiadavkách na vlastné zdroje, základe pre výpočet ich požiadaviek na vlastné zdroje a úrovni činnosti, pokiaľ ide o podmienky stanovené v článku 12 ods. 1 nariadenia (EÚ) 2019/2033. Malé a neprepojené spoločnosti preto nemusia oznamovať rovnako podrobné informácie ako ostatné investičné spoločnosti, na ktoré sa vzťahuje nariadenie (EÚ) 2019/2033. Vzory na oznamovanie informácií o výpočte K-faktora by sa preto nemali uplatňovať na malé a neprepojené spoločnosti. Okrem toho sú podľa článku 54 ods. 2 tretieho pododseku nariadenia (EÚ) 2019/2033 </w:t>
      </w:r>
      <w:bookmarkStart w:id="0" w:name="_DV_C108"/>
      <w:r w:rsidRPr="007E5B57">
        <w:t>malé a neprepojené spoločnosti oslobodené od povinnosti predkladať správy o riziku koncentrácie a príslušné orgány môžu oslobodiť malé a neprepojené spoločnosti od povinnosti predkladať správy o požiadavkách na likviditu</w:t>
      </w:r>
      <w:bookmarkStart w:id="1" w:name="_DV_M108"/>
      <w:bookmarkEnd w:id="0"/>
      <w:bookmarkEnd w:id="1"/>
      <w:r w:rsidRPr="007E5B57">
        <w:t>.</w:t>
      </w:r>
    </w:p>
    <w:p w14:paraId="5200E086" w14:textId="77777777" w:rsidR="00A83313" w:rsidRPr="007E5B57" w:rsidRDefault="00C13E07">
      <w:pPr>
        <w:pStyle w:val="Considrant"/>
        <w:numPr>
          <w:ilvl w:val="0"/>
          <w:numId w:val="0"/>
        </w:numPr>
        <w:tabs>
          <w:tab w:val="left" w:pos="709"/>
        </w:tabs>
        <w:ind w:left="709" w:hanging="709"/>
      </w:pPr>
      <w:r w:rsidRPr="007E5B57">
        <w:t>(3)</w:t>
      </w:r>
      <w:r w:rsidRPr="007E5B57">
        <w:tab/>
        <w:t>Všetky investičné spoločnosti, na ktoré sa vzťahuje nariadenie (EÚ) 2019/2033, by mali oznámiť profil svojej činnosti a svoju veľkosť, aby príslušné orgány mohli posúdiť, či tieto investičné spoločnosti spĺňajú podmienky stanovené v článku 12 nariadenia (EÚ) 2019/2033, aby mohli byť klasifikované ako malé a neprepojené investičné spoločnosti.</w:t>
      </w:r>
    </w:p>
    <w:p w14:paraId="06B266F3" w14:textId="77777777" w:rsidR="00A83313" w:rsidRPr="007E5B57" w:rsidRDefault="00C13E07">
      <w:pPr>
        <w:pStyle w:val="Considrant"/>
        <w:numPr>
          <w:ilvl w:val="0"/>
          <w:numId w:val="0"/>
        </w:numPr>
        <w:tabs>
          <w:tab w:val="left" w:pos="709"/>
        </w:tabs>
        <w:ind w:left="709" w:hanging="709"/>
      </w:pPr>
      <w:r w:rsidRPr="007E5B57">
        <w:t>(4)</w:t>
      </w:r>
      <w:r w:rsidRPr="007E5B57">
        <w:tab/>
        <w:t xml:space="preserve">S cieľom zabezpečiť transparentnosť pre ich investorov a širšie trhy sa v článku 46 nariadenia (EÚ) 2019/2033 vyžaduje, aby investičné spoločnosti iné než malé a neprepojené investičné spoločnosti zverejňovali informácie uvedené v šiestej časti </w:t>
      </w:r>
      <w:r w:rsidRPr="007E5B57">
        <w:lastRenderedPageBreak/>
        <w:t>uvedeného nariadenia. Malé a neprepojené investičné spoločnosti nepodliehajú uvedeným požiadavkám na zverejňovanie informácií s výnimkou prípadu, ak emitujú nástroje dodatočného kapitálu Tier 1 s cieľom zabezpečiť transparentnosť pre investorov investujúcich do týchto nástrojov.</w:t>
      </w:r>
    </w:p>
    <w:p w14:paraId="05242BD5" w14:textId="77777777" w:rsidR="00A83313" w:rsidRPr="007E5B57" w:rsidRDefault="00C13E07">
      <w:pPr>
        <w:pStyle w:val="Considrant"/>
        <w:numPr>
          <w:ilvl w:val="0"/>
          <w:numId w:val="0"/>
        </w:numPr>
        <w:tabs>
          <w:tab w:val="left" w:pos="709"/>
        </w:tabs>
        <w:ind w:left="709" w:hanging="709"/>
      </w:pPr>
      <w:r w:rsidRPr="007E5B57">
        <w:t>(5)</w:t>
      </w:r>
      <w:r w:rsidRPr="007E5B57">
        <w:tab/>
        <w:t>Týmto nariadením by sa investičným spoločnostiam mali poskytnúť vzory a tabuľky na poskytovanie dostatočne komplexných a porovnateľných informácií o zložení a kvalite ich vlastných zdrojov. Konkrétnejšie treba zaviesť vzor na zverejňovanie kvantitatívnych informácií o zložení vlastných zdrojov a flexibilný vzor pre zosúhlasenie regulatórnych vlastných zdrojov s auditovanou účtovnou závierkou. Z rovnakého dôvodu je takisto potrebné stanoviť vzor s informáciami o najvýznamnejších charakteristikách nástrojov vlastných zdrojov emitovaných investičnou spoločnosťou.</w:t>
      </w:r>
    </w:p>
    <w:p w14:paraId="57B23CA8" w14:textId="77777777" w:rsidR="00A83313" w:rsidRPr="007E5B57" w:rsidRDefault="00C13E07">
      <w:pPr>
        <w:pStyle w:val="Considrant"/>
        <w:numPr>
          <w:ilvl w:val="0"/>
          <w:numId w:val="0"/>
        </w:numPr>
        <w:tabs>
          <w:tab w:val="left" w:pos="709"/>
        </w:tabs>
        <w:ind w:left="709" w:hanging="709"/>
      </w:pPr>
      <w:r w:rsidRPr="007E5B57">
        <w:t>(6)</w:t>
      </w:r>
      <w:r w:rsidRPr="007E5B57">
        <w:tab/>
      </w:r>
      <w:r w:rsidRPr="007E5B57">
        <w:rPr>
          <w:color w:val="000000"/>
        </w:rPr>
        <w:t>S</w:t>
      </w:r>
      <w:r w:rsidRPr="007E5B57">
        <w:t> </w:t>
      </w:r>
      <w:r w:rsidRPr="007E5B57">
        <w:rPr>
          <w:color w:val="000000"/>
        </w:rPr>
        <w:t>cieľom uľahčiť vykonávanie požiadaviek na predkladanie správ a zverejňovanie informácií treba zlepšiť konzistentnosť medzi vzormi na oznamovanie informácií a vzormi na zverejňovanie informácií. Vzor na zverejňovanie informácií o zložení vlastných zdrojov by preto mal byť úzko zosúladený so súvisiacim vzorom na oznamovanie výšky a zloženia vlastných zdrojov. Z rovnakého dôvodu by vzor na zverejňovanie informácií o úplnom zosúhlasení vlastných zdrojov s auditovanou účtovnou závierkou mal byť flexibilný. Členenie vzoru by malo vychádzať z rozčlenenia súvahy v auditovanej účtovnej závierke investičnej spoločnosti. Okrem toho by vzor na zverejňovanie informácií o hlavných charakteristikách regulatórnych vlastných zdrojov mal byť fixným vzorom a jeho zložitosť by mala závisieť od zložitosti nástrojov vlastných zdrojov.</w:t>
      </w:r>
    </w:p>
    <w:p w14:paraId="51702E92" w14:textId="7DB03CEA" w:rsidR="00A83313" w:rsidRPr="007E5B57" w:rsidRDefault="00C13E07" w:rsidP="007E5B57">
      <w:pPr>
        <w:pStyle w:val="Considrant"/>
        <w:numPr>
          <w:ilvl w:val="0"/>
          <w:numId w:val="0"/>
        </w:numPr>
        <w:tabs>
          <w:tab w:val="left" w:pos="709"/>
        </w:tabs>
        <w:ind w:left="709" w:hanging="709"/>
      </w:pPr>
      <w:r w:rsidRPr="007E5B57">
        <w:t>(7)</w:t>
      </w:r>
      <w:r w:rsidRPr="007E5B57">
        <w:tab/>
        <w:t>S cieľom zabezpečiť, aby sa neprimerane nezvýšili náklady investičných spoločností na dodržiavanie predpisov a zachovala sa kvalita údajov, by sa povinnosti týkajúce sa predkladania správ a zverejňovania informácií mali vo svojej podstate čo najviac navzájom zosúladiť. Preto je vhodné stanoviť v jednom nariadení predpisy uplatniteľné na požiadavky na predkladanie správ, ako aj na požiadavky na zverejňovanie informácií.</w:t>
      </w:r>
    </w:p>
    <w:p w14:paraId="57B785B5" w14:textId="2BC808DE" w:rsidR="00A83313" w:rsidRPr="007E5B57" w:rsidRDefault="00C13E07">
      <w:pPr>
        <w:pStyle w:val="Considrant"/>
        <w:numPr>
          <w:ilvl w:val="0"/>
          <w:numId w:val="0"/>
        </w:numPr>
        <w:tabs>
          <w:tab w:val="left" w:pos="709"/>
        </w:tabs>
        <w:ind w:left="709" w:hanging="709"/>
      </w:pPr>
      <w:r w:rsidRPr="007E5B57">
        <w:t>(</w:t>
      </w:r>
      <w:r w:rsidR="007E5B57" w:rsidRPr="007E5B57">
        <w:t>8</w:t>
      </w:r>
      <w:r w:rsidRPr="007E5B57">
        <w:t>)</w:t>
      </w:r>
      <w:r w:rsidRPr="007E5B57">
        <w:tab/>
        <w:t>Toto nariadenie vychádza z návrhu vykonávacích technických predpisov, ktorý Komisii predložil Európsky orgán pre bankovníctvo (EBA) po konzultácii s Európskym orgánom pre cenné papiere a trhy.</w:t>
      </w:r>
    </w:p>
    <w:p w14:paraId="36915575" w14:textId="7BB6F9AB" w:rsidR="00A83313" w:rsidRPr="007E5B57" w:rsidRDefault="00C13E07">
      <w:pPr>
        <w:pStyle w:val="Considrant"/>
        <w:numPr>
          <w:ilvl w:val="0"/>
          <w:numId w:val="0"/>
        </w:numPr>
        <w:tabs>
          <w:tab w:val="left" w:pos="709"/>
        </w:tabs>
        <w:ind w:left="709" w:hanging="709"/>
      </w:pPr>
      <w:r w:rsidRPr="007E5B57">
        <w:t>(</w:t>
      </w:r>
      <w:r w:rsidR="007E5B57" w:rsidRPr="007E5B57">
        <w:t>9</w:t>
      </w:r>
      <w:r w:rsidRPr="007E5B57">
        <w:t>)</w:t>
      </w:r>
      <w:r w:rsidRPr="007E5B57">
        <w:tab/>
        <w:t>Orgán EBA uskutočnil otvorené verejné konzultácie o návrhu vykonávacích technických predpisov, z ktorého vychádza toto nariadenie, analyzoval možné súvisiace náklady a prínosy a požiadal o poradenstvo Skupinu zainteresovaných strán v bankovníctve zriadenú v súlade s článkom 37 nariadenia Európskeho parlamentu a Rady (EÚ) č. 1093/2010 </w:t>
      </w:r>
      <w:r w:rsidRPr="007E5B57">
        <w:rPr>
          <w:rStyle w:val="FootnoteReference"/>
        </w:rPr>
        <w:footnoteReference w:id="2"/>
      </w:r>
      <w:r w:rsidRPr="007E5B57">
        <w:t>,</w:t>
      </w:r>
    </w:p>
    <w:p w14:paraId="00884824" w14:textId="77777777" w:rsidR="00A83313" w:rsidRPr="007E5B57" w:rsidRDefault="00C13E07">
      <w:pPr>
        <w:pStyle w:val="Formuledadoption"/>
      </w:pPr>
      <w:r w:rsidRPr="007E5B57">
        <w:lastRenderedPageBreak/>
        <w:t>PRIJALA TOTO NARIADENIE:</w:t>
      </w:r>
    </w:p>
    <w:p w14:paraId="0744505E" w14:textId="77777777" w:rsidR="00A83313" w:rsidRPr="007E5B57" w:rsidRDefault="00C13E07">
      <w:pPr>
        <w:pStyle w:val="ChapterTitle"/>
        <w:rPr>
          <w:b w:val="0"/>
        </w:rPr>
      </w:pPr>
      <w:r w:rsidRPr="007E5B57">
        <w:rPr>
          <w:b w:val="0"/>
        </w:rPr>
        <w:t>KAPITOLA I</w:t>
      </w:r>
    </w:p>
    <w:p w14:paraId="62CBDDF8" w14:textId="77777777" w:rsidR="00A83313" w:rsidRPr="007E5B57" w:rsidRDefault="00C13E07">
      <w:pPr>
        <w:pStyle w:val="ChapterTitle"/>
      </w:pPr>
      <w:r w:rsidRPr="007E5B57">
        <w:t>PREDKLADANIE SPRÁV NA ÚČELY DOHĽADU</w:t>
      </w:r>
    </w:p>
    <w:p w14:paraId="420F64CC" w14:textId="77777777" w:rsidR="00A83313" w:rsidRPr="007E5B57" w:rsidRDefault="00C13E07">
      <w:pPr>
        <w:pStyle w:val="Titrearticle"/>
      </w:pPr>
      <w:r w:rsidRPr="007E5B57">
        <w:t>Článok 1</w:t>
      </w:r>
    </w:p>
    <w:p w14:paraId="639AC544" w14:textId="77777777" w:rsidR="00A83313" w:rsidRPr="007E5B57" w:rsidRDefault="00C13E07">
      <w:pPr>
        <w:pStyle w:val="Titrearticle"/>
        <w:spacing w:before="120"/>
        <w:rPr>
          <w:b/>
          <w:i w:val="0"/>
        </w:rPr>
      </w:pPr>
      <w:r w:rsidRPr="007E5B57">
        <w:rPr>
          <w:b/>
          <w:i w:val="0"/>
        </w:rPr>
        <w:t>Referenčné dátumy predkladania správ</w:t>
      </w:r>
    </w:p>
    <w:p w14:paraId="438EB5C4" w14:textId="77777777" w:rsidR="00A83313" w:rsidRPr="007E5B57" w:rsidRDefault="00C13E07">
      <w:pPr>
        <w:pStyle w:val="NumPar1"/>
        <w:numPr>
          <w:ilvl w:val="0"/>
          <w:numId w:val="0"/>
        </w:numPr>
        <w:tabs>
          <w:tab w:val="left" w:pos="567"/>
        </w:tabs>
      </w:pPr>
      <w:r w:rsidRPr="007E5B57">
        <w:t>1.</w:t>
      </w:r>
      <w:r w:rsidRPr="007E5B57">
        <w:tab/>
        <w:t>Informácie uvedené v článku 54 ods. 1 nariadenia sa oznamujú podľa stavu k týmto referenčným dátumom predkladania správ:</w:t>
      </w:r>
    </w:p>
    <w:p w14:paraId="54E007E7" w14:textId="77777777" w:rsidR="00A83313" w:rsidRPr="007E5B57" w:rsidRDefault="00C13E07">
      <w:pPr>
        <w:pStyle w:val="Point1"/>
      </w:pPr>
      <w:r w:rsidRPr="007E5B57">
        <w:t>a)</w:t>
      </w:r>
      <w:r w:rsidRPr="007E5B57">
        <w:tab/>
        <w:t>štvrťročné predkladanie správ: 31. marec, 30. jún, 30. september a 31. december;</w:t>
      </w:r>
    </w:p>
    <w:p w14:paraId="319C11BE" w14:textId="77777777" w:rsidR="00A83313" w:rsidRPr="007E5B57" w:rsidRDefault="00C13E07">
      <w:pPr>
        <w:pStyle w:val="Point1"/>
      </w:pPr>
      <w:r w:rsidRPr="007E5B57">
        <w:t>b)</w:t>
      </w:r>
      <w:r w:rsidRPr="007E5B57">
        <w:tab/>
        <w:t>ročné predkladanie správ: 31. december.</w:t>
      </w:r>
    </w:p>
    <w:p w14:paraId="4B618448" w14:textId="77777777" w:rsidR="00A83313" w:rsidRPr="007E5B57" w:rsidRDefault="00C13E07">
      <w:pPr>
        <w:pStyle w:val="NumPar1"/>
        <w:numPr>
          <w:ilvl w:val="0"/>
          <w:numId w:val="0"/>
        </w:numPr>
        <w:tabs>
          <w:tab w:val="left" w:pos="567"/>
        </w:tabs>
      </w:pPr>
      <w:r w:rsidRPr="007E5B57">
        <w:t>2.</w:t>
      </w:r>
      <w:r w:rsidRPr="007E5B57">
        <w:tab/>
        <w:t>Referenčné dátumy predkladania správ uvedené v odseku 1 sa môžu upraviť, ak sa vo vnútroštátnych právnych predpisoch povoľuje investičným spoločnostiam oznamovať finančné informácie na základe konca ich účtovného roka, ktorý sa líši od kalendárneho roka, aby sa štvrťročné oznamovanie informácií vykonávalo každé tri mesiace príslušného účtovného roka a ročné predkladanie správ na konci účtovného roka.</w:t>
      </w:r>
    </w:p>
    <w:p w14:paraId="771CAB53" w14:textId="77777777" w:rsidR="00A83313" w:rsidRPr="007E5B57" w:rsidRDefault="00C13E07">
      <w:pPr>
        <w:pStyle w:val="Titrearticle"/>
      </w:pPr>
      <w:r w:rsidRPr="007E5B57">
        <w:t>Článok 2</w:t>
      </w:r>
    </w:p>
    <w:p w14:paraId="21E581F2" w14:textId="77777777" w:rsidR="00A83313" w:rsidRPr="007E5B57" w:rsidRDefault="00C13E07">
      <w:pPr>
        <w:pStyle w:val="Titrearticle"/>
        <w:spacing w:before="120"/>
        <w:rPr>
          <w:b/>
          <w:i w:val="0"/>
        </w:rPr>
      </w:pPr>
      <w:r w:rsidRPr="007E5B57">
        <w:rPr>
          <w:b/>
          <w:i w:val="0"/>
        </w:rPr>
        <w:t>Dátumy zasielania správ</w:t>
      </w:r>
    </w:p>
    <w:p w14:paraId="7CB6DEE0" w14:textId="77777777" w:rsidR="00A83313" w:rsidRPr="007E5B57" w:rsidRDefault="00C13E07">
      <w:pPr>
        <w:pStyle w:val="NumPar1"/>
        <w:numPr>
          <w:ilvl w:val="0"/>
          <w:numId w:val="0"/>
        </w:numPr>
        <w:tabs>
          <w:tab w:val="left" w:pos="567"/>
        </w:tabs>
      </w:pPr>
      <w:r w:rsidRPr="007E5B57">
        <w:t>1.</w:t>
      </w:r>
      <w:r w:rsidRPr="007E5B57">
        <w:tab/>
        <w:t>Informácie uvedené v článku 54 ods. 1 nariadenia (EÚ) 2019/2033 sa predkladajú do konca pracovného času k týmto dátumom zasielania:</w:t>
      </w:r>
    </w:p>
    <w:p w14:paraId="0E913FE6" w14:textId="77777777" w:rsidR="00A83313" w:rsidRPr="007E5B57" w:rsidRDefault="00C13E07">
      <w:pPr>
        <w:pStyle w:val="Point1"/>
      </w:pPr>
      <w:r w:rsidRPr="007E5B57">
        <w:t>a)</w:t>
      </w:r>
      <w:r w:rsidRPr="007E5B57">
        <w:tab/>
        <w:t>štvrťročné predkladanie správ: 12. máj, 11. august, 11. november a 11. február;</w:t>
      </w:r>
    </w:p>
    <w:p w14:paraId="754D0C3B" w14:textId="77777777" w:rsidR="00A83313" w:rsidRPr="007E5B57" w:rsidRDefault="00C13E07">
      <w:pPr>
        <w:pStyle w:val="Point1"/>
      </w:pPr>
      <w:r w:rsidRPr="007E5B57">
        <w:t>b)</w:t>
      </w:r>
      <w:r w:rsidRPr="007E5B57">
        <w:tab/>
        <w:t>ročné predkladanie správ: 11. február.</w:t>
      </w:r>
    </w:p>
    <w:p w14:paraId="27DB1DAF" w14:textId="77777777" w:rsidR="00A83313" w:rsidRPr="007E5B57" w:rsidRDefault="00C13E07">
      <w:pPr>
        <w:pStyle w:val="NumPar1"/>
        <w:numPr>
          <w:ilvl w:val="0"/>
          <w:numId w:val="0"/>
        </w:numPr>
        <w:tabs>
          <w:tab w:val="left" w:pos="567"/>
        </w:tabs>
      </w:pPr>
      <w:r w:rsidRPr="007E5B57">
        <w:t>2.</w:t>
      </w:r>
      <w:r w:rsidRPr="007E5B57">
        <w:tab/>
        <w:t>Ak v členskom štáte príslušného orgánu, ktorému sa má predložiť správa, pripadá deň zaslania správy na štátny sviatok alebo na sobotu či nedeľu, dňom zaslania správy je nasledujúci pracovný deň.</w:t>
      </w:r>
    </w:p>
    <w:p w14:paraId="1C0E8BEE" w14:textId="77777777" w:rsidR="00A83313" w:rsidRPr="007E5B57" w:rsidRDefault="00C13E07">
      <w:pPr>
        <w:pStyle w:val="NumPar1"/>
        <w:numPr>
          <w:ilvl w:val="0"/>
          <w:numId w:val="0"/>
        </w:numPr>
        <w:tabs>
          <w:tab w:val="left" w:pos="567"/>
        </w:tabs>
      </w:pPr>
      <w:r w:rsidRPr="007E5B57">
        <w:t>3.</w:t>
      </w:r>
      <w:r w:rsidRPr="007E5B57">
        <w:tab/>
        <w:t>Ak investičné spoločnosti oznamujú svoje informácie použitím prispôsobených referenčných dátumov predkladania správ na základe konca svojho účtovného roka, ako sa stanovuje v článku 1 ods. 2 tohto nariadenia, môžu byť zodpovedajúcim spôsobom prispôsobené aj dátumy zasielania tak, aby sa zachovalo rovnaké obdobie zasielania od prispôsobeného referenčného dátumu predkladania správ.</w:t>
      </w:r>
    </w:p>
    <w:p w14:paraId="751AFCA1" w14:textId="77777777" w:rsidR="00A83313" w:rsidRPr="007E5B57" w:rsidRDefault="00C13E07">
      <w:pPr>
        <w:pStyle w:val="NumPar1"/>
        <w:numPr>
          <w:ilvl w:val="0"/>
          <w:numId w:val="0"/>
        </w:numPr>
        <w:tabs>
          <w:tab w:val="left" w:pos="567"/>
        </w:tabs>
      </w:pPr>
      <w:r w:rsidRPr="007E5B57">
        <w:t>4.</w:t>
      </w:r>
      <w:r w:rsidRPr="007E5B57">
        <w:tab/>
        <w:t>Investičné spoločnosti môžu predkladať neauditované údaje. Ak sa auditované údaje líšia od predložených neauditovaných údajov, bezodkladne sa predložia revidované, auditované údaje. Na účely tohto článku sú „neauditované údaje“ vymedzené ako údaje, ku ktorým externý audítor neposkytol stanovisko, zatiaľ čo auditované údaje sú údaje podrobené auditu externého audítora, ktorý vyjadril audítorské stanovisko.</w:t>
      </w:r>
    </w:p>
    <w:p w14:paraId="275A9E28" w14:textId="77777777" w:rsidR="00A83313" w:rsidRPr="007E5B57" w:rsidRDefault="00C13E07">
      <w:pPr>
        <w:pStyle w:val="NumPar1"/>
        <w:numPr>
          <w:ilvl w:val="0"/>
          <w:numId w:val="0"/>
        </w:numPr>
        <w:tabs>
          <w:tab w:val="left" w:pos="567"/>
        </w:tabs>
      </w:pPr>
      <w:r w:rsidRPr="007E5B57">
        <w:t>5.</w:t>
      </w:r>
      <w:r w:rsidRPr="007E5B57">
        <w:tab/>
        <w:t>Príslušným orgánom sa bezodkladne predkladajú opravy predložených správ.</w:t>
      </w:r>
    </w:p>
    <w:p w14:paraId="5A722D23" w14:textId="77777777" w:rsidR="00A83313" w:rsidRPr="007E5B57" w:rsidRDefault="00C13E07">
      <w:pPr>
        <w:pStyle w:val="Titrearticle"/>
      </w:pPr>
      <w:r w:rsidRPr="007E5B57">
        <w:lastRenderedPageBreak/>
        <w:t>Článok 3</w:t>
      </w:r>
    </w:p>
    <w:p w14:paraId="693A71ED" w14:textId="77777777" w:rsidR="00A83313" w:rsidRPr="007E5B57" w:rsidRDefault="00C13E07">
      <w:pPr>
        <w:pStyle w:val="Titrearticle"/>
        <w:spacing w:before="120"/>
        <w:rPr>
          <w:b/>
          <w:i w:val="0"/>
        </w:rPr>
      </w:pPr>
      <w:r w:rsidRPr="007E5B57">
        <w:rPr>
          <w:b/>
          <w:i w:val="0"/>
        </w:rPr>
        <w:t>Uplatňovanie požiadaviek na predkladanie správ na individuálnom základe</w:t>
      </w:r>
    </w:p>
    <w:p w14:paraId="0231859E" w14:textId="77777777" w:rsidR="00A83313" w:rsidRPr="007E5B57" w:rsidRDefault="00C13E07">
      <w:r w:rsidRPr="007E5B57">
        <w:t>S</w:t>
      </w:r>
      <w:r w:rsidRPr="007E5B57">
        <w:rPr>
          <w:b/>
          <w:i/>
        </w:rPr>
        <w:t> </w:t>
      </w:r>
      <w:r w:rsidRPr="007E5B57">
        <w:t>cieľom splniť požiadavky na predkladanie správ uvedené v článku 54 nariadenia (EÚ) 2019/2033 na individuálnom základe investičné spoločnosti oznamujú informácie uvedené v článkoch 5, 6 a 7 tohto nariadenia s frekvenciou, ktorá je v nich stanovená.</w:t>
      </w:r>
    </w:p>
    <w:p w14:paraId="40DF9CD2" w14:textId="77777777" w:rsidR="00A83313" w:rsidRPr="007E5B57" w:rsidRDefault="00C13E07">
      <w:pPr>
        <w:pStyle w:val="Titrearticle"/>
      </w:pPr>
      <w:r w:rsidRPr="007E5B57">
        <w:t>Článok 4</w:t>
      </w:r>
    </w:p>
    <w:p w14:paraId="5D8FF463" w14:textId="77777777" w:rsidR="00A83313" w:rsidRPr="007E5B57" w:rsidRDefault="00C13E07">
      <w:pPr>
        <w:pStyle w:val="Titrearticle"/>
        <w:spacing w:before="120"/>
        <w:rPr>
          <w:b/>
          <w:i w:val="0"/>
        </w:rPr>
      </w:pPr>
      <w:r w:rsidRPr="007E5B57">
        <w:rPr>
          <w:b/>
          <w:i w:val="0"/>
        </w:rPr>
        <w:t>Uplatňovanie požiadaviek na predkladanie správ na konsolidovanom základe</w:t>
      </w:r>
    </w:p>
    <w:p w14:paraId="769F7179" w14:textId="77777777" w:rsidR="00A83313" w:rsidRPr="007E5B57" w:rsidRDefault="00C13E07">
      <w:pPr>
        <w:rPr>
          <w:i/>
        </w:rPr>
      </w:pPr>
      <w:r w:rsidRPr="007E5B57">
        <w:t>S</w:t>
      </w:r>
      <w:r w:rsidRPr="007E5B57">
        <w:rPr>
          <w:b/>
          <w:i/>
        </w:rPr>
        <w:t> </w:t>
      </w:r>
      <w:r w:rsidRPr="007E5B57">
        <w:t>cieľom splniť požiadavky na predkladanie správ uvedené v článku 54 nariadenia (EÚ) 2019/2033 na konsolidovanom základe investičné spoločnosti oznamujú informácie uvedené v článkoch 5 a 6 tohto vykonávacieho nariadenia s frekvenciou, ktorá je v nich stanovená.</w:t>
      </w:r>
    </w:p>
    <w:p w14:paraId="5DD1244B" w14:textId="77777777" w:rsidR="00A83313" w:rsidRPr="007E5B57" w:rsidRDefault="00C13E07">
      <w:pPr>
        <w:pStyle w:val="Titrearticle"/>
      </w:pPr>
      <w:r w:rsidRPr="007E5B57">
        <w:t>Článok 5</w:t>
      </w:r>
    </w:p>
    <w:p w14:paraId="3B6A3C78" w14:textId="77777777" w:rsidR="00A83313" w:rsidRPr="007E5B57" w:rsidRDefault="00C13E07">
      <w:pPr>
        <w:pStyle w:val="Titrearticle"/>
        <w:spacing w:before="120"/>
        <w:rPr>
          <w:b/>
          <w:i w:val="0"/>
        </w:rPr>
      </w:pPr>
      <w:r w:rsidRPr="007E5B57">
        <w:rPr>
          <w:b/>
          <w:i w:val="0"/>
        </w:rPr>
        <w:t>Formát a frekvencia predkladania správ investičnými spoločnosťami inými než malé a neprepojené investičné spoločnosti</w:t>
      </w:r>
    </w:p>
    <w:p w14:paraId="759E9EA8" w14:textId="77777777" w:rsidR="00A83313" w:rsidRPr="007E5B57" w:rsidRDefault="00C13E07">
      <w:pPr>
        <w:pStyle w:val="NumPar1"/>
        <w:numPr>
          <w:ilvl w:val="0"/>
          <w:numId w:val="0"/>
        </w:numPr>
        <w:tabs>
          <w:tab w:val="left" w:pos="567"/>
        </w:tabs>
      </w:pPr>
      <w:r w:rsidRPr="007E5B57">
        <w:t>1.</w:t>
      </w:r>
      <w:r w:rsidRPr="007E5B57">
        <w:tab/>
        <w:t>Investičné spoločnosti iné než malé a neprepojené investičné spoločnosti štvrťročne oznamujú informácie požadované v článku 54 ods. 1 a 2 nariadenia (EÚ) 2019/2033 s použitím vzorov stanovených v prílohe I k tomuto nariadeniu v súlade s pokynmi stanovenými v prílohe II k tomuto nariadeniu.</w:t>
      </w:r>
    </w:p>
    <w:p w14:paraId="613995C8" w14:textId="77777777" w:rsidR="00A83313" w:rsidRPr="007E5B57" w:rsidRDefault="00C13E07">
      <w:pPr>
        <w:pStyle w:val="NumPar1"/>
        <w:numPr>
          <w:ilvl w:val="0"/>
          <w:numId w:val="0"/>
        </w:numPr>
        <w:tabs>
          <w:tab w:val="left" w:pos="567"/>
        </w:tabs>
        <w:rPr>
          <w:szCs w:val="24"/>
        </w:rPr>
      </w:pPr>
      <w:r w:rsidRPr="007E5B57">
        <w:rPr>
          <w:szCs w:val="24"/>
        </w:rPr>
        <w:t>2.</w:t>
      </w:r>
      <w:r w:rsidRPr="007E5B57">
        <w:rPr>
          <w:szCs w:val="24"/>
        </w:rPr>
        <w:tab/>
      </w:r>
      <w:r w:rsidRPr="007E5B57">
        <w:t>Investičné spoločnosti iné než malé a neprepojené investičné spoločnosti, ktoré určujú požiadavku na základe K-faktora týkajúceho sa RtM podľa K-NPR v súlade s článkom 21 ods. 1 nariadenia (EÚ) 2019/2033, štvrťročne oznamujú informácie uvedené vo vzoroch C 18.00 až C 24.00 prílohy I k vykonávaciemu nariadeniu Komisie (EÚ) 2021/451</w:t>
      </w:r>
      <w:r w:rsidR="00E4274F" w:rsidRPr="007E5B57">
        <w:rPr>
          <w:rStyle w:val="FootnoteReference"/>
        </w:rPr>
        <w:footnoteReference w:id="3"/>
      </w:r>
      <w:r w:rsidRPr="007E5B57">
        <w:t xml:space="preserve"> v súlade s pokynmi stanovenými v časti 2 prílohy II k uvedenému vykonávaciemu nariadeniu.</w:t>
      </w:r>
    </w:p>
    <w:p w14:paraId="7933F225" w14:textId="77777777" w:rsidR="00A83313" w:rsidRPr="007E5B57" w:rsidRDefault="00C13E07">
      <w:pPr>
        <w:pStyle w:val="NumPar1"/>
        <w:numPr>
          <w:ilvl w:val="0"/>
          <w:numId w:val="0"/>
        </w:numPr>
        <w:tabs>
          <w:tab w:val="left" w:pos="567"/>
        </w:tabs>
        <w:rPr>
          <w:szCs w:val="24"/>
        </w:rPr>
      </w:pPr>
      <w:r w:rsidRPr="007E5B57">
        <w:rPr>
          <w:szCs w:val="24"/>
        </w:rPr>
        <w:t>3.</w:t>
      </w:r>
      <w:r w:rsidRPr="007E5B57">
        <w:rPr>
          <w:szCs w:val="24"/>
        </w:rPr>
        <w:tab/>
      </w:r>
      <w:r w:rsidRPr="007E5B57">
        <w:t>Investičné spoločnosti iné než malé a neprepojené investičné spoločnosti, ktoré využívajú výnimku stanovenú v článku 25 ods. 4 nariadenia (EÚ) 2019/2033, štvrťročne oznamujú informácie uvedené vo vzore C 34.02 prílohy I k vykonávaciemu nariadeniu (EÚ) 2021/451 v súlade s pokynmi stanovenými v časti 2 prílohy II k uvedenému vykonávaciemu nariadeniu.</w:t>
      </w:r>
    </w:p>
    <w:p w14:paraId="58DD6323" w14:textId="77777777" w:rsidR="00A83313" w:rsidRPr="007E5B57" w:rsidRDefault="00C13E07">
      <w:pPr>
        <w:pStyle w:val="NumPar1"/>
        <w:numPr>
          <w:ilvl w:val="0"/>
          <w:numId w:val="0"/>
        </w:numPr>
        <w:tabs>
          <w:tab w:val="left" w:pos="567"/>
        </w:tabs>
        <w:rPr>
          <w:szCs w:val="24"/>
        </w:rPr>
      </w:pPr>
      <w:r w:rsidRPr="007E5B57">
        <w:rPr>
          <w:szCs w:val="24"/>
        </w:rPr>
        <w:t>4.</w:t>
      </w:r>
      <w:r w:rsidRPr="007E5B57">
        <w:rPr>
          <w:szCs w:val="24"/>
        </w:rPr>
        <w:tab/>
      </w:r>
      <w:r w:rsidRPr="007E5B57">
        <w:t>Investičné spoločnosti iné než malé a neprepojené investičné spoločnosti, ktoré využívajú výnimku stanovenú v článku 25 ods. 5 druhom pododseku nariadenia (EÚ) 2019/2033, štvrťročne oznamujú informácie uvedené vo vzore C 25.00 prílohy I k vykonávaciemu nariadeniu (EÚ) 2021/451 v súlade s pokynmi stanovenými v časti 2 prílohy II k uvedenému vykonávaciemu nariadeniu.</w:t>
      </w:r>
    </w:p>
    <w:p w14:paraId="40310C8F" w14:textId="77777777" w:rsidR="00A83313" w:rsidRPr="007E5B57" w:rsidRDefault="00C13E07">
      <w:pPr>
        <w:pStyle w:val="Titrearticle"/>
      </w:pPr>
      <w:r w:rsidRPr="007E5B57">
        <w:t>Článok 6</w:t>
      </w:r>
    </w:p>
    <w:p w14:paraId="34BB916F" w14:textId="77777777" w:rsidR="00A83313" w:rsidRPr="007E5B57" w:rsidRDefault="00C13E07">
      <w:pPr>
        <w:pStyle w:val="Titrearticle"/>
        <w:spacing w:before="120"/>
        <w:rPr>
          <w:b/>
          <w:i w:val="0"/>
        </w:rPr>
      </w:pPr>
      <w:r w:rsidRPr="007E5B57">
        <w:rPr>
          <w:b/>
          <w:i w:val="0"/>
        </w:rPr>
        <w:t>Formát a frekvencia predkladania správ malými a neprepojenými investičnými spoločnosťami</w:t>
      </w:r>
    </w:p>
    <w:p w14:paraId="1AC70DBE" w14:textId="77777777" w:rsidR="00A83313" w:rsidRPr="007E5B57" w:rsidRDefault="00C13E07">
      <w:pPr>
        <w:pStyle w:val="NumPar1"/>
        <w:numPr>
          <w:ilvl w:val="0"/>
          <w:numId w:val="0"/>
        </w:numPr>
        <w:tabs>
          <w:tab w:val="left" w:pos="567"/>
        </w:tabs>
      </w:pPr>
      <w:r w:rsidRPr="007E5B57">
        <w:t>1.</w:t>
      </w:r>
      <w:r w:rsidRPr="007E5B57">
        <w:tab/>
        <w:t xml:space="preserve">Malé a neprepojené investičné spoločnosti každoročne oznamujú informácie uvedené vo vzoroch prílohy III k tomuto nariadeniu v súlade s pokynmi uvedenými v prílohe IV k tomuto nariadeniu. Investičné spoločnosti, ktoré využívajú výnimku uvedenú v článku 43 </w:t>
      </w:r>
      <w:r w:rsidRPr="007E5B57">
        <w:lastRenderedPageBreak/>
        <w:t>ods. 1 druhom pododseku nariadenia (EÚ) 2019/2033, sú oslobodené od povinnosti predkladať informácie uvedené vo vzore IF 09.01 prílohy III k tomuto nariadeniu.</w:t>
      </w:r>
    </w:p>
    <w:p w14:paraId="6166F143" w14:textId="77777777" w:rsidR="00A83313" w:rsidRPr="007E5B57" w:rsidRDefault="00C13E07">
      <w:pPr>
        <w:pStyle w:val="Titrearticle"/>
      </w:pPr>
      <w:r w:rsidRPr="007E5B57">
        <w:t>Článok 7</w:t>
      </w:r>
    </w:p>
    <w:p w14:paraId="45427CDE" w14:textId="77777777" w:rsidR="00A83313" w:rsidRPr="007E5B57" w:rsidRDefault="00C13E07">
      <w:pPr>
        <w:pStyle w:val="Titrearticle"/>
        <w:spacing w:before="120"/>
        <w:rPr>
          <w:b/>
          <w:i w:val="0"/>
        </w:rPr>
      </w:pPr>
      <w:r w:rsidRPr="007E5B57">
        <w:rPr>
          <w:b/>
          <w:i w:val="0"/>
        </w:rPr>
        <w:t>Formát a frekvencia predkladania správ subjektmi, ktoré využívajú výhody uplatňovania článku 8 nariadenia (EÚ) 2019/2033</w:t>
      </w:r>
    </w:p>
    <w:p w14:paraId="22BD2F36" w14:textId="77777777" w:rsidR="00A83313" w:rsidRPr="007E5B57" w:rsidRDefault="00C13E07">
      <w:pPr>
        <w:rPr>
          <w:rFonts w:eastAsia="Times New Roman"/>
          <w:szCs w:val="24"/>
        </w:rPr>
      </w:pPr>
      <w:r w:rsidRPr="007E5B57">
        <w:t>Odchylne od článku 4 tohto nariadenia subjekty uvedené v článku 8 ods. 3 nariadenia (EÚ) 2019/2033, ktoré využívajú výhody uplatňovania uvedeného článku, štvrťročne oznamujú informácie stanovené vo vzoroch prílohy VIII k tomuto nariadeniu v súlade s pokynmi stanovenými v prílohe IX k tomuto nariadeniu.</w:t>
      </w:r>
    </w:p>
    <w:p w14:paraId="4EC8E6EF" w14:textId="77777777" w:rsidR="00A83313" w:rsidRPr="007E5B57" w:rsidRDefault="00C13E07">
      <w:pPr>
        <w:pStyle w:val="Titrearticle"/>
      </w:pPr>
      <w:r w:rsidRPr="007E5B57">
        <w:t>Článok 8</w:t>
      </w:r>
    </w:p>
    <w:p w14:paraId="0C504122" w14:textId="77777777" w:rsidR="00A83313" w:rsidRPr="007E5B57" w:rsidRDefault="00C13E07">
      <w:pPr>
        <w:pStyle w:val="Titrearticle"/>
        <w:spacing w:before="120"/>
        <w:rPr>
          <w:b/>
          <w:i w:val="0"/>
        </w:rPr>
      </w:pPr>
      <w:r w:rsidRPr="007E5B57">
        <w:rPr>
          <w:b/>
          <w:i w:val="0"/>
        </w:rPr>
        <w:t>Presnosť údajov a informácie súvisiace s predkladanými údajmi</w:t>
      </w:r>
    </w:p>
    <w:p w14:paraId="7DDF74D0" w14:textId="77777777" w:rsidR="00A83313" w:rsidRPr="007E5B57" w:rsidRDefault="00C13E07">
      <w:pPr>
        <w:pStyle w:val="NumPar1"/>
        <w:numPr>
          <w:ilvl w:val="0"/>
          <w:numId w:val="0"/>
        </w:numPr>
        <w:tabs>
          <w:tab w:val="left" w:pos="567"/>
        </w:tabs>
      </w:pPr>
      <w:r w:rsidRPr="007E5B57">
        <w:t>1.</w:t>
      </w:r>
      <w:r w:rsidRPr="007E5B57">
        <w:tab/>
        <w:t>Investičné spoločnosti predkladajú informácie uvedené v tomto nariadení vo formátoch na výmenu údajov a v podobe spresnenej príslušnými orgánmi, pričom dodržiavajú vymedzenie údajových bodov v modeli údajových bodov a vzorce pre validáciu uvedené v prílohe V, ako aj tieto špecifikácie:</w:t>
      </w:r>
    </w:p>
    <w:p w14:paraId="00914A00" w14:textId="77777777" w:rsidR="00A83313" w:rsidRPr="007E5B57" w:rsidRDefault="00C13E07">
      <w:pPr>
        <w:pStyle w:val="Point1"/>
      </w:pPr>
      <w:r w:rsidRPr="007E5B57">
        <w:t>a)</w:t>
      </w:r>
      <w:r w:rsidRPr="007E5B57">
        <w:tab/>
        <w:t>informácie, ktoré sa nepožadujú alebo neuplatňujú, sa do predkladaných údajov nezahŕňajú;</w:t>
      </w:r>
    </w:p>
    <w:p w14:paraId="60D08DFB" w14:textId="77777777" w:rsidR="00A83313" w:rsidRPr="007E5B57" w:rsidRDefault="00C13E07">
      <w:pPr>
        <w:pStyle w:val="Point1"/>
      </w:pPr>
      <w:r w:rsidRPr="007E5B57">
        <w:t>b)</w:t>
      </w:r>
      <w:r w:rsidRPr="007E5B57">
        <w:tab/>
        <w:t>číselné hodnoty sa predkladajú ako fakty podľa týchto zvyklostí:</w:t>
      </w:r>
    </w:p>
    <w:p w14:paraId="3BE3C7ED" w14:textId="77777777" w:rsidR="00A83313" w:rsidRPr="007E5B57" w:rsidRDefault="00C13E07">
      <w:pPr>
        <w:pStyle w:val="Point2"/>
        <w:ind w:left="1134"/>
      </w:pPr>
      <w:r w:rsidRPr="007E5B57">
        <w:t>i)</w:t>
      </w:r>
      <w:r w:rsidRPr="007E5B57">
        <w:tab/>
        <w:t>údajové body s druhom údajov „peňažné“ sa vykazujú s minimálnou presnosťou zodpovedajúcou tisícom jednotiek;</w:t>
      </w:r>
    </w:p>
    <w:p w14:paraId="2C79AA10" w14:textId="77777777" w:rsidR="00A83313" w:rsidRPr="007E5B57" w:rsidRDefault="00C13E07">
      <w:pPr>
        <w:pStyle w:val="Point2"/>
        <w:ind w:left="1134"/>
      </w:pPr>
      <w:r w:rsidRPr="007E5B57">
        <w:t>ii)</w:t>
      </w:r>
      <w:r w:rsidRPr="007E5B57">
        <w:tab/>
        <w:t>údajové body s druhom údajov „percentuálny podiel“ sa vyjadrujú podľa jednotky s minimálnou presnosťou zodpovedajúcou štyrom desatinným miestam;</w:t>
      </w:r>
    </w:p>
    <w:p w14:paraId="527DEEEB" w14:textId="77777777" w:rsidR="00A83313" w:rsidRPr="007E5B57" w:rsidRDefault="00C13E07">
      <w:pPr>
        <w:pStyle w:val="Point2"/>
        <w:ind w:left="1134"/>
      </w:pPr>
      <w:r w:rsidRPr="007E5B57">
        <w:t>iii)</w:t>
      </w:r>
      <w:r w:rsidRPr="007E5B57">
        <w:tab/>
        <w:t>údajové body s druhom údajov „celé číslo“ sa vykazujú bez použitia desatinných čísel a s presnosťou zodpovedajúcou jednotkám.</w:t>
      </w:r>
    </w:p>
    <w:p w14:paraId="444395AC" w14:textId="77777777" w:rsidR="00A83313" w:rsidRPr="007E5B57" w:rsidRDefault="00C13E07">
      <w:pPr>
        <w:pStyle w:val="NumPar1"/>
        <w:numPr>
          <w:ilvl w:val="0"/>
          <w:numId w:val="0"/>
        </w:numPr>
        <w:tabs>
          <w:tab w:val="left" w:pos="567"/>
        </w:tabs>
      </w:pPr>
      <w:r w:rsidRPr="007E5B57">
        <w:t>2.</w:t>
      </w:r>
      <w:r w:rsidRPr="007E5B57">
        <w:tab/>
        <w:t>Investičné spoločnosti sa identifikujú na základe ich identifikátora právneho subjektu (LEI). Právne subjekty a protistrany iné než investičné spoločnosti sa identifikujú na základe ich LEI, ak je k dispozícii.</w:t>
      </w:r>
    </w:p>
    <w:p w14:paraId="6FD1BB54" w14:textId="77777777" w:rsidR="00A83313" w:rsidRPr="007E5B57" w:rsidRDefault="00C13E07">
      <w:pPr>
        <w:pStyle w:val="NumPar1"/>
        <w:numPr>
          <w:ilvl w:val="0"/>
          <w:numId w:val="0"/>
        </w:numPr>
        <w:tabs>
          <w:tab w:val="left" w:pos="567"/>
        </w:tabs>
      </w:pPr>
      <w:r w:rsidRPr="007E5B57">
        <w:t>3.</w:t>
      </w:r>
      <w:r w:rsidRPr="007E5B57">
        <w:tab/>
        <w:t>Informácie, ktoré investičné spoločnosti predkladajú na základe tohto nariadenia, sa doplňujú o tieto informácie:</w:t>
      </w:r>
    </w:p>
    <w:p w14:paraId="5C0C692B" w14:textId="77777777" w:rsidR="00A83313" w:rsidRPr="007E5B57" w:rsidRDefault="00C13E07">
      <w:pPr>
        <w:pStyle w:val="Point1"/>
      </w:pPr>
      <w:r w:rsidRPr="007E5B57">
        <w:t>a)</w:t>
      </w:r>
      <w:r w:rsidRPr="007E5B57">
        <w:tab/>
        <w:t>referenčný dátum predkladania správ a referenčné obdobie;</w:t>
      </w:r>
    </w:p>
    <w:p w14:paraId="632B86F0" w14:textId="77777777" w:rsidR="00A83313" w:rsidRPr="007E5B57" w:rsidRDefault="00C13E07">
      <w:pPr>
        <w:pStyle w:val="Point1"/>
      </w:pPr>
      <w:r w:rsidRPr="007E5B57">
        <w:t>b)</w:t>
      </w:r>
      <w:r w:rsidRPr="007E5B57">
        <w:tab/>
        <w:t>mena vykazovania;</w:t>
      </w:r>
    </w:p>
    <w:p w14:paraId="17E489BE" w14:textId="77777777" w:rsidR="00A83313" w:rsidRPr="007E5B57" w:rsidRDefault="00C13E07">
      <w:pPr>
        <w:pStyle w:val="Point1"/>
      </w:pPr>
      <w:r w:rsidRPr="007E5B57">
        <w:t>c)</w:t>
      </w:r>
      <w:r w:rsidRPr="007E5B57">
        <w:tab/>
        <w:t>účtovný štandard;</w:t>
      </w:r>
    </w:p>
    <w:p w14:paraId="35850EB9" w14:textId="77777777" w:rsidR="00A83313" w:rsidRPr="007E5B57" w:rsidRDefault="00C13E07">
      <w:pPr>
        <w:pStyle w:val="Point1"/>
      </w:pPr>
      <w:r w:rsidRPr="007E5B57">
        <w:t>d)</w:t>
      </w:r>
      <w:r w:rsidRPr="007E5B57">
        <w:tab/>
        <w:t>identifikátor právneho subjektu (LEI) vykazujúcej inštitúcie;</w:t>
      </w:r>
    </w:p>
    <w:p w14:paraId="4C929ABC" w14:textId="77777777" w:rsidR="00A83313" w:rsidRPr="007E5B57" w:rsidRDefault="00C13E07">
      <w:pPr>
        <w:pStyle w:val="Point1"/>
      </w:pPr>
      <w:r w:rsidRPr="007E5B57">
        <w:t>e)</w:t>
      </w:r>
      <w:r w:rsidRPr="007E5B57">
        <w:tab/>
        <w:t>rozsah konsolidácie.</w:t>
      </w:r>
    </w:p>
    <w:p w14:paraId="2F46FBBC" w14:textId="77777777" w:rsidR="00A83313" w:rsidRPr="007E5B57" w:rsidRDefault="00C13E07">
      <w:pPr>
        <w:pStyle w:val="ChapterTitle"/>
        <w:rPr>
          <w:b w:val="0"/>
        </w:rPr>
      </w:pPr>
      <w:r w:rsidRPr="007E5B57">
        <w:rPr>
          <w:b w:val="0"/>
        </w:rPr>
        <w:lastRenderedPageBreak/>
        <w:t>KAPITOLA II</w:t>
      </w:r>
    </w:p>
    <w:p w14:paraId="5134222E" w14:textId="77777777" w:rsidR="00A83313" w:rsidRPr="007E5B57" w:rsidRDefault="00C13E07">
      <w:pPr>
        <w:pStyle w:val="ChapterTitle"/>
      </w:pPr>
      <w:r w:rsidRPr="007E5B57">
        <w:t>ZVEREJŇOVANIE INFORMÁCIÍ INVESTIČNÝMI SPOLOČNOSŤAMI</w:t>
      </w:r>
    </w:p>
    <w:p w14:paraId="5810121B" w14:textId="77777777" w:rsidR="00A83313" w:rsidRPr="007E5B57" w:rsidRDefault="00C13E07">
      <w:pPr>
        <w:pStyle w:val="Titrearticle"/>
      </w:pPr>
      <w:r w:rsidRPr="007E5B57">
        <w:t>Článok 9</w:t>
      </w:r>
    </w:p>
    <w:p w14:paraId="7B937603" w14:textId="77777777" w:rsidR="00A83313" w:rsidRPr="007E5B57" w:rsidRDefault="00C13E07">
      <w:pPr>
        <w:pStyle w:val="Titrearticle"/>
        <w:spacing w:before="120"/>
        <w:rPr>
          <w:b/>
          <w:i w:val="0"/>
        </w:rPr>
      </w:pPr>
      <w:r w:rsidRPr="007E5B57">
        <w:rPr>
          <w:b/>
          <w:i w:val="0"/>
        </w:rPr>
        <w:t>Zásady zverejňovania</w:t>
      </w:r>
    </w:p>
    <w:p w14:paraId="632359FB" w14:textId="77777777" w:rsidR="00A83313" w:rsidRPr="007E5B57" w:rsidRDefault="00C13E07">
      <w:pPr>
        <w:pStyle w:val="NumPar1"/>
        <w:numPr>
          <w:ilvl w:val="0"/>
          <w:numId w:val="0"/>
        </w:numPr>
      </w:pPr>
      <w:r w:rsidRPr="007E5B57">
        <w:t>1.</w:t>
      </w:r>
      <w:r w:rsidRPr="007E5B57">
        <w:tab/>
        <w:t>Na informácie, ktoré sa majú zverejniť v súlade s týmto nariadením, sa vzťahujú tieto zásady:</w:t>
      </w:r>
    </w:p>
    <w:p w14:paraId="5E3FECFD" w14:textId="77777777" w:rsidR="00A83313" w:rsidRPr="007E5B57" w:rsidRDefault="00C13E07">
      <w:pPr>
        <w:pStyle w:val="Point1"/>
      </w:pPr>
      <w:r w:rsidRPr="007E5B57">
        <w:t>a)</w:t>
      </w:r>
      <w:r w:rsidRPr="007E5B57">
        <w:tab/>
        <w:t>zverejňovanie informácií podlieha rovnakej úrovni vnútorného overenia, aká sa uplatňuje na správu o hospodárení, ktorá je súčasťou finančnej správy investičnej spoločnosti;</w:t>
      </w:r>
    </w:p>
    <w:p w14:paraId="55739AF2" w14:textId="77777777" w:rsidR="00A83313" w:rsidRPr="007E5B57" w:rsidRDefault="00C13E07">
      <w:pPr>
        <w:pStyle w:val="Point1"/>
      </w:pPr>
      <w:r w:rsidRPr="007E5B57">
        <w:t>b)</w:t>
      </w:r>
      <w:r w:rsidRPr="007E5B57">
        <w:tab/>
        <w:t>zverejnené informácie musia byť jasné a prezentované vo forme, ktorá je pochopiteľná pre používateľov informácií a oznámená prostredníctvom dostupného média. Dôležité informácie sú zvýraznené, aby sa dali ľahko nájsť. Zložité otázky sú vysvetlené jednoduchým jazykom. Súvisiace informácie sa predkladajú spoločne;</w:t>
      </w:r>
    </w:p>
    <w:p w14:paraId="4F0C2B7A" w14:textId="77777777" w:rsidR="00A83313" w:rsidRPr="007E5B57" w:rsidRDefault="00C13E07">
      <w:pPr>
        <w:pStyle w:val="Point1"/>
      </w:pPr>
      <w:r w:rsidRPr="007E5B57">
        <w:t>c)</w:t>
      </w:r>
      <w:r w:rsidRPr="007E5B57">
        <w:tab/>
        <w:t>zverejnené informácie musia byť zmysluplné a konzistentné v priebehu času, aby používatelia informácií mohli porovnávať informácie naprieč obdobami zverejňovania informácií;</w:t>
      </w:r>
    </w:p>
    <w:p w14:paraId="20ECC0F0" w14:textId="77777777" w:rsidR="00A83313" w:rsidRPr="007E5B57" w:rsidRDefault="00C13E07">
      <w:pPr>
        <w:pStyle w:val="Point1"/>
      </w:pPr>
      <w:r w:rsidRPr="007E5B57">
        <w:t>d)</w:t>
      </w:r>
      <w:r w:rsidRPr="007E5B57">
        <w:tab/>
        <w:t>zverejnenia kvantitatívnych informácií sú doplnené kvalitatívnym vysvetlením a akýmikoľvek inými dodatočnými informáciami, ktoré môžu byť potrebné na to, aby im používatelia informácií porozumeli, pričom sa predovšetkým uvedie každá významná zmena v daných zverejnených informáciách v porovnaní so skôr zverejnenými informáciami.</w:t>
      </w:r>
    </w:p>
    <w:p w14:paraId="35B273F5" w14:textId="77777777" w:rsidR="00A83313" w:rsidRPr="007E5B57" w:rsidRDefault="00C13E07">
      <w:pPr>
        <w:pStyle w:val="Titrearticle"/>
      </w:pPr>
      <w:r w:rsidRPr="007E5B57">
        <w:t>Článok 10</w:t>
      </w:r>
    </w:p>
    <w:p w14:paraId="1A173D65" w14:textId="77777777" w:rsidR="00A83313" w:rsidRPr="007E5B57" w:rsidRDefault="00C13E07">
      <w:pPr>
        <w:pStyle w:val="Titrearticle"/>
        <w:spacing w:before="120"/>
        <w:rPr>
          <w:b/>
          <w:i w:val="0"/>
        </w:rPr>
      </w:pPr>
      <w:r w:rsidRPr="007E5B57">
        <w:rPr>
          <w:b/>
          <w:i w:val="0"/>
        </w:rPr>
        <w:t>Zverejňovanie vlastných zdrojov investičnými spoločnosťami</w:t>
      </w:r>
    </w:p>
    <w:p w14:paraId="089B18CC" w14:textId="77777777" w:rsidR="00A83313" w:rsidRPr="007E5B57" w:rsidRDefault="00C13E07">
      <w:r w:rsidRPr="007E5B57">
        <w:t>Investičné spoločnosti zverejňujú informácie o vlastných zdrojoch požadované v článku 49 ods. 1 nariadenia (EÚ) 2019/2033 s použitím vzorov uvedených v prílohe VI k tomuto nariadeniu a v súlade s príslušnými pokynmi stanovenými v prílohe VII k tomuto nariadeniu.</w:t>
      </w:r>
    </w:p>
    <w:p w14:paraId="4112FA10" w14:textId="77777777" w:rsidR="00A83313" w:rsidRPr="007E5B57" w:rsidRDefault="00C13E07">
      <w:pPr>
        <w:pStyle w:val="Titrearticle"/>
      </w:pPr>
      <w:r w:rsidRPr="007E5B57">
        <w:t>Článok 11</w:t>
      </w:r>
    </w:p>
    <w:p w14:paraId="10101B3F" w14:textId="77777777" w:rsidR="00A83313" w:rsidRPr="007E5B57" w:rsidRDefault="00C13E07">
      <w:pPr>
        <w:pStyle w:val="Titrearticle"/>
        <w:spacing w:before="120"/>
        <w:rPr>
          <w:b/>
          <w:i w:val="0"/>
        </w:rPr>
      </w:pPr>
      <w:r w:rsidRPr="007E5B57">
        <w:rPr>
          <w:b/>
          <w:i w:val="0"/>
        </w:rPr>
        <w:t>Všeobecné ustanovenia o zverejňovaní informácií</w:t>
      </w:r>
    </w:p>
    <w:p w14:paraId="54F1F4C9" w14:textId="77777777" w:rsidR="00A83313" w:rsidRPr="007E5B57" w:rsidRDefault="00C13E07">
      <w:pPr>
        <w:pStyle w:val="NumPar1"/>
        <w:numPr>
          <w:ilvl w:val="0"/>
          <w:numId w:val="0"/>
        </w:numPr>
        <w:tabs>
          <w:tab w:val="left" w:pos="567"/>
        </w:tabs>
      </w:pPr>
      <w:r w:rsidRPr="007E5B57">
        <w:t>1.</w:t>
      </w:r>
      <w:r w:rsidRPr="007E5B57">
        <w:tab/>
        <w:t>Pri zverejňovaní informácií uvedených v článku 10 tohto nariadenia investičné spoločnosti zabezpečia, aby sa číselné hodnoty predkladali ako fakty v súlade s týmito zvyklosťami:</w:t>
      </w:r>
    </w:p>
    <w:p w14:paraId="6148A600" w14:textId="77777777" w:rsidR="00A83313" w:rsidRPr="007E5B57" w:rsidRDefault="00C13E07">
      <w:pPr>
        <w:pStyle w:val="Point1"/>
      </w:pPr>
      <w:r w:rsidRPr="007E5B57">
        <w:t>a)</w:t>
      </w:r>
      <w:r w:rsidRPr="007E5B57">
        <w:tab/>
        <w:t>kvantitatívne peňažné údaje sa zverejňujú s minimálnou presnosťou zodpovedajúcou tisícom jednotiek;</w:t>
      </w:r>
    </w:p>
    <w:p w14:paraId="3B1525D1" w14:textId="77777777" w:rsidR="00A83313" w:rsidRPr="007E5B57" w:rsidRDefault="00C13E07">
      <w:pPr>
        <w:pStyle w:val="Point1"/>
      </w:pPr>
      <w:r w:rsidRPr="007E5B57">
        <w:t>b)</w:t>
      </w:r>
      <w:r w:rsidRPr="007E5B57">
        <w:tab/>
        <w:t>kvantitatívne údaje zverejňované ako „percentuálny podiel“ sa vyjadrujú podľa jednotky s minimálnou presnosťou zodpovedajúcou štyrom desatinným miestam.</w:t>
      </w:r>
    </w:p>
    <w:p w14:paraId="35589845" w14:textId="77777777" w:rsidR="00A83313" w:rsidRPr="007E5B57" w:rsidRDefault="00C13E07">
      <w:pPr>
        <w:pStyle w:val="NumPar1"/>
        <w:numPr>
          <w:ilvl w:val="0"/>
          <w:numId w:val="0"/>
        </w:numPr>
        <w:tabs>
          <w:tab w:val="left" w:pos="567"/>
        </w:tabs>
      </w:pPr>
      <w:r w:rsidRPr="007E5B57">
        <w:t>2.</w:t>
      </w:r>
      <w:r w:rsidRPr="007E5B57">
        <w:tab/>
        <w:t>Pri zverejňovaní informácií uvedených v článku 10 tohto nariadenia investičné spoločnosti zabezpečia, aby sa údaje predkladali spolu so všetkými týmito informáciami:</w:t>
      </w:r>
    </w:p>
    <w:p w14:paraId="22D664A3" w14:textId="77777777" w:rsidR="00A83313" w:rsidRPr="007E5B57" w:rsidRDefault="00C13E07">
      <w:pPr>
        <w:pStyle w:val="Point1"/>
      </w:pPr>
      <w:r w:rsidRPr="007E5B57">
        <w:lastRenderedPageBreak/>
        <w:t>a)</w:t>
      </w:r>
      <w:r w:rsidRPr="007E5B57">
        <w:tab/>
        <w:t>referenčný dátum zverejňovania a referenčné obdobie;</w:t>
      </w:r>
    </w:p>
    <w:p w14:paraId="15DF8554" w14:textId="77777777" w:rsidR="00A83313" w:rsidRPr="007E5B57" w:rsidRDefault="00C13E07">
      <w:pPr>
        <w:pStyle w:val="Point1"/>
      </w:pPr>
      <w:r w:rsidRPr="007E5B57">
        <w:t>b)</w:t>
      </w:r>
      <w:r w:rsidRPr="007E5B57">
        <w:tab/>
        <w:t>mena zverejňovania;</w:t>
      </w:r>
    </w:p>
    <w:p w14:paraId="3B0A9F43" w14:textId="77777777" w:rsidR="00A83313" w:rsidRPr="007E5B57" w:rsidRDefault="00C13E07">
      <w:pPr>
        <w:pStyle w:val="Point1"/>
      </w:pPr>
      <w:r w:rsidRPr="007E5B57">
        <w:t>c)</w:t>
      </w:r>
      <w:r w:rsidRPr="007E5B57">
        <w:tab/>
        <w:t>názov a prípadne identifikátor právneho subjektu (LEI) inštitúcie zverejňujúcej informácie;</w:t>
      </w:r>
    </w:p>
    <w:p w14:paraId="218CAC93" w14:textId="77777777" w:rsidR="00A83313" w:rsidRPr="007E5B57" w:rsidRDefault="00C13E07">
      <w:pPr>
        <w:pStyle w:val="Point1"/>
      </w:pPr>
      <w:r w:rsidRPr="007E5B57">
        <w:t>d)</w:t>
      </w:r>
      <w:r w:rsidRPr="007E5B57">
        <w:tab/>
        <w:t>v relevantných prípadoch použitý účtovný štandard;</w:t>
      </w:r>
    </w:p>
    <w:p w14:paraId="2CC55813" w14:textId="77777777" w:rsidR="00A83313" w:rsidRPr="007E5B57" w:rsidRDefault="00C13E07">
      <w:pPr>
        <w:pStyle w:val="Point1"/>
      </w:pPr>
      <w:r w:rsidRPr="007E5B57">
        <w:t>e)</w:t>
      </w:r>
      <w:r w:rsidRPr="007E5B57">
        <w:tab/>
        <w:t>v relevantných prípadoch rozsah konsolidácie.</w:t>
      </w:r>
    </w:p>
    <w:p w14:paraId="29D08E1F" w14:textId="77777777" w:rsidR="00A83313" w:rsidRPr="007E5B57" w:rsidRDefault="00C13E07">
      <w:pPr>
        <w:pStyle w:val="ChapterTitle"/>
        <w:rPr>
          <w:b w:val="0"/>
        </w:rPr>
      </w:pPr>
      <w:r w:rsidRPr="007E5B57">
        <w:rPr>
          <w:b w:val="0"/>
        </w:rPr>
        <w:t>KAPITOLA III</w:t>
      </w:r>
    </w:p>
    <w:p w14:paraId="40E8FE19" w14:textId="77777777" w:rsidR="00A83313" w:rsidRPr="007E5B57" w:rsidRDefault="00C13E07">
      <w:pPr>
        <w:pStyle w:val="ChapterTitle"/>
      </w:pPr>
      <w:r w:rsidRPr="007E5B57">
        <w:t>ZÁVEREČNÉ USTANOVENIA</w:t>
      </w:r>
    </w:p>
    <w:p w14:paraId="4568DFD2" w14:textId="77777777" w:rsidR="00A83313" w:rsidRPr="007E5B57" w:rsidRDefault="00C13E07">
      <w:pPr>
        <w:pStyle w:val="Titrearticle"/>
        <w:spacing w:before="120"/>
      </w:pPr>
      <w:r w:rsidRPr="007E5B57">
        <w:t>Článok 12</w:t>
      </w:r>
    </w:p>
    <w:p w14:paraId="635F53DA" w14:textId="76C844D0" w:rsidR="00A83313" w:rsidRPr="007E5B57" w:rsidRDefault="00C13E07">
      <w:pPr>
        <w:pStyle w:val="Titrearticle"/>
        <w:spacing w:before="120"/>
        <w:rPr>
          <w:b/>
          <w:i w:val="0"/>
        </w:rPr>
      </w:pPr>
      <w:r w:rsidRPr="007E5B57">
        <w:rPr>
          <w:b/>
          <w:i w:val="0"/>
        </w:rPr>
        <w:t>Nadobudnutie účinnosti</w:t>
      </w:r>
    </w:p>
    <w:p w14:paraId="5B20C6DB" w14:textId="77777777" w:rsidR="00A83313" w:rsidRPr="007E5B57" w:rsidRDefault="00C13E07">
      <w:r w:rsidRPr="007E5B57">
        <w:t>Toto nariadenie nadobúda účinnosť dvadsiatym dňom po jeho uverejnení v </w:t>
      </w:r>
      <w:r w:rsidRPr="007E5B57">
        <w:rPr>
          <w:i/>
        </w:rPr>
        <w:t>Úradnom vestníku Európskej únie</w:t>
      </w:r>
      <w:r w:rsidRPr="007E5B57">
        <w:t>.</w:t>
      </w:r>
    </w:p>
    <w:p w14:paraId="1379B8A5" w14:textId="77777777" w:rsidR="00A83313" w:rsidRPr="007E5B57" w:rsidRDefault="00C13E07">
      <w:pPr>
        <w:pStyle w:val="Applicationdirecte"/>
      </w:pPr>
      <w:r w:rsidRPr="007E5B57">
        <w:t>Toto nariadenie je záväzné v celom rozsahu a priamo uplatniteľné vo všetkých členských štátoch.</w:t>
      </w:r>
    </w:p>
    <w:p w14:paraId="3FAD59CC" w14:textId="77777777" w:rsidR="00A83313" w:rsidRPr="007E5B57" w:rsidRDefault="00C13E07">
      <w:pPr>
        <w:pStyle w:val="Fait"/>
      </w:pPr>
      <w:r w:rsidRPr="007E5B57">
        <w:t>V</w:t>
      </w:r>
      <w:r w:rsidR="00E4274F" w:rsidRPr="007E5B57">
        <w:t> </w:t>
      </w:r>
      <w:r w:rsidRPr="007E5B57">
        <w:t>Bruseli</w:t>
      </w:r>
      <w:r w:rsidR="00E4274F" w:rsidRPr="007E5B57">
        <w:t xml:space="preserve"> 6. decembra 2021</w:t>
      </w:r>
    </w:p>
    <w:p w14:paraId="785AC85D" w14:textId="77777777" w:rsidR="00A83313" w:rsidRPr="007E5B57" w:rsidRDefault="00C13E07">
      <w:pPr>
        <w:pStyle w:val="Institutionquisigne"/>
      </w:pPr>
      <w:r w:rsidRPr="007E5B57">
        <w:tab/>
        <w:t>Za Komisiu</w:t>
      </w:r>
    </w:p>
    <w:p w14:paraId="4DC58F25" w14:textId="77777777" w:rsidR="00A83313" w:rsidRPr="007E5B57" w:rsidRDefault="00C13E07">
      <w:pPr>
        <w:pStyle w:val="Personnequisigne"/>
      </w:pPr>
      <w:r w:rsidRPr="007E5B57">
        <w:tab/>
        <w:t>predsedníčka</w:t>
      </w:r>
    </w:p>
    <w:p w14:paraId="2F1165EB" w14:textId="77777777" w:rsidR="00A83313" w:rsidRPr="00E4274F" w:rsidRDefault="00C13E07">
      <w:pPr>
        <w:pStyle w:val="Personnequisigne"/>
        <w:rPr>
          <w:i w:val="0"/>
        </w:rPr>
      </w:pPr>
      <w:r w:rsidRPr="007E5B57">
        <w:tab/>
      </w:r>
      <w:r w:rsidRPr="007E5B57">
        <w:rPr>
          <w:i w:val="0"/>
        </w:rPr>
        <w:t xml:space="preserve">Ursula </w:t>
      </w:r>
      <w:r w:rsidR="00E4274F" w:rsidRPr="007E5B57">
        <w:rPr>
          <w:i w:val="0"/>
        </w:rPr>
        <w:t>VON DER LEYEN</w:t>
      </w:r>
    </w:p>
    <w:sectPr w:rsidR="00A83313" w:rsidRPr="00E4274F">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E320A1" w14:textId="77777777" w:rsidR="00C13E07" w:rsidRDefault="00C13E07">
      <w:pPr>
        <w:spacing w:before="0" w:after="0"/>
      </w:pPr>
      <w:r>
        <w:separator/>
      </w:r>
    </w:p>
  </w:endnote>
  <w:endnote w:type="continuationSeparator" w:id="0">
    <w:p w14:paraId="19BF9365" w14:textId="77777777" w:rsidR="00C13E07" w:rsidRDefault="00C13E0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B2AC50" w14:textId="77777777" w:rsidR="00A83313" w:rsidRDefault="00A833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D12A05" w14:textId="77777777" w:rsidR="00A83313" w:rsidRDefault="00C13E07">
    <w:pPr>
      <w:pStyle w:val="Footer"/>
      <w:tabs>
        <w:tab w:val="clear" w:pos="4535"/>
        <w:tab w:val="clear" w:pos="9921"/>
      </w:tabs>
      <w:ind w:left="0" w:right="0"/>
    </w:pPr>
    <w:r>
      <w:t>SK - Cleaned document</w:t>
    </w:r>
    <w:r>
      <w:tab/>
    </w:r>
    <w:r>
      <w:fldChar w:fldCharType="begin"/>
    </w:r>
    <w:r>
      <w:instrText xml:space="preserve"> PAGE \* MERGEFORMAT </w:instrText>
    </w:r>
    <w:r>
      <w:fldChar w:fldCharType="separate"/>
    </w:r>
    <w:r w:rsidR="00E4274F">
      <w:rPr>
        <w:noProof/>
      </w:rPr>
      <w:t>1</w:t>
    </w:r>
    <w:r>
      <w:fldChar w:fldCharType="end"/>
    </w:r>
    <w:r>
      <w:t>/</w:t>
    </w:r>
    <w:fldSimple w:instr=" NUMPAGES \* MERGEFORMAT ">
      <w:r w:rsidR="00E4274F">
        <w:rPr>
          <w:noProof/>
        </w:rPr>
        <w:t>7</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A627BF" w14:textId="77777777" w:rsidR="00A83313" w:rsidRDefault="00A833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7FBC4A" w14:textId="77777777" w:rsidR="00C13E07" w:rsidRDefault="00C13E07">
      <w:pPr>
        <w:spacing w:before="0" w:after="0"/>
      </w:pPr>
      <w:r>
        <w:separator/>
      </w:r>
    </w:p>
  </w:footnote>
  <w:footnote w:type="continuationSeparator" w:id="0">
    <w:p w14:paraId="4A1539E9" w14:textId="77777777" w:rsidR="00C13E07" w:rsidRDefault="00C13E07">
      <w:pPr>
        <w:spacing w:before="0" w:after="0"/>
      </w:pPr>
      <w:r>
        <w:continuationSeparator/>
      </w:r>
    </w:p>
  </w:footnote>
  <w:footnote w:id="1">
    <w:p w14:paraId="0F93CF61" w14:textId="77777777" w:rsidR="00A83313" w:rsidRPr="007E5B57" w:rsidRDefault="00C13E07">
      <w:pPr>
        <w:pStyle w:val="FootnoteText"/>
      </w:pPr>
      <w:r w:rsidRPr="007E5B57">
        <w:rPr>
          <w:rStyle w:val="FootnoteReference"/>
        </w:rPr>
        <w:footnoteRef/>
      </w:r>
      <w:r w:rsidRPr="007E5B57">
        <w:tab/>
        <w:t>Ú. v. EÚ L 314, 5.12.2019, s. 1.</w:t>
      </w:r>
    </w:p>
  </w:footnote>
  <w:footnote w:id="2">
    <w:p w14:paraId="34878718" w14:textId="77777777" w:rsidR="00A83313" w:rsidRPr="007E5B57" w:rsidRDefault="00C13E07">
      <w:pPr>
        <w:pStyle w:val="FootnoteText"/>
      </w:pPr>
      <w:r w:rsidRPr="007E5B57">
        <w:rPr>
          <w:rStyle w:val="FootnoteReference"/>
        </w:rPr>
        <w:footnoteRef/>
      </w:r>
      <w:r w:rsidRPr="007E5B57">
        <w:tab/>
        <w:t>Nariadenie Európskeho parlamentu a Rady (EÚ) č. 1093/2010 z 24. novembra 2010, ktorým sa zriaďuje Európsky orgán dohľadu (Európsky orgán pre bankovníctvo) a ktorým sa mení a dopĺňa rozhodnutie č. 716/2009/ES a zrušuje rozhodnutie Komisie 2009/78/ES (Ú. v. EÚ L 331, 15.12.2010, s. 12).</w:t>
      </w:r>
    </w:p>
  </w:footnote>
  <w:footnote w:id="3">
    <w:p w14:paraId="4E5668CD" w14:textId="77777777" w:rsidR="00E4274F" w:rsidRDefault="00E4274F" w:rsidP="00E4274F">
      <w:pPr>
        <w:pStyle w:val="FootnoteText"/>
      </w:pPr>
      <w:r w:rsidRPr="007E5B57">
        <w:rPr>
          <w:rStyle w:val="FootnoteReference"/>
        </w:rPr>
        <w:footnoteRef/>
      </w:r>
      <w:r w:rsidRPr="007E5B57">
        <w:t xml:space="preserve"> </w:t>
      </w:r>
      <w:r w:rsidRPr="007E5B57">
        <w:tab/>
        <w:t>Vykonávacie nariadenie Komisie (EÚ) 2021/451 zo 17. decembra 2020, ktorým sa stanovujú vykonávacie technické predpisy na uplatňovanie nariadenia Európskeho parlamentu a Rady (EÚ) č. 575/2013, pokiaľ ide o vykazovanie inštitúciami na účely dohľadu, a ktorým sa zrušuje vykonávacie nariadenie (EÚ) č. 680/2014 (Ú. v. EÚ L 97, 19.3.2021,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2F83F" w14:textId="77777777" w:rsidR="00A83313" w:rsidRDefault="00A833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3B94DF" w14:textId="5E82A818" w:rsidR="00A83313" w:rsidRDefault="007E5B57">
    <w:pPr>
      <w:pStyle w:val="Header"/>
    </w:pPr>
    <w:r>
      <w:rPr>
        <w:noProof/>
      </w:rPr>
      <mc:AlternateContent>
        <mc:Choice Requires="wps">
          <w:drawing>
            <wp:anchor distT="0" distB="0" distL="114300" distR="114300" simplePos="0" relativeHeight="251659264" behindDoc="0" locked="0" layoutInCell="0" allowOverlap="1" wp14:anchorId="55779C20" wp14:editId="0EC0300B">
              <wp:simplePos x="0" y="0"/>
              <wp:positionH relativeFrom="page">
                <wp:posOffset>0</wp:posOffset>
              </wp:positionH>
              <wp:positionV relativeFrom="page">
                <wp:posOffset>190500</wp:posOffset>
              </wp:positionV>
              <wp:extent cx="7560945" cy="273050"/>
              <wp:effectExtent l="0" t="0" r="0" b="12700"/>
              <wp:wrapNone/>
              <wp:docPr id="1" name="MSIPCM679947808aa8034340d83aa9"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07CBC2" w14:textId="755B8527" w:rsidR="007E5B57" w:rsidRPr="007E5B57" w:rsidRDefault="007E5B57" w:rsidP="007E5B57">
                          <w:pPr>
                            <w:spacing w:before="0" w:after="0"/>
                            <w:jc w:val="left"/>
                            <w:rPr>
                              <w:rFonts w:ascii="Calibri" w:hAnsi="Calibri" w:cs="Calibri"/>
                              <w:color w:val="000000"/>
                            </w:rPr>
                          </w:pPr>
                          <w:r w:rsidRPr="007E5B57">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5779C20" id="_x0000_t202" coordsize="21600,21600" o:spt="202" path="m,l,21600r21600,l21600,xe">
              <v:stroke joinstyle="miter"/>
              <v:path gradientshapeok="t" o:connecttype="rect"/>
            </v:shapetype>
            <v:shape id="MSIPCM679947808aa8034340d83aa9"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" o:allowincell="f" filled="f" stroked="f" strokeweight=".5pt">
              <v:fill o:detectmouseclick="t"/>
              <v:textbox inset="20pt,0,,0">
                <w:txbxContent>
                  <w:p w14:paraId="1407CBC2" w14:textId="755B8527" w:rsidR="007E5B57" w:rsidRPr="007E5B57" w:rsidRDefault="007E5B57" w:rsidP="007E5B57">
                    <w:pPr>
                      <w:spacing w:before="0" w:after="0"/>
                      <w:jc w:val="left"/>
                      <w:rPr>
                        <w:rFonts w:ascii="Calibri" w:hAnsi="Calibri" w:cs="Calibri"/>
                        <w:color w:val="000000"/>
                      </w:rPr>
                    </w:pPr>
                    <w:r w:rsidRPr="007E5B57">
                      <w:rPr>
                        <w:rFonts w:ascii="Calibri" w:hAnsi="Calibri" w:cs="Calibri"/>
                        <w:color w:val="000000"/>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29885C" w14:textId="77777777" w:rsidR="00A83313" w:rsidRDefault="00A833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
  </w:num>
  <w:num w:numId="14">
    <w:abstractNumId w:val="1"/>
  </w:num>
  <w:num w:numId="15">
    <w:abstractNumId w:val="0"/>
  </w:num>
  <w:num w:numId="16">
    <w:abstractNumId w:val="21"/>
    <w:lvlOverride w:ilvl="0">
      <w:startOverride w:val="1"/>
    </w:lvlOverride>
  </w:num>
  <w:num w:numId="17">
    <w:abstractNumId w:val="18"/>
  </w:num>
  <w:num w:numId="18">
    <w:abstractNumId w:val="12"/>
  </w:num>
  <w:num w:numId="19">
    <w:abstractNumId w:val="20"/>
  </w:num>
  <w:num w:numId="20">
    <w:abstractNumId w:val="11"/>
  </w:num>
  <w:num w:numId="21">
    <w:abstractNumId w:val="13"/>
  </w:num>
  <w:num w:numId="22">
    <w:abstractNumId w:val="9"/>
  </w:num>
  <w:num w:numId="23">
    <w:abstractNumId w:val="19"/>
  </w:num>
  <w:num w:numId="24">
    <w:abstractNumId w:val="8"/>
  </w:num>
  <w:num w:numId="25">
    <w:abstractNumId w:val="14"/>
  </w:num>
  <w:num w:numId="26">
    <w:abstractNumId w:val="16"/>
  </w:num>
  <w:num w:numId="27">
    <w:abstractNumId w:val="17"/>
  </w:num>
  <w:num w:numId="28">
    <w:abstractNumId w:val="10"/>
  </w:num>
  <w:num w:numId="29">
    <w:abstractNumId w:val="15"/>
  </w:num>
  <w:num w:numId="30">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8 11:57:5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1"/>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A672A357-11D6-454E-B73C-320EE835B43A"/>
    <w:docVar w:name="LW_COVERPAGE_TYPE" w:val="1"/>
    <w:docVar w:name="LW_CROSSREFERENCE" w:val="&lt;UNUSED&gt;"/>
    <w:docVar w:name="LW_DATE.ADOPT.CP" w:val="z XXX,"/>
    <w:docVar w:name="LW_DATE.ADOPT.CP_DATEFORMAT" w:val="z %DATE%,"/>
    <w:docVar w:name="LW_DATE.ADOPT.CP_ISODATE" w:val="&lt;EMPTY&gt;"/>
    <w:docVar w:name="LW_DocType" w:val="COM"/>
    <w:docVar w:name="LW_EMISSION" w:val="&lt;EMPTY&gt;"/>
    <w:docVar w:name="LW_EMISSION_ISODATE" w:val="&lt;EMPTY&gt;"/>
    <w:docVar w:name="LW_EMISSION_LOCATION" w:val="BRX"/>
    <w:docVar w:name="LW_EMISSION_PREFIX" w:val="V Bruseli"/>
    <w:docVar w:name="LW_EMISSION_SUFFIX" w:val=" "/>
    <w:docVar w:name="LW_ID_DOCMODEL" w:val="SJ-004"/>
    <w:docVar w:name="LW_ID_DOCSIGNATURE" w:val="SJ-004"/>
    <w:docVar w:name="LW_ID_DOCSTRUCTURE" w:val="COM/AA"/>
    <w:docVar w:name="LW_ID_DOCTYPE" w:val="SJ-004"/>
    <w:docVar w:name="LW_INTERETEEE.CP" w:val="(Text s významom pre EHP)"/>
    <w:docVar w:name="LW_LANGUE" w:val="SK"/>
    <w:docVar w:name="LW_LANGUESFAISANTFOI.CP" w:val="&lt;UNUSED&gt;"/>
    <w:docVar w:name="LW_LEVEL_OF_SENSITIVITY" w:val="Standard treatment"/>
    <w:docVar w:name="LW_NOM.INST" w:val="EURÓPSKA KOMISI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ktorým sa stanovujú vykonávacie technické predpisy na uplat\u328?ovanie nariadenia Európskeho parlamentu a Rady (EÚ) 2019/2033, pokia\u318? ide o predkladanie správ a zverej\u328?ovanie informácií investi\u269?nými spolo\u269?nos\u357?ami na ú\u269?ely doh\u318?adu"/>
    <w:docVar w:name="LW_TYPE.DOC.CP" w:val="VYKONÁVACIE NARIADENIE KOMISIE (EÚ) \u8230?/..."/>
  </w:docVars>
  <w:rsids>
    <w:rsidRoot w:val="00A83313"/>
    <w:rsid w:val="004C05DF"/>
    <w:rsid w:val="007E5B57"/>
    <w:rsid w:val="00A83313"/>
    <w:rsid w:val="00C13E07"/>
    <w:rsid w:val="00E42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3F9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sk-SK"/>
    </w:rPr>
  </w:style>
  <w:style w:type="paragraph" w:styleId="Heading1">
    <w:name w:val="heading 1"/>
    <w:basedOn w:val="Normal"/>
    <w:next w:val="Text1"/>
    <w:link w:val="Heading1Char"/>
    <w:uiPriority w:val="9"/>
    <w:qFormat/>
    <w:pPr>
      <w:keepNext/>
      <w:numPr>
        <w:numId w:val="2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3"/>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2"/>
      </w:numPr>
      <w:contextualSpacing/>
    </w:pPr>
  </w:style>
  <w:style w:type="paragraph" w:styleId="ListNumber2">
    <w:name w:val="List Number 2"/>
    <w:basedOn w:val="Normal"/>
    <w:uiPriority w:val="99"/>
    <w:semiHidden/>
    <w:unhideWhenUsed/>
    <w:pPr>
      <w:numPr>
        <w:numId w:val="13"/>
      </w:numPr>
      <w:contextualSpacing/>
    </w:pPr>
  </w:style>
  <w:style w:type="paragraph" w:styleId="ListNumber3">
    <w:name w:val="List Number 3"/>
    <w:basedOn w:val="Normal"/>
    <w:uiPriority w:val="99"/>
    <w:semiHidden/>
    <w:unhideWhenUsed/>
    <w:pPr>
      <w:numPr>
        <w:numId w:val="14"/>
      </w:numPr>
      <w:contextualSpacing/>
    </w:pPr>
  </w:style>
  <w:style w:type="paragraph" w:styleId="ListNumber4">
    <w:name w:val="List Number 4"/>
    <w:basedOn w:val="Normal"/>
    <w:uiPriority w:val="99"/>
    <w:semiHidden/>
    <w:unhideWhenUsed/>
    <w:pPr>
      <w:numPr>
        <w:numId w:val="15"/>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sk-SK"/>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sk-SK"/>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sk-SK"/>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17"/>
      </w:numPr>
    </w:pPr>
  </w:style>
  <w:style w:type="paragraph" w:customStyle="1" w:styleId="Tiret1">
    <w:name w:val="Tiret 1"/>
    <w:basedOn w:val="Point1"/>
    <w:pPr>
      <w:numPr>
        <w:numId w:val="18"/>
      </w:numPr>
    </w:pPr>
  </w:style>
  <w:style w:type="paragraph" w:customStyle="1" w:styleId="Tiret2">
    <w:name w:val="Tiret 2"/>
    <w:basedOn w:val="Point2"/>
    <w:pPr>
      <w:numPr>
        <w:numId w:val="19"/>
      </w:numPr>
    </w:pPr>
  </w:style>
  <w:style w:type="paragraph" w:customStyle="1" w:styleId="Tiret3">
    <w:name w:val="Tiret 3"/>
    <w:basedOn w:val="Point3"/>
    <w:pPr>
      <w:numPr>
        <w:numId w:val="20"/>
      </w:numPr>
    </w:pPr>
  </w:style>
  <w:style w:type="paragraph" w:customStyle="1" w:styleId="Tiret4">
    <w:name w:val="Tiret 4"/>
    <w:basedOn w:val="Point4"/>
    <w:pPr>
      <w:numPr>
        <w:numId w:val="21"/>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2"/>
      </w:numPr>
    </w:pPr>
  </w:style>
  <w:style w:type="paragraph" w:customStyle="1" w:styleId="NumPar2">
    <w:name w:val="NumPar 2"/>
    <w:basedOn w:val="Normal"/>
    <w:next w:val="Text1"/>
    <w:pPr>
      <w:numPr>
        <w:ilvl w:val="1"/>
        <w:numId w:val="22"/>
      </w:numPr>
    </w:pPr>
  </w:style>
  <w:style w:type="paragraph" w:customStyle="1" w:styleId="NumPar3">
    <w:name w:val="NumPar 3"/>
    <w:basedOn w:val="Normal"/>
    <w:next w:val="Text1"/>
    <w:pPr>
      <w:numPr>
        <w:ilvl w:val="2"/>
        <w:numId w:val="22"/>
      </w:numPr>
    </w:pPr>
  </w:style>
  <w:style w:type="paragraph" w:customStyle="1" w:styleId="NumPar4">
    <w:name w:val="NumPar 4"/>
    <w:basedOn w:val="Normal"/>
    <w:next w:val="Text1"/>
    <w:pPr>
      <w:numPr>
        <w:ilvl w:val="3"/>
        <w:numId w:val="22"/>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4"/>
      </w:numPr>
    </w:pPr>
  </w:style>
  <w:style w:type="paragraph" w:customStyle="1" w:styleId="Point1number">
    <w:name w:val="Point 1 (number)"/>
    <w:basedOn w:val="Normal"/>
    <w:pPr>
      <w:numPr>
        <w:ilvl w:val="2"/>
        <w:numId w:val="24"/>
      </w:numPr>
    </w:pPr>
  </w:style>
  <w:style w:type="paragraph" w:customStyle="1" w:styleId="Point2number">
    <w:name w:val="Point 2 (number)"/>
    <w:basedOn w:val="Normal"/>
    <w:pPr>
      <w:numPr>
        <w:ilvl w:val="4"/>
        <w:numId w:val="24"/>
      </w:numPr>
    </w:pPr>
  </w:style>
  <w:style w:type="paragraph" w:customStyle="1" w:styleId="Point3number">
    <w:name w:val="Point 3 (number)"/>
    <w:basedOn w:val="Normal"/>
    <w:pPr>
      <w:numPr>
        <w:ilvl w:val="6"/>
        <w:numId w:val="24"/>
      </w:numPr>
    </w:pPr>
  </w:style>
  <w:style w:type="paragraph" w:customStyle="1" w:styleId="Point0letter">
    <w:name w:val="Point 0 (letter)"/>
    <w:basedOn w:val="Normal"/>
    <w:pPr>
      <w:numPr>
        <w:ilvl w:val="1"/>
        <w:numId w:val="24"/>
      </w:numPr>
    </w:pPr>
  </w:style>
  <w:style w:type="paragraph" w:customStyle="1" w:styleId="Point1letter">
    <w:name w:val="Point 1 (letter)"/>
    <w:basedOn w:val="Normal"/>
    <w:pPr>
      <w:numPr>
        <w:ilvl w:val="3"/>
        <w:numId w:val="24"/>
      </w:numPr>
    </w:pPr>
  </w:style>
  <w:style w:type="paragraph" w:customStyle="1" w:styleId="Point2letter">
    <w:name w:val="Point 2 (letter)"/>
    <w:basedOn w:val="Normal"/>
    <w:pPr>
      <w:numPr>
        <w:ilvl w:val="5"/>
        <w:numId w:val="24"/>
      </w:numPr>
    </w:pPr>
  </w:style>
  <w:style w:type="paragraph" w:customStyle="1" w:styleId="Point3letter">
    <w:name w:val="Point 3 (letter)"/>
    <w:basedOn w:val="Normal"/>
    <w:pPr>
      <w:numPr>
        <w:ilvl w:val="7"/>
        <w:numId w:val="24"/>
      </w:numPr>
    </w:pPr>
  </w:style>
  <w:style w:type="paragraph" w:customStyle="1" w:styleId="Point4letter">
    <w:name w:val="Point 4 (letter)"/>
    <w:basedOn w:val="Normal"/>
    <w:pPr>
      <w:numPr>
        <w:ilvl w:val="8"/>
        <w:numId w:val="24"/>
      </w:numPr>
    </w:pPr>
  </w:style>
  <w:style w:type="paragraph" w:customStyle="1" w:styleId="Bullet0">
    <w:name w:val="Bullet 0"/>
    <w:basedOn w:val="Normal"/>
    <w:pPr>
      <w:numPr>
        <w:numId w:val="25"/>
      </w:numPr>
    </w:pPr>
  </w:style>
  <w:style w:type="paragraph" w:customStyle="1" w:styleId="Bullet1">
    <w:name w:val="Bullet 1"/>
    <w:basedOn w:val="Normal"/>
    <w:pPr>
      <w:numPr>
        <w:numId w:val="26"/>
      </w:numPr>
    </w:pPr>
  </w:style>
  <w:style w:type="paragraph" w:customStyle="1" w:styleId="Bullet2">
    <w:name w:val="Bullet 2"/>
    <w:basedOn w:val="Normal"/>
    <w:pPr>
      <w:numPr>
        <w:numId w:val="27"/>
      </w:numPr>
    </w:pPr>
  </w:style>
  <w:style w:type="paragraph" w:customStyle="1" w:styleId="Bullet3">
    <w:name w:val="Bullet 3"/>
    <w:basedOn w:val="Normal"/>
    <w:pPr>
      <w:numPr>
        <w:numId w:val="28"/>
      </w:numPr>
    </w:pPr>
  </w:style>
  <w:style w:type="paragraph" w:customStyle="1" w:styleId="Bullet4">
    <w:name w:val="Bullet 4"/>
    <w:basedOn w:val="Normal"/>
    <w:pPr>
      <w:numPr>
        <w:numId w:val="29"/>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0"/>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DF978-C9BA-4001-A74A-4FFAEF307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2227</Words>
  <Characters>12697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2021-11-25T15:01:00Z</dcterms:created>
  <dcterms:modified xsi:type="dcterms:W3CDTF">2022-01-14T17:15:00Z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20200226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2022-01-14T17:15:17Z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cc6662d7-e8a7-4499-8b9c-b33074e65d06</vt:lpwstr>
  </property>
  <property fmtid="{D5CDD505-2E9C-101B-9397-08002B2CF9AE}" pid="15" name="MSIP_Label_5c7eb9de-735b-4a68-8fe4-c9c62709b012_ContentBits">
    <vt:lpwstr>1</vt:lpwstr>
  </property>
</Properties>
</file>