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F103F" w14:textId="77777777" w:rsidR="001B665C" w:rsidRPr="009C4695" w:rsidRDefault="009C4695">
      <w:pPr>
        <w:spacing w:after="240" w:line="240" w:lineRule="auto"/>
        <w:jc w:val="center"/>
        <w:rPr>
          <w:rFonts w:ascii="Times New Roman" w:eastAsia="Times New Roman" w:hAnsi="Times New Roman" w:cs="Times New Roman"/>
          <w:b/>
          <w:sz w:val="24"/>
          <w:szCs w:val="24"/>
        </w:rPr>
      </w:pPr>
      <w:bookmarkStart w:id="0" w:name="_Toc359315628"/>
      <w:bookmarkStart w:id="1" w:name="_Toc361844197"/>
      <w:bookmarkStart w:id="2" w:name="_Toc473560873"/>
      <w:bookmarkStart w:id="3" w:name="_Toc7084158"/>
      <w:bookmarkStart w:id="4" w:name="_Toc308175820"/>
      <w:bookmarkStart w:id="5" w:name="_Toc360188325"/>
      <w:r w:rsidRPr="009C4695">
        <w:rPr>
          <w:rFonts w:ascii="Times New Roman" w:hAnsi="Times New Roman"/>
          <w:b/>
          <w:sz w:val="24"/>
          <w:szCs w:val="24"/>
        </w:rPr>
        <w:t>BG</w:t>
      </w:r>
      <w:r w:rsidRPr="009C4695">
        <w:br/>
      </w:r>
      <w:r w:rsidRPr="009C4695">
        <w:rPr>
          <w:rFonts w:ascii="Times New Roman" w:hAnsi="Times New Roman"/>
          <w:b/>
          <w:sz w:val="24"/>
          <w:szCs w:val="24"/>
        </w:rPr>
        <w:t>ПРИЛОЖЕНИЕ II</w:t>
      </w:r>
    </w:p>
    <w:p w14:paraId="478F1063" w14:textId="77777777" w:rsidR="001B665C" w:rsidRPr="009C4695" w:rsidRDefault="009C4695">
      <w:pPr>
        <w:spacing w:after="240" w:line="240" w:lineRule="auto"/>
        <w:jc w:val="center"/>
        <w:rPr>
          <w:rFonts w:ascii="Times New Roman" w:eastAsia="Times New Roman" w:hAnsi="Times New Roman" w:cs="Times New Roman"/>
          <w:b/>
          <w:sz w:val="24"/>
          <w:szCs w:val="20"/>
          <w:u w:val="single"/>
        </w:rPr>
      </w:pPr>
      <w:r w:rsidRPr="009C4695">
        <w:rPr>
          <w:rFonts w:ascii="Times New Roman" w:hAnsi="Times New Roman"/>
          <w:b/>
          <w:sz w:val="24"/>
          <w:szCs w:val="20"/>
          <w:u w:val="single"/>
        </w:rPr>
        <w:t>ПРИЛОЖЕНИЕ II</w:t>
      </w:r>
      <w:bookmarkEnd w:id="0"/>
      <w:bookmarkEnd w:id="1"/>
    </w:p>
    <w:p w14:paraId="56747517" w14:textId="77777777" w:rsidR="001B665C" w:rsidRPr="009C4695" w:rsidRDefault="009C4695">
      <w:pPr>
        <w:spacing w:after="240" w:line="240" w:lineRule="auto"/>
        <w:jc w:val="center"/>
        <w:rPr>
          <w:rFonts w:ascii="Times New Roman" w:eastAsia="Times New Roman" w:hAnsi="Times New Roman" w:cs="Times New Roman"/>
          <w:b/>
          <w:sz w:val="24"/>
          <w:szCs w:val="20"/>
        </w:rPr>
      </w:pPr>
      <w:r w:rsidRPr="009C4695">
        <w:rPr>
          <w:rFonts w:ascii="Times New Roman" w:hAnsi="Times New Roman"/>
          <w:b/>
          <w:sz w:val="24"/>
          <w:szCs w:val="20"/>
        </w:rPr>
        <w:t>ДОКЛАДВАНЕ ОТ СТРАНА НА ИНВЕСТИЦИОННИ ПОСРЕДНИЦИ, РАЗЛИЧНИ ОТ МАЛКИ И НЕВЗАИМОСВЪРЗАНИ ИНВЕСТИЦИОННИ ПОСРЕДНИЦИ</w:t>
      </w:r>
    </w:p>
    <w:p w14:paraId="4CBCC600" w14:textId="77777777" w:rsidR="001B665C" w:rsidRPr="009C4695" w:rsidRDefault="009C4695">
      <w:pPr>
        <w:spacing w:after="0" w:line="240" w:lineRule="auto"/>
        <w:rPr>
          <w:rFonts w:ascii="Times New Roman" w:eastAsia="Times New Roman" w:hAnsi="Times New Roman" w:cs="Times New Roman"/>
          <w:sz w:val="24"/>
          <w:szCs w:val="24"/>
        </w:rPr>
      </w:pPr>
      <w:r w:rsidRPr="009C4695">
        <w:rPr>
          <w:rFonts w:ascii="Times New Roman" w:hAnsi="Times New Roman"/>
          <w:sz w:val="24"/>
          <w:szCs w:val="24"/>
        </w:rPr>
        <w:t>Съдържание</w:t>
      </w:r>
    </w:p>
    <w:p w14:paraId="0104D541"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rPr>
        <w:t>ЧАСТ I: ОБЩИ УКАЗАНИЯ</w:t>
      </w:r>
      <w:r w:rsidRPr="009C4695">
        <w:rPr>
          <w:noProof/>
        </w:rPr>
        <w:tab/>
        <w:t>4</w:t>
      </w:r>
    </w:p>
    <w:p w14:paraId="3175DDA1"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rPr>
        <w:t>1. Структура и правила</w:t>
      </w:r>
      <w:r w:rsidRPr="009C4695">
        <w:rPr>
          <w:noProof/>
        </w:rPr>
        <w:tab/>
        <w:t>4</w:t>
      </w:r>
    </w:p>
    <w:p w14:paraId="11C43A1E"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u w:val="single"/>
        </w:rPr>
        <w:t>1.1</w:t>
      </w:r>
      <w:r w:rsidRPr="009C4695">
        <w:rPr>
          <w:rFonts w:ascii="Times New Roman" w:hAnsi="Times New Roman"/>
          <w:noProof/>
          <w:u w:val="single"/>
        </w:rPr>
        <w:t xml:space="preserve"> Структура</w:t>
      </w:r>
      <w:r w:rsidRPr="009C4695">
        <w:rPr>
          <w:noProof/>
        </w:rPr>
        <w:tab/>
        <w:t>4</w:t>
      </w:r>
    </w:p>
    <w:p w14:paraId="2FF63A99"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u w:val="single"/>
        </w:rPr>
        <w:t>1.2</w:t>
      </w:r>
      <w:r w:rsidRPr="009C4695">
        <w:rPr>
          <w:rFonts w:ascii="Times New Roman" w:hAnsi="Times New Roman"/>
          <w:noProof/>
          <w:u w:val="single"/>
        </w:rPr>
        <w:t xml:space="preserve"> Правила за номериране</w:t>
      </w:r>
      <w:r w:rsidRPr="009C4695">
        <w:rPr>
          <w:noProof/>
        </w:rPr>
        <w:tab/>
        <w:t>4</w:t>
      </w:r>
    </w:p>
    <w:p w14:paraId="1432C96D"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u w:val="single"/>
        </w:rPr>
        <w:t>1.3</w:t>
      </w:r>
      <w:r w:rsidRPr="009C4695">
        <w:rPr>
          <w:rFonts w:ascii="Times New Roman" w:hAnsi="Times New Roman"/>
          <w:noProof/>
          <w:u w:val="single"/>
        </w:rPr>
        <w:t xml:space="preserve"> Правила относно представянето на положителни и отрицателни стойности</w:t>
      </w:r>
      <w:r w:rsidRPr="009C4695">
        <w:rPr>
          <w:noProof/>
        </w:rPr>
        <w:tab/>
        <w:t>4</w:t>
      </w:r>
    </w:p>
    <w:p w14:paraId="7B662184"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u w:val="single"/>
        </w:rPr>
        <w:t>1.4</w:t>
      </w:r>
      <w:r w:rsidRPr="009C4695">
        <w:rPr>
          <w:rFonts w:ascii="Times New Roman" w:hAnsi="Times New Roman"/>
          <w:noProof/>
          <w:u w:val="single"/>
        </w:rPr>
        <w:t xml:space="preserve"> Пруденциална консолидация</w:t>
      </w:r>
      <w:r w:rsidRPr="009C4695">
        <w:rPr>
          <w:noProof/>
        </w:rPr>
        <w:tab/>
        <w:t>5</w:t>
      </w:r>
    </w:p>
    <w:p w14:paraId="1820AF04"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rPr>
        <w:t>ЧАСТ II: УКАЗАНИЯ ОТНОСНО ОБРАЗЦИТЕ</w:t>
      </w:r>
      <w:r w:rsidRPr="009C4695">
        <w:rPr>
          <w:noProof/>
        </w:rPr>
        <w:tab/>
        <w:t>5</w:t>
      </w:r>
    </w:p>
    <w:p w14:paraId="38E6F775"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b/>
          <w:noProof/>
        </w:rPr>
        <w:t>1. СОБСТВЕН КАПИТАЛ: РАЗМЕР, СЪСТАВ, ИЗИСКВАНИЯ И ИЗЧИСЛЯВАНЕ</w:t>
      </w:r>
      <w:r w:rsidRPr="009C4695">
        <w:rPr>
          <w:noProof/>
        </w:rPr>
        <w:tab/>
        <w:t>5</w:t>
      </w:r>
    </w:p>
    <w:p w14:paraId="0FB01687"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rPr>
        <w:t>1.1</w:t>
      </w:r>
      <w:r w:rsidRPr="009C4695">
        <w:rPr>
          <w:rFonts w:ascii="Times New Roman" w:hAnsi="Times New Roman"/>
          <w:noProof/>
        </w:rPr>
        <w:t xml:space="preserve"> Общи положения</w:t>
      </w:r>
      <w:r w:rsidRPr="009C4695">
        <w:rPr>
          <w:noProof/>
        </w:rPr>
        <w:tab/>
        <w:t>5</w:t>
      </w:r>
    </w:p>
    <w:p w14:paraId="715CF668"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rPr>
        <w:t>1.2.</w:t>
      </w:r>
      <w:r w:rsidRPr="009C4695">
        <w:rPr>
          <w:rFonts w:ascii="Times New Roman" w:hAnsi="Times New Roman"/>
          <w:noProof/>
        </w:rPr>
        <w:t xml:space="preserve"> I </w:t>
      </w:r>
      <w:r w:rsidRPr="009C4695">
        <w:rPr>
          <w:rFonts w:ascii="Times New Roman" w:hAnsi="Times New Roman"/>
          <w:noProof/>
        </w:rPr>
        <w:t>01.00</w:t>
      </w:r>
      <w:r w:rsidRPr="009C4695">
        <w:rPr>
          <w:rFonts w:ascii="Times New Roman" w:hAnsi="Times New Roman"/>
          <w:noProof/>
        </w:rPr>
        <w:t xml:space="preserve"> – СЪСТАВ НА СОБСТВЕНИЯ КАПИТАЛ (I 1)</w:t>
      </w:r>
      <w:r w:rsidRPr="009C4695">
        <w:rPr>
          <w:noProof/>
        </w:rPr>
        <w:tab/>
        <w:t>5</w:t>
      </w:r>
    </w:p>
    <w:p w14:paraId="1665EAEC" w14:textId="77777777" w:rsidR="001B665C" w:rsidRPr="009C4695" w:rsidRDefault="009C4695">
      <w:pPr>
        <w:pStyle w:val="TOC2"/>
        <w:tabs>
          <w:tab w:val="left" w:pos="1100"/>
          <w:tab w:val="right" w:leader="dot" w:pos="9016"/>
        </w:tabs>
        <w:rPr>
          <w:rFonts w:eastAsiaTheme="minorEastAsia"/>
          <w:noProof/>
        </w:rPr>
      </w:pPr>
      <w:r w:rsidRPr="009C4695">
        <w:rPr>
          <w:rFonts w:ascii="Times New Roman" w:hAnsi="Times New Roman"/>
          <w:noProof/>
        </w:rPr>
        <w:t>1.2.1.</w:t>
      </w:r>
      <w:r w:rsidRPr="009C4695">
        <w:rPr>
          <w:rFonts w:eastAsiaTheme="minorEastAsia"/>
          <w:noProof/>
        </w:rPr>
        <w:tab/>
      </w:r>
      <w:r w:rsidRPr="009C4695">
        <w:rPr>
          <w:rFonts w:ascii="Times New Roman" w:hAnsi="Times New Roman"/>
          <w:noProof/>
          <w:u w:val="single"/>
        </w:rPr>
        <w:t>Указания относно определени позиции</w:t>
      </w:r>
      <w:r w:rsidRPr="009C4695">
        <w:rPr>
          <w:noProof/>
        </w:rPr>
        <w:tab/>
        <w:t>5</w:t>
      </w:r>
    </w:p>
    <w:p w14:paraId="5EF20C04"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u w:val="single"/>
        </w:rPr>
        <w:t>1.3.</w:t>
      </w:r>
      <w:r w:rsidRPr="009C4695">
        <w:rPr>
          <w:rFonts w:ascii="Times New Roman" w:hAnsi="Times New Roman"/>
          <w:noProof/>
          <w:u w:val="single"/>
        </w:rPr>
        <w:t xml:space="preserve"> I </w:t>
      </w:r>
      <w:r w:rsidRPr="009C4695">
        <w:rPr>
          <w:rFonts w:ascii="Times New Roman" w:hAnsi="Times New Roman"/>
          <w:noProof/>
          <w:u w:val="single"/>
        </w:rPr>
        <w:t>02.01</w:t>
      </w:r>
      <w:r w:rsidRPr="009C4695">
        <w:rPr>
          <w:rFonts w:ascii="Times New Roman" w:hAnsi="Times New Roman"/>
          <w:noProof/>
          <w:u w:val="single"/>
        </w:rPr>
        <w:t xml:space="preserve"> — КАПИТАЛОВИ ИЗИСКВАНИЯ (I </w:t>
      </w:r>
      <w:r w:rsidRPr="009C4695">
        <w:rPr>
          <w:rFonts w:ascii="Times New Roman" w:hAnsi="Times New Roman"/>
          <w:noProof/>
          <w:u w:val="single"/>
        </w:rPr>
        <w:t>2.1</w:t>
      </w:r>
      <w:r w:rsidRPr="009C4695">
        <w:rPr>
          <w:rFonts w:ascii="Times New Roman" w:hAnsi="Times New Roman"/>
          <w:noProof/>
          <w:u w:val="single"/>
        </w:rPr>
        <w:t>)</w:t>
      </w:r>
      <w:r w:rsidRPr="009C4695">
        <w:rPr>
          <w:noProof/>
        </w:rPr>
        <w:tab/>
        <w:t>13</w:t>
      </w:r>
    </w:p>
    <w:p w14:paraId="06C3DCB5" w14:textId="77777777" w:rsidR="001B665C" w:rsidRPr="009C4695" w:rsidRDefault="009C4695">
      <w:pPr>
        <w:pStyle w:val="TOC2"/>
        <w:tabs>
          <w:tab w:val="left" w:pos="1100"/>
          <w:tab w:val="right" w:leader="dot" w:pos="9016"/>
        </w:tabs>
        <w:rPr>
          <w:rFonts w:eastAsiaTheme="minorEastAsia"/>
          <w:noProof/>
        </w:rPr>
      </w:pPr>
      <w:r w:rsidRPr="009C4695">
        <w:rPr>
          <w:rFonts w:ascii="Times New Roman" w:hAnsi="Times New Roman"/>
          <w:noProof/>
        </w:rPr>
        <w:t>1.3.1.</w:t>
      </w:r>
      <w:r w:rsidRPr="009C4695">
        <w:rPr>
          <w:rFonts w:ascii="Times New Roman" w:hAnsi="Times New Roman"/>
          <w:noProof/>
        </w:rPr>
        <w:tab/>
      </w:r>
      <w:r w:rsidRPr="009C4695">
        <w:rPr>
          <w:rFonts w:ascii="Times New Roman" w:hAnsi="Times New Roman"/>
          <w:noProof/>
          <w:u w:val="single"/>
        </w:rPr>
        <w:t>Указания относно определени позиции</w:t>
      </w:r>
      <w:r w:rsidRPr="009C4695">
        <w:rPr>
          <w:noProof/>
        </w:rPr>
        <w:tab/>
        <w:t>13</w:t>
      </w:r>
    </w:p>
    <w:p w14:paraId="22F6CAC5"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u w:val="single"/>
        </w:rPr>
        <w:t>1.4.</w:t>
      </w:r>
      <w:r w:rsidRPr="009C4695">
        <w:rPr>
          <w:rFonts w:ascii="Times New Roman" w:hAnsi="Times New Roman"/>
          <w:noProof/>
          <w:u w:val="single"/>
        </w:rPr>
        <w:t xml:space="preserve"> I </w:t>
      </w:r>
      <w:r w:rsidRPr="009C4695">
        <w:rPr>
          <w:rFonts w:ascii="Times New Roman" w:hAnsi="Times New Roman"/>
          <w:noProof/>
          <w:u w:val="single"/>
        </w:rPr>
        <w:t>02.02</w:t>
      </w:r>
      <w:r w:rsidRPr="009C4695">
        <w:rPr>
          <w:rFonts w:ascii="Times New Roman" w:hAnsi="Times New Roman"/>
          <w:noProof/>
          <w:u w:val="single"/>
        </w:rPr>
        <w:t xml:space="preserve"> — КАПИТАЛОВИ СЪОТНОШЕНИЯ (I </w:t>
      </w:r>
      <w:r w:rsidRPr="009C4695">
        <w:rPr>
          <w:rFonts w:ascii="Times New Roman" w:hAnsi="Times New Roman"/>
          <w:noProof/>
          <w:u w:val="single"/>
        </w:rPr>
        <w:t>2.2</w:t>
      </w:r>
      <w:r w:rsidRPr="009C4695">
        <w:rPr>
          <w:rFonts w:ascii="Times New Roman" w:hAnsi="Times New Roman"/>
          <w:noProof/>
          <w:u w:val="single"/>
        </w:rPr>
        <w:t>)</w:t>
      </w:r>
      <w:r w:rsidRPr="009C4695">
        <w:rPr>
          <w:noProof/>
        </w:rPr>
        <w:tab/>
        <w:t>14</w:t>
      </w:r>
    </w:p>
    <w:p w14:paraId="70CDB830" w14:textId="77777777" w:rsidR="001B665C" w:rsidRPr="009C4695" w:rsidRDefault="009C4695">
      <w:pPr>
        <w:pStyle w:val="TOC2"/>
        <w:tabs>
          <w:tab w:val="left" w:pos="1100"/>
          <w:tab w:val="right" w:leader="dot" w:pos="9016"/>
        </w:tabs>
        <w:rPr>
          <w:rFonts w:eastAsiaTheme="minorEastAsia"/>
          <w:noProof/>
        </w:rPr>
      </w:pPr>
      <w:r w:rsidRPr="009C4695">
        <w:rPr>
          <w:rFonts w:ascii="Times New Roman" w:hAnsi="Times New Roman"/>
          <w:noProof/>
        </w:rPr>
        <w:t>1.4.1.</w:t>
      </w:r>
      <w:r w:rsidRPr="009C4695">
        <w:rPr>
          <w:rFonts w:eastAsiaTheme="minorEastAsia"/>
          <w:noProof/>
        </w:rPr>
        <w:tab/>
      </w:r>
      <w:r w:rsidRPr="009C4695">
        <w:rPr>
          <w:rFonts w:ascii="Times New Roman" w:hAnsi="Times New Roman"/>
          <w:noProof/>
          <w:u w:val="single"/>
        </w:rPr>
        <w:t>Указания относно определени позиции</w:t>
      </w:r>
      <w:r w:rsidRPr="009C4695">
        <w:rPr>
          <w:noProof/>
        </w:rPr>
        <w:tab/>
        <w:t>14</w:t>
      </w:r>
    </w:p>
    <w:p w14:paraId="1F1FF45D"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u w:val="single"/>
        </w:rPr>
        <w:t>1.5.</w:t>
      </w:r>
      <w:r w:rsidRPr="009C4695">
        <w:rPr>
          <w:rFonts w:ascii="Times New Roman" w:hAnsi="Times New Roman"/>
          <w:noProof/>
          <w:u w:val="single"/>
        </w:rPr>
        <w:t xml:space="preserve"> I </w:t>
      </w:r>
      <w:r w:rsidRPr="009C4695">
        <w:rPr>
          <w:rFonts w:ascii="Times New Roman" w:hAnsi="Times New Roman"/>
          <w:noProof/>
          <w:u w:val="single"/>
        </w:rPr>
        <w:t>03.00</w:t>
      </w:r>
      <w:r w:rsidRPr="009C4695">
        <w:rPr>
          <w:rFonts w:ascii="Times New Roman" w:hAnsi="Times New Roman"/>
          <w:noProof/>
          <w:u w:val="single"/>
        </w:rPr>
        <w:t xml:space="preserve"> — ИЗЧИСЛЯВАНЕ НА ИЗИСКВАНЕТО ЗА ПОСТОЯННИТЕ ОБЩИ РАЗХОДИ (I 3)</w:t>
      </w:r>
      <w:r w:rsidRPr="009C4695">
        <w:rPr>
          <w:noProof/>
        </w:rPr>
        <w:tab/>
        <w:t>15</w:t>
      </w:r>
    </w:p>
    <w:p w14:paraId="27EE4F0E" w14:textId="77777777" w:rsidR="001B665C" w:rsidRPr="009C4695" w:rsidRDefault="009C4695">
      <w:pPr>
        <w:pStyle w:val="TOC2"/>
        <w:tabs>
          <w:tab w:val="left" w:pos="1100"/>
          <w:tab w:val="right" w:leader="dot" w:pos="9016"/>
        </w:tabs>
        <w:rPr>
          <w:rFonts w:eastAsiaTheme="minorEastAsia"/>
          <w:noProof/>
        </w:rPr>
      </w:pPr>
      <w:r w:rsidRPr="009C4695">
        <w:rPr>
          <w:rFonts w:ascii="Times New Roman" w:hAnsi="Times New Roman"/>
          <w:noProof/>
        </w:rPr>
        <w:t>1.5.1.</w:t>
      </w:r>
      <w:r w:rsidRPr="009C4695">
        <w:rPr>
          <w:rFonts w:eastAsiaTheme="minorEastAsia"/>
          <w:noProof/>
        </w:rPr>
        <w:tab/>
      </w:r>
      <w:r w:rsidRPr="009C4695">
        <w:rPr>
          <w:rFonts w:ascii="Times New Roman" w:hAnsi="Times New Roman"/>
          <w:noProof/>
          <w:u w:val="single"/>
        </w:rPr>
        <w:t>Указания относно определени позиции</w:t>
      </w:r>
      <w:r w:rsidRPr="009C4695">
        <w:rPr>
          <w:noProof/>
        </w:rPr>
        <w:tab/>
        <w:t>15</w:t>
      </w:r>
    </w:p>
    <w:p w14:paraId="7C5B998F"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u w:val="single"/>
        </w:rPr>
        <w:t>1.6.</w:t>
      </w:r>
      <w:r w:rsidRPr="009C4695">
        <w:rPr>
          <w:rFonts w:ascii="Times New Roman" w:hAnsi="Times New Roman"/>
          <w:noProof/>
          <w:u w:val="single"/>
        </w:rPr>
        <w:t xml:space="preserve"> I </w:t>
      </w:r>
      <w:r w:rsidRPr="009C4695">
        <w:rPr>
          <w:rFonts w:ascii="Times New Roman" w:hAnsi="Times New Roman"/>
          <w:noProof/>
          <w:u w:val="single"/>
        </w:rPr>
        <w:t>04.00</w:t>
      </w:r>
      <w:r w:rsidRPr="009C4695">
        <w:rPr>
          <w:rFonts w:ascii="Times New Roman" w:hAnsi="Times New Roman"/>
          <w:noProof/>
          <w:u w:val="single"/>
        </w:rPr>
        <w:t xml:space="preserve"> — ИЗЧИСЛЯВАНЕ НА ОБЩОТО ИЗИСКВАНЕ В</w:t>
      </w:r>
      <w:r w:rsidRPr="009C4695">
        <w:rPr>
          <w:rFonts w:ascii="Times New Roman" w:hAnsi="Times New Roman"/>
          <w:noProof/>
          <w:u w:val="single"/>
        </w:rPr>
        <w:t>ЪЗ ОСНОВА НА К-ФАКТОРИТЕ (I 4)</w:t>
      </w:r>
      <w:r w:rsidRPr="009C4695">
        <w:rPr>
          <w:noProof/>
        </w:rPr>
        <w:tab/>
        <w:t>18</w:t>
      </w:r>
    </w:p>
    <w:p w14:paraId="611EFC1B" w14:textId="77777777" w:rsidR="001B665C" w:rsidRPr="009C4695" w:rsidRDefault="009C4695">
      <w:pPr>
        <w:pStyle w:val="TOC2"/>
        <w:tabs>
          <w:tab w:val="left" w:pos="1100"/>
          <w:tab w:val="right" w:leader="dot" w:pos="9016"/>
        </w:tabs>
        <w:rPr>
          <w:rFonts w:eastAsiaTheme="minorEastAsia"/>
          <w:noProof/>
        </w:rPr>
      </w:pPr>
      <w:r w:rsidRPr="009C4695">
        <w:rPr>
          <w:rFonts w:ascii="Times New Roman" w:hAnsi="Times New Roman"/>
          <w:noProof/>
        </w:rPr>
        <w:t>1.6.1.</w:t>
      </w:r>
      <w:r w:rsidRPr="009C4695">
        <w:rPr>
          <w:rFonts w:ascii="Times New Roman" w:hAnsi="Times New Roman"/>
          <w:noProof/>
        </w:rPr>
        <w:tab/>
      </w:r>
      <w:r w:rsidRPr="009C4695">
        <w:rPr>
          <w:rFonts w:ascii="Times New Roman" w:hAnsi="Times New Roman"/>
          <w:noProof/>
          <w:u w:val="single"/>
        </w:rPr>
        <w:t>Указания относно определени позиции</w:t>
      </w:r>
      <w:r w:rsidRPr="009C4695">
        <w:rPr>
          <w:noProof/>
        </w:rPr>
        <w:tab/>
        <w:t>18</w:t>
      </w:r>
    </w:p>
    <w:p w14:paraId="7CBA8D11"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b/>
          <w:noProof/>
        </w:rPr>
        <w:t>2. МАЛКИ И НЕВЗАИМОСВЪРЗАНИ ИНВЕСТИЦИОННИ ПОСРЕДНИЦИ</w:t>
      </w:r>
      <w:r w:rsidRPr="009C4695">
        <w:rPr>
          <w:noProof/>
        </w:rPr>
        <w:tab/>
        <w:t>20</w:t>
      </w:r>
    </w:p>
    <w:p w14:paraId="1BC2CFA5"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u w:val="single"/>
        </w:rPr>
        <w:t>2.1.</w:t>
      </w:r>
      <w:r w:rsidRPr="009C4695">
        <w:rPr>
          <w:rFonts w:ascii="Times New Roman" w:hAnsi="Times New Roman"/>
          <w:noProof/>
          <w:u w:val="single"/>
        </w:rPr>
        <w:t xml:space="preserve"> I </w:t>
      </w:r>
      <w:r w:rsidRPr="009C4695">
        <w:rPr>
          <w:rFonts w:ascii="Times New Roman" w:hAnsi="Times New Roman"/>
          <w:noProof/>
          <w:u w:val="single"/>
        </w:rPr>
        <w:t>05.00</w:t>
      </w:r>
      <w:r w:rsidRPr="009C4695">
        <w:rPr>
          <w:rFonts w:ascii="Times New Roman" w:hAnsi="Times New Roman"/>
          <w:noProof/>
          <w:u w:val="single"/>
        </w:rPr>
        <w:t xml:space="preserve"> — РАЗМЕР НА ДЕЙНОСТТА — ПРЕГЛЕД НА ПРАГА (I 5)</w:t>
      </w:r>
      <w:r w:rsidRPr="009C4695">
        <w:rPr>
          <w:noProof/>
        </w:rPr>
        <w:tab/>
        <w:t>20</w:t>
      </w:r>
    </w:p>
    <w:p w14:paraId="1BA4BA32" w14:textId="77777777" w:rsidR="001B665C" w:rsidRPr="009C4695" w:rsidRDefault="009C4695">
      <w:pPr>
        <w:pStyle w:val="TOC2"/>
        <w:tabs>
          <w:tab w:val="left" w:pos="1100"/>
          <w:tab w:val="right" w:leader="dot" w:pos="9016"/>
        </w:tabs>
        <w:rPr>
          <w:rFonts w:eastAsiaTheme="minorEastAsia"/>
          <w:noProof/>
        </w:rPr>
      </w:pPr>
      <w:r w:rsidRPr="009C4695">
        <w:rPr>
          <w:rFonts w:ascii="Times New Roman" w:hAnsi="Times New Roman"/>
          <w:noProof/>
        </w:rPr>
        <w:t>2.1.1.</w:t>
      </w:r>
      <w:r w:rsidRPr="009C4695">
        <w:rPr>
          <w:rFonts w:eastAsiaTheme="minorEastAsia"/>
          <w:noProof/>
        </w:rPr>
        <w:tab/>
      </w:r>
      <w:r w:rsidRPr="009C4695">
        <w:rPr>
          <w:rFonts w:ascii="Times New Roman" w:hAnsi="Times New Roman"/>
          <w:noProof/>
          <w:u w:val="single"/>
        </w:rPr>
        <w:t>Указания относно определени позиции</w:t>
      </w:r>
      <w:r w:rsidRPr="009C4695">
        <w:rPr>
          <w:noProof/>
        </w:rPr>
        <w:tab/>
        <w:t>20</w:t>
      </w:r>
    </w:p>
    <w:p w14:paraId="1987CE0F"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b/>
          <w:noProof/>
        </w:rPr>
        <w:t xml:space="preserve">3. </w:t>
      </w:r>
      <w:r w:rsidRPr="009C4695">
        <w:rPr>
          <w:rFonts w:ascii="Times New Roman" w:hAnsi="Times New Roman"/>
          <w:b/>
          <w:noProof/>
        </w:rPr>
        <w:t>ИЗИСКВАНИЯ ВЪЗ ОСНОВА НА К-ФАКТОРИТЕ — ДОПЪЛНИТЕЛНА ИНФОРМАЦИЯ</w:t>
      </w:r>
      <w:r w:rsidRPr="009C4695">
        <w:rPr>
          <w:noProof/>
        </w:rPr>
        <w:tab/>
        <w:t>23</w:t>
      </w:r>
    </w:p>
    <w:p w14:paraId="09F8CA47"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u w:val="single"/>
        </w:rPr>
        <w:t>3.2.</w:t>
      </w:r>
      <w:r w:rsidRPr="009C4695">
        <w:rPr>
          <w:rFonts w:ascii="Times New Roman" w:hAnsi="Times New Roman"/>
          <w:noProof/>
          <w:u w:val="single"/>
        </w:rPr>
        <w:t xml:space="preserve"> I </w:t>
      </w:r>
      <w:r w:rsidRPr="009C4695">
        <w:rPr>
          <w:rFonts w:ascii="Times New Roman" w:hAnsi="Times New Roman"/>
          <w:noProof/>
          <w:u w:val="single"/>
        </w:rPr>
        <w:t>06.01</w:t>
      </w:r>
      <w:r w:rsidRPr="009C4695">
        <w:rPr>
          <w:rFonts w:ascii="Times New Roman" w:hAnsi="Times New Roman"/>
          <w:noProof/>
          <w:u w:val="single"/>
        </w:rPr>
        <w:t xml:space="preserve"> –—УПРАВЛЯВАНИ АКТИВИ — ДОПЪЛНИТЕЛНА ИНФОРМАЦИЯ (I </w:t>
      </w:r>
      <w:r w:rsidRPr="009C4695">
        <w:rPr>
          <w:rFonts w:ascii="Times New Roman" w:hAnsi="Times New Roman"/>
          <w:noProof/>
          <w:u w:val="single"/>
        </w:rPr>
        <w:t>6.1</w:t>
      </w:r>
      <w:r w:rsidRPr="009C4695">
        <w:rPr>
          <w:rFonts w:ascii="Times New Roman" w:hAnsi="Times New Roman"/>
          <w:noProof/>
          <w:u w:val="single"/>
        </w:rPr>
        <w:t>)</w:t>
      </w:r>
      <w:r w:rsidRPr="009C4695">
        <w:rPr>
          <w:noProof/>
        </w:rPr>
        <w:tab/>
        <w:t>24</w:t>
      </w:r>
    </w:p>
    <w:p w14:paraId="2874BB72" w14:textId="77777777" w:rsidR="001B665C" w:rsidRPr="009C4695" w:rsidRDefault="009C4695">
      <w:pPr>
        <w:pStyle w:val="TOC2"/>
        <w:tabs>
          <w:tab w:val="left" w:pos="1100"/>
          <w:tab w:val="right" w:leader="dot" w:pos="9016"/>
        </w:tabs>
        <w:rPr>
          <w:rFonts w:eastAsiaTheme="minorEastAsia"/>
          <w:noProof/>
        </w:rPr>
      </w:pPr>
      <w:r w:rsidRPr="009C4695">
        <w:rPr>
          <w:rFonts w:ascii="Times New Roman" w:hAnsi="Times New Roman"/>
          <w:noProof/>
        </w:rPr>
        <w:t>3.2.1.</w:t>
      </w:r>
      <w:r w:rsidRPr="009C4695">
        <w:rPr>
          <w:rFonts w:ascii="Times New Roman" w:hAnsi="Times New Roman"/>
          <w:noProof/>
        </w:rPr>
        <w:tab/>
      </w:r>
      <w:r w:rsidRPr="009C4695">
        <w:rPr>
          <w:rFonts w:ascii="Times New Roman" w:hAnsi="Times New Roman"/>
          <w:noProof/>
          <w:u w:val="single"/>
        </w:rPr>
        <w:t>Указания относно определени позиции</w:t>
      </w:r>
      <w:r w:rsidRPr="009C4695">
        <w:rPr>
          <w:noProof/>
        </w:rPr>
        <w:tab/>
        <w:t>24</w:t>
      </w:r>
    </w:p>
    <w:p w14:paraId="2147B9FD"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u w:val="single"/>
        </w:rPr>
        <w:t>3.3.</w:t>
      </w:r>
      <w:r w:rsidRPr="009C4695">
        <w:rPr>
          <w:rFonts w:ascii="Times New Roman" w:hAnsi="Times New Roman"/>
          <w:noProof/>
          <w:u w:val="single"/>
        </w:rPr>
        <w:t xml:space="preserve"> I </w:t>
      </w:r>
      <w:r w:rsidRPr="009C4695">
        <w:rPr>
          <w:rFonts w:ascii="Times New Roman" w:hAnsi="Times New Roman"/>
          <w:noProof/>
          <w:u w:val="single"/>
        </w:rPr>
        <w:t>06.02</w:t>
      </w:r>
      <w:r w:rsidRPr="009C4695">
        <w:rPr>
          <w:rFonts w:ascii="Times New Roman" w:hAnsi="Times New Roman"/>
          <w:noProof/>
          <w:u w:val="single"/>
        </w:rPr>
        <w:t xml:space="preserve"> – МЕСЕЧНА СТОЙНОСТ НА УПРАВЛЯВАНИТЕ АКТИВИ (I </w:t>
      </w:r>
      <w:r w:rsidRPr="009C4695">
        <w:rPr>
          <w:rFonts w:ascii="Times New Roman" w:hAnsi="Times New Roman"/>
          <w:noProof/>
          <w:u w:val="single"/>
        </w:rPr>
        <w:t>6.2</w:t>
      </w:r>
      <w:r w:rsidRPr="009C4695">
        <w:rPr>
          <w:rFonts w:ascii="Times New Roman" w:hAnsi="Times New Roman"/>
          <w:noProof/>
          <w:u w:val="single"/>
        </w:rPr>
        <w:t>)</w:t>
      </w:r>
      <w:r w:rsidRPr="009C4695">
        <w:rPr>
          <w:noProof/>
        </w:rPr>
        <w:tab/>
        <w:t>25</w:t>
      </w:r>
    </w:p>
    <w:p w14:paraId="57B6F3E1" w14:textId="77777777" w:rsidR="001B665C" w:rsidRPr="009C4695" w:rsidRDefault="009C4695">
      <w:pPr>
        <w:pStyle w:val="TOC2"/>
        <w:tabs>
          <w:tab w:val="left" w:pos="1100"/>
          <w:tab w:val="right" w:leader="dot" w:pos="9016"/>
        </w:tabs>
        <w:rPr>
          <w:rFonts w:eastAsiaTheme="minorEastAsia"/>
          <w:noProof/>
        </w:rPr>
      </w:pPr>
      <w:r w:rsidRPr="009C4695">
        <w:rPr>
          <w:rFonts w:ascii="Times New Roman" w:hAnsi="Times New Roman"/>
          <w:noProof/>
        </w:rPr>
        <w:t>3.3.1.</w:t>
      </w:r>
      <w:r w:rsidRPr="009C4695">
        <w:rPr>
          <w:rFonts w:eastAsiaTheme="minorEastAsia"/>
          <w:noProof/>
        </w:rPr>
        <w:tab/>
      </w:r>
      <w:r w:rsidRPr="009C4695">
        <w:rPr>
          <w:rFonts w:ascii="Times New Roman" w:hAnsi="Times New Roman"/>
          <w:noProof/>
          <w:u w:val="single"/>
        </w:rPr>
        <w:t>Указания относно определени позиции</w:t>
      </w:r>
      <w:r w:rsidRPr="009C4695">
        <w:rPr>
          <w:noProof/>
        </w:rPr>
        <w:tab/>
        <w:t>25</w:t>
      </w:r>
    </w:p>
    <w:p w14:paraId="20B6D7D5"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u w:val="single"/>
        </w:rPr>
        <w:lastRenderedPageBreak/>
        <w:t>3.4.</w:t>
      </w:r>
      <w:r w:rsidRPr="009C4695">
        <w:rPr>
          <w:rFonts w:ascii="Times New Roman" w:hAnsi="Times New Roman"/>
          <w:noProof/>
          <w:u w:val="single"/>
        </w:rPr>
        <w:t xml:space="preserve"> I </w:t>
      </w:r>
      <w:r w:rsidRPr="009C4695">
        <w:rPr>
          <w:rFonts w:ascii="Times New Roman" w:hAnsi="Times New Roman"/>
          <w:noProof/>
          <w:u w:val="single"/>
        </w:rPr>
        <w:t>06.03</w:t>
      </w:r>
      <w:r w:rsidRPr="009C4695">
        <w:rPr>
          <w:rFonts w:ascii="Times New Roman" w:hAnsi="Times New Roman"/>
          <w:noProof/>
          <w:u w:val="single"/>
        </w:rPr>
        <w:t xml:space="preserve"> – ДЪРЖАНИ ПАРИЧНИ СРЕДСТВА НА КЛИЕНТИ – ДОПЪЛНИТЕЛНА ИНФОРМАЦИЯ (I </w:t>
      </w:r>
      <w:r w:rsidRPr="009C4695">
        <w:rPr>
          <w:rFonts w:ascii="Times New Roman" w:hAnsi="Times New Roman"/>
          <w:noProof/>
          <w:u w:val="single"/>
        </w:rPr>
        <w:t>6.3</w:t>
      </w:r>
      <w:r w:rsidRPr="009C4695">
        <w:rPr>
          <w:rFonts w:ascii="Times New Roman" w:hAnsi="Times New Roman"/>
          <w:noProof/>
          <w:u w:val="single"/>
        </w:rPr>
        <w:t>)</w:t>
      </w:r>
      <w:r w:rsidRPr="009C4695">
        <w:rPr>
          <w:noProof/>
        </w:rPr>
        <w:tab/>
        <w:t>25</w:t>
      </w:r>
    </w:p>
    <w:p w14:paraId="2182B8BC" w14:textId="77777777" w:rsidR="001B665C" w:rsidRPr="009C4695" w:rsidRDefault="009C4695">
      <w:pPr>
        <w:pStyle w:val="TOC2"/>
        <w:tabs>
          <w:tab w:val="left" w:pos="1100"/>
          <w:tab w:val="right" w:leader="dot" w:pos="9016"/>
        </w:tabs>
        <w:rPr>
          <w:rFonts w:eastAsiaTheme="minorEastAsia"/>
          <w:noProof/>
        </w:rPr>
      </w:pPr>
      <w:r w:rsidRPr="009C4695">
        <w:rPr>
          <w:rFonts w:ascii="Times New Roman" w:hAnsi="Times New Roman"/>
          <w:noProof/>
        </w:rPr>
        <w:t>3.4.1.</w:t>
      </w:r>
      <w:r w:rsidRPr="009C4695">
        <w:rPr>
          <w:rFonts w:eastAsiaTheme="minorEastAsia"/>
          <w:noProof/>
        </w:rPr>
        <w:tab/>
      </w:r>
      <w:r w:rsidRPr="009C4695">
        <w:rPr>
          <w:rFonts w:ascii="Times New Roman" w:hAnsi="Times New Roman"/>
          <w:noProof/>
          <w:u w:val="single"/>
        </w:rPr>
        <w:t>Указания относно определени позиции</w:t>
      </w:r>
      <w:r w:rsidRPr="009C4695">
        <w:rPr>
          <w:noProof/>
        </w:rPr>
        <w:tab/>
        <w:t>25</w:t>
      </w:r>
    </w:p>
    <w:p w14:paraId="2EF5BA2C"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u w:val="single"/>
        </w:rPr>
        <w:t>3.5.</w:t>
      </w:r>
      <w:r w:rsidRPr="009C4695">
        <w:rPr>
          <w:rFonts w:ascii="Times New Roman" w:hAnsi="Times New Roman"/>
          <w:noProof/>
          <w:u w:val="single"/>
        </w:rPr>
        <w:t xml:space="preserve"> I </w:t>
      </w:r>
      <w:r w:rsidRPr="009C4695">
        <w:rPr>
          <w:rFonts w:ascii="Times New Roman" w:hAnsi="Times New Roman"/>
          <w:noProof/>
          <w:u w:val="single"/>
        </w:rPr>
        <w:t>06.04</w:t>
      </w:r>
      <w:r w:rsidRPr="009C4695">
        <w:rPr>
          <w:rFonts w:ascii="Times New Roman" w:hAnsi="Times New Roman"/>
          <w:noProof/>
          <w:u w:val="single"/>
        </w:rPr>
        <w:t xml:space="preserve"> — СРЕДЕН ОБЩ ДНЕВЕН РАЗМЕР НА ДЪРЖАНИТЕ ПАРИЧНИ СРЕДСТВА НА КЛИЕНТИ (</w:t>
      </w:r>
      <w:r w:rsidRPr="009C4695">
        <w:rPr>
          <w:rFonts w:ascii="Times New Roman" w:hAnsi="Times New Roman"/>
          <w:noProof/>
          <w:u w:val="single"/>
        </w:rPr>
        <w:t xml:space="preserve">I </w:t>
      </w:r>
      <w:r w:rsidRPr="009C4695">
        <w:rPr>
          <w:rFonts w:ascii="Times New Roman" w:hAnsi="Times New Roman"/>
          <w:noProof/>
          <w:u w:val="single"/>
        </w:rPr>
        <w:t>6.4</w:t>
      </w:r>
      <w:r w:rsidRPr="009C4695">
        <w:rPr>
          <w:rFonts w:ascii="Times New Roman" w:hAnsi="Times New Roman"/>
          <w:noProof/>
          <w:u w:val="single"/>
        </w:rPr>
        <w:t>)</w:t>
      </w:r>
      <w:r w:rsidRPr="009C4695">
        <w:rPr>
          <w:noProof/>
        </w:rPr>
        <w:tab/>
        <w:t>26</w:t>
      </w:r>
    </w:p>
    <w:p w14:paraId="23F3F477" w14:textId="77777777" w:rsidR="001B665C" w:rsidRPr="009C4695" w:rsidRDefault="009C4695">
      <w:pPr>
        <w:pStyle w:val="TOC2"/>
        <w:tabs>
          <w:tab w:val="left" w:pos="1100"/>
          <w:tab w:val="right" w:leader="dot" w:pos="9016"/>
        </w:tabs>
        <w:rPr>
          <w:rFonts w:eastAsiaTheme="minorEastAsia"/>
          <w:noProof/>
        </w:rPr>
      </w:pPr>
      <w:r w:rsidRPr="009C4695">
        <w:rPr>
          <w:rFonts w:ascii="Times New Roman" w:hAnsi="Times New Roman"/>
          <w:noProof/>
        </w:rPr>
        <w:t>3.5.1.</w:t>
      </w:r>
      <w:r w:rsidRPr="009C4695">
        <w:rPr>
          <w:rFonts w:ascii="Times New Roman" w:hAnsi="Times New Roman"/>
          <w:noProof/>
        </w:rPr>
        <w:tab/>
      </w:r>
      <w:r w:rsidRPr="009C4695">
        <w:rPr>
          <w:rFonts w:ascii="Times New Roman" w:hAnsi="Times New Roman"/>
          <w:noProof/>
          <w:u w:val="single"/>
        </w:rPr>
        <w:t>Указания относно определени позиции</w:t>
      </w:r>
      <w:r w:rsidRPr="009C4695">
        <w:rPr>
          <w:noProof/>
        </w:rPr>
        <w:tab/>
        <w:t>26</w:t>
      </w:r>
    </w:p>
    <w:p w14:paraId="60F641D6"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u w:val="single"/>
        </w:rPr>
        <w:t>3.6.</w:t>
      </w:r>
      <w:r w:rsidRPr="009C4695">
        <w:rPr>
          <w:rFonts w:ascii="Times New Roman" w:hAnsi="Times New Roman"/>
          <w:noProof/>
          <w:u w:val="single"/>
        </w:rPr>
        <w:t xml:space="preserve"> I </w:t>
      </w:r>
      <w:r w:rsidRPr="009C4695">
        <w:rPr>
          <w:rFonts w:ascii="Times New Roman" w:hAnsi="Times New Roman"/>
          <w:noProof/>
          <w:u w:val="single"/>
        </w:rPr>
        <w:t>06.05</w:t>
      </w:r>
      <w:r w:rsidRPr="009C4695">
        <w:rPr>
          <w:rFonts w:ascii="Times New Roman" w:hAnsi="Times New Roman"/>
          <w:noProof/>
          <w:u w:val="single"/>
        </w:rPr>
        <w:t xml:space="preserve"> — СЪХРАНЯВАНИ И АДМИНИСТРИРАНИ АКТИВИ — ДОПЪЛНИТЕЛНА ИНФОРМАЦИЯ (I </w:t>
      </w:r>
      <w:r w:rsidRPr="009C4695">
        <w:rPr>
          <w:rFonts w:ascii="Times New Roman" w:hAnsi="Times New Roman"/>
          <w:noProof/>
          <w:u w:val="single"/>
        </w:rPr>
        <w:t>6.5</w:t>
      </w:r>
      <w:r w:rsidRPr="009C4695">
        <w:rPr>
          <w:rFonts w:ascii="Times New Roman" w:hAnsi="Times New Roman"/>
          <w:noProof/>
          <w:u w:val="single"/>
        </w:rPr>
        <w:t>)</w:t>
      </w:r>
      <w:r w:rsidRPr="009C4695">
        <w:rPr>
          <w:noProof/>
        </w:rPr>
        <w:tab/>
        <w:t>27</w:t>
      </w:r>
    </w:p>
    <w:p w14:paraId="624888F4" w14:textId="77777777" w:rsidR="001B665C" w:rsidRPr="009C4695" w:rsidRDefault="009C4695">
      <w:pPr>
        <w:pStyle w:val="TOC2"/>
        <w:tabs>
          <w:tab w:val="left" w:pos="1100"/>
          <w:tab w:val="right" w:leader="dot" w:pos="9016"/>
        </w:tabs>
        <w:rPr>
          <w:rFonts w:eastAsiaTheme="minorEastAsia"/>
          <w:noProof/>
        </w:rPr>
      </w:pPr>
      <w:r w:rsidRPr="009C4695">
        <w:rPr>
          <w:rFonts w:ascii="Times New Roman" w:hAnsi="Times New Roman"/>
          <w:noProof/>
        </w:rPr>
        <w:t>3.6.1.</w:t>
      </w:r>
      <w:r w:rsidRPr="009C4695">
        <w:rPr>
          <w:rFonts w:ascii="Times New Roman" w:hAnsi="Times New Roman"/>
          <w:noProof/>
        </w:rPr>
        <w:tab/>
        <w:t>Указания относно определени позиции</w:t>
      </w:r>
      <w:r w:rsidRPr="009C4695">
        <w:rPr>
          <w:noProof/>
        </w:rPr>
        <w:tab/>
        <w:t>27</w:t>
      </w:r>
    </w:p>
    <w:p w14:paraId="13BAED28"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u w:val="single"/>
        </w:rPr>
        <w:t>3.7.</w:t>
      </w:r>
      <w:r w:rsidRPr="009C4695">
        <w:rPr>
          <w:rFonts w:ascii="Times New Roman" w:hAnsi="Times New Roman"/>
          <w:noProof/>
          <w:u w:val="single"/>
        </w:rPr>
        <w:t xml:space="preserve"> I </w:t>
      </w:r>
      <w:r w:rsidRPr="009C4695">
        <w:rPr>
          <w:rFonts w:ascii="Times New Roman" w:hAnsi="Times New Roman"/>
          <w:noProof/>
          <w:u w:val="single"/>
        </w:rPr>
        <w:t>06.06</w:t>
      </w:r>
      <w:r w:rsidRPr="009C4695">
        <w:rPr>
          <w:rFonts w:ascii="Times New Roman" w:hAnsi="Times New Roman"/>
          <w:noProof/>
          <w:u w:val="single"/>
        </w:rPr>
        <w:t xml:space="preserve"> — СРЕДНА ОБЩА ДНЕВНА СТОЙНОСТ НА СЪХРАНЯВАНИТЕ И АДМИ</w:t>
      </w:r>
      <w:r w:rsidRPr="009C4695">
        <w:rPr>
          <w:rFonts w:ascii="Times New Roman" w:hAnsi="Times New Roman"/>
          <w:noProof/>
          <w:u w:val="single"/>
        </w:rPr>
        <w:t xml:space="preserve">НИСТРИРАНИТЕ АКТИВИ (I </w:t>
      </w:r>
      <w:r w:rsidRPr="009C4695">
        <w:rPr>
          <w:rFonts w:ascii="Times New Roman" w:hAnsi="Times New Roman"/>
          <w:noProof/>
          <w:u w:val="single"/>
        </w:rPr>
        <w:t>6.6</w:t>
      </w:r>
      <w:r w:rsidRPr="009C4695">
        <w:rPr>
          <w:rFonts w:ascii="Times New Roman" w:hAnsi="Times New Roman"/>
          <w:noProof/>
          <w:u w:val="single"/>
        </w:rPr>
        <w:t>)</w:t>
      </w:r>
      <w:r w:rsidRPr="009C4695">
        <w:rPr>
          <w:noProof/>
        </w:rPr>
        <w:tab/>
        <w:t>28</w:t>
      </w:r>
    </w:p>
    <w:p w14:paraId="0528DC52" w14:textId="77777777" w:rsidR="001B665C" w:rsidRPr="009C4695" w:rsidRDefault="009C4695">
      <w:pPr>
        <w:pStyle w:val="TOC2"/>
        <w:tabs>
          <w:tab w:val="left" w:pos="1100"/>
          <w:tab w:val="right" w:leader="dot" w:pos="9016"/>
        </w:tabs>
        <w:rPr>
          <w:rFonts w:eastAsiaTheme="minorEastAsia"/>
          <w:noProof/>
        </w:rPr>
      </w:pPr>
      <w:r w:rsidRPr="009C4695">
        <w:rPr>
          <w:rFonts w:ascii="Times New Roman" w:hAnsi="Times New Roman"/>
          <w:noProof/>
        </w:rPr>
        <w:t>3.7.1.</w:t>
      </w:r>
      <w:r w:rsidRPr="009C4695">
        <w:rPr>
          <w:rFonts w:eastAsiaTheme="minorEastAsia"/>
          <w:noProof/>
        </w:rPr>
        <w:tab/>
      </w:r>
      <w:r w:rsidRPr="009C4695">
        <w:rPr>
          <w:rFonts w:ascii="Times New Roman" w:hAnsi="Times New Roman"/>
          <w:noProof/>
          <w:u w:val="single"/>
        </w:rPr>
        <w:t>Указания относно определени позиции</w:t>
      </w:r>
      <w:r w:rsidRPr="009C4695">
        <w:rPr>
          <w:noProof/>
        </w:rPr>
        <w:tab/>
        <w:t>28</w:t>
      </w:r>
    </w:p>
    <w:p w14:paraId="0B98DF87"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u w:val="single"/>
        </w:rPr>
        <w:t>3.8.</w:t>
      </w:r>
      <w:r w:rsidRPr="009C4695">
        <w:rPr>
          <w:rFonts w:ascii="Times New Roman" w:hAnsi="Times New Roman"/>
          <w:noProof/>
          <w:u w:val="single"/>
        </w:rPr>
        <w:t xml:space="preserve"> I </w:t>
      </w:r>
      <w:r w:rsidRPr="009C4695">
        <w:rPr>
          <w:rFonts w:ascii="Times New Roman" w:hAnsi="Times New Roman"/>
          <w:noProof/>
          <w:u w:val="single"/>
        </w:rPr>
        <w:t>06.07</w:t>
      </w:r>
      <w:r w:rsidRPr="009C4695">
        <w:rPr>
          <w:rFonts w:ascii="Times New Roman" w:hAnsi="Times New Roman"/>
          <w:noProof/>
          <w:u w:val="single"/>
        </w:rPr>
        <w:t xml:space="preserve"> — ИЗПЪЛНЕНИ НАРЕЖДАНИЯ НА КЛИЕНТИ — ДОПЪЛНИТЕЛНА ИНФОРМАЦИЯ (I </w:t>
      </w:r>
      <w:r w:rsidRPr="009C4695">
        <w:rPr>
          <w:rFonts w:ascii="Times New Roman" w:hAnsi="Times New Roman"/>
          <w:noProof/>
          <w:u w:val="single"/>
        </w:rPr>
        <w:t>6.7</w:t>
      </w:r>
      <w:r w:rsidRPr="009C4695">
        <w:rPr>
          <w:rFonts w:ascii="Times New Roman" w:hAnsi="Times New Roman"/>
          <w:noProof/>
          <w:u w:val="single"/>
        </w:rPr>
        <w:t>)</w:t>
      </w:r>
      <w:r w:rsidRPr="009C4695">
        <w:rPr>
          <w:noProof/>
        </w:rPr>
        <w:tab/>
        <w:t>29</w:t>
      </w:r>
    </w:p>
    <w:p w14:paraId="02C3F831" w14:textId="77777777" w:rsidR="001B665C" w:rsidRPr="009C4695" w:rsidRDefault="009C4695">
      <w:pPr>
        <w:pStyle w:val="TOC2"/>
        <w:tabs>
          <w:tab w:val="left" w:pos="1100"/>
          <w:tab w:val="right" w:leader="dot" w:pos="9016"/>
        </w:tabs>
        <w:rPr>
          <w:rFonts w:eastAsiaTheme="minorEastAsia"/>
          <w:noProof/>
        </w:rPr>
      </w:pPr>
      <w:r w:rsidRPr="009C4695">
        <w:rPr>
          <w:rFonts w:ascii="Times New Roman" w:hAnsi="Times New Roman"/>
          <w:noProof/>
        </w:rPr>
        <w:t>3.8.1.</w:t>
      </w:r>
      <w:r w:rsidRPr="009C4695">
        <w:rPr>
          <w:rFonts w:eastAsiaTheme="minorEastAsia"/>
          <w:noProof/>
        </w:rPr>
        <w:tab/>
      </w:r>
      <w:r w:rsidRPr="009C4695">
        <w:rPr>
          <w:rFonts w:ascii="Times New Roman" w:hAnsi="Times New Roman"/>
          <w:noProof/>
          <w:u w:val="single"/>
        </w:rPr>
        <w:t>Указания относно определени позиции</w:t>
      </w:r>
      <w:r w:rsidRPr="009C4695">
        <w:rPr>
          <w:noProof/>
        </w:rPr>
        <w:tab/>
        <w:t>29</w:t>
      </w:r>
    </w:p>
    <w:p w14:paraId="3315217B"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u w:val="single"/>
        </w:rPr>
        <w:t>3.9.</w:t>
      </w:r>
      <w:r w:rsidRPr="009C4695">
        <w:rPr>
          <w:rFonts w:ascii="Times New Roman" w:hAnsi="Times New Roman"/>
          <w:noProof/>
          <w:u w:val="single"/>
        </w:rPr>
        <w:t xml:space="preserve"> I </w:t>
      </w:r>
      <w:r w:rsidRPr="009C4695">
        <w:rPr>
          <w:rFonts w:ascii="Times New Roman" w:hAnsi="Times New Roman"/>
          <w:noProof/>
          <w:u w:val="single"/>
        </w:rPr>
        <w:t>06.08</w:t>
      </w:r>
      <w:r w:rsidRPr="009C4695">
        <w:rPr>
          <w:rFonts w:ascii="Times New Roman" w:hAnsi="Times New Roman"/>
          <w:noProof/>
          <w:u w:val="single"/>
        </w:rPr>
        <w:t xml:space="preserve"> — СРЕДНА ОБЩА ДНЕВНА СТОЙНОСТ НА ИЗПЪЛНЕНИТЕ НАРЕЖДАНИЯ НА КЛИЕНТИ (I </w:t>
      </w:r>
      <w:r w:rsidRPr="009C4695">
        <w:rPr>
          <w:rFonts w:ascii="Times New Roman" w:hAnsi="Times New Roman"/>
          <w:noProof/>
          <w:u w:val="single"/>
        </w:rPr>
        <w:t>6.8</w:t>
      </w:r>
      <w:r w:rsidRPr="009C4695">
        <w:rPr>
          <w:rFonts w:ascii="Times New Roman" w:hAnsi="Times New Roman"/>
          <w:noProof/>
          <w:u w:val="single"/>
        </w:rPr>
        <w:t>)</w:t>
      </w:r>
      <w:r w:rsidRPr="009C4695">
        <w:rPr>
          <w:noProof/>
        </w:rPr>
        <w:tab/>
        <w:t>31</w:t>
      </w:r>
    </w:p>
    <w:p w14:paraId="4CB22F92" w14:textId="77777777" w:rsidR="001B665C" w:rsidRPr="009C4695" w:rsidRDefault="009C4695">
      <w:pPr>
        <w:pStyle w:val="TOC2"/>
        <w:tabs>
          <w:tab w:val="left" w:pos="1100"/>
          <w:tab w:val="right" w:leader="dot" w:pos="9016"/>
        </w:tabs>
        <w:rPr>
          <w:rFonts w:eastAsiaTheme="minorEastAsia"/>
          <w:noProof/>
        </w:rPr>
      </w:pPr>
      <w:r w:rsidRPr="009C4695">
        <w:rPr>
          <w:rFonts w:ascii="Times New Roman" w:hAnsi="Times New Roman"/>
          <w:noProof/>
        </w:rPr>
        <w:t>3.9.1.</w:t>
      </w:r>
      <w:r w:rsidRPr="009C4695">
        <w:rPr>
          <w:rFonts w:eastAsiaTheme="minorEastAsia"/>
          <w:noProof/>
        </w:rPr>
        <w:tab/>
      </w:r>
      <w:r w:rsidRPr="009C4695">
        <w:rPr>
          <w:rFonts w:ascii="Times New Roman" w:hAnsi="Times New Roman"/>
          <w:noProof/>
          <w:u w:val="single"/>
        </w:rPr>
        <w:t>Указания относно определени позиции</w:t>
      </w:r>
      <w:r w:rsidRPr="009C4695">
        <w:rPr>
          <w:noProof/>
        </w:rPr>
        <w:tab/>
        <w:t>31</w:t>
      </w:r>
    </w:p>
    <w:p w14:paraId="6AD7D43F"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u w:val="single"/>
        </w:rPr>
        <w:t>3.10.</w:t>
      </w:r>
      <w:r w:rsidRPr="009C4695">
        <w:rPr>
          <w:rFonts w:ascii="Times New Roman" w:hAnsi="Times New Roman"/>
          <w:noProof/>
          <w:u w:val="single"/>
        </w:rPr>
        <w:t xml:space="preserve"> I </w:t>
      </w:r>
      <w:r w:rsidRPr="009C4695">
        <w:rPr>
          <w:rFonts w:ascii="Times New Roman" w:hAnsi="Times New Roman"/>
          <w:noProof/>
          <w:u w:val="single"/>
        </w:rPr>
        <w:t>06.09</w:t>
      </w:r>
      <w:r w:rsidRPr="009C4695">
        <w:rPr>
          <w:rFonts w:ascii="Times New Roman" w:hAnsi="Times New Roman"/>
          <w:noProof/>
          <w:u w:val="single"/>
        </w:rPr>
        <w:t xml:space="preserve"> — К-ФАКТОР ЗА РИСКА ВЪВ ВРЪЗКА С НЕТНИТЕ ПОЗИЦИИ — ДОПЪЛНИТЕЛНА ИНФОРМАЦИЯ (I </w:t>
      </w:r>
      <w:r w:rsidRPr="009C4695">
        <w:rPr>
          <w:rFonts w:ascii="Times New Roman" w:hAnsi="Times New Roman"/>
          <w:noProof/>
          <w:u w:val="single"/>
        </w:rPr>
        <w:t>6.9</w:t>
      </w:r>
      <w:r w:rsidRPr="009C4695">
        <w:rPr>
          <w:rFonts w:ascii="Times New Roman" w:hAnsi="Times New Roman"/>
          <w:noProof/>
          <w:u w:val="single"/>
        </w:rPr>
        <w:t>)</w:t>
      </w:r>
      <w:r w:rsidRPr="009C4695">
        <w:rPr>
          <w:noProof/>
        </w:rPr>
        <w:tab/>
        <w:t>32</w:t>
      </w:r>
    </w:p>
    <w:p w14:paraId="74F6576A" w14:textId="77777777" w:rsidR="001B665C" w:rsidRPr="009C4695" w:rsidRDefault="009C4695">
      <w:pPr>
        <w:pStyle w:val="TOC2"/>
        <w:tabs>
          <w:tab w:val="left" w:pos="1100"/>
          <w:tab w:val="right" w:leader="dot" w:pos="9016"/>
        </w:tabs>
        <w:rPr>
          <w:rFonts w:eastAsiaTheme="minorEastAsia"/>
          <w:noProof/>
        </w:rPr>
      </w:pPr>
      <w:r w:rsidRPr="009C4695">
        <w:rPr>
          <w:rFonts w:ascii="Times New Roman" w:hAnsi="Times New Roman"/>
          <w:noProof/>
        </w:rPr>
        <w:t>3.10.1.</w:t>
      </w:r>
      <w:r w:rsidRPr="009C4695">
        <w:rPr>
          <w:rFonts w:eastAsiaTheme="minorEastAsia"/>
          <w:noProof/>
        </w:rPr>
        <w:tab/>
      </w:r>
      <w:r w:rsidRPr="009C4695">
        <w:rPr>
          <w:rFonts w:ascii="Times New Roman" w:hAnsi="Times New Roman"/>
          <w:noProof/>
          <w:u w:val="single"/>
        </w:rPr>
        <w:t>Указания относно определени позиции</w:t>
      </w:r>
      <w:r w:rsidRPr="009C4695">
        <w:rPr>
          <w:noProof/>
        </w:rPr>
        <w:tab/>
        <w:t>32</w:t>
      </w:r>
    </w:p>
    <w:p w14:paraId="29847851"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u w:val="single"/>
        </w:rPr>
        <w:t>3.11.</w:t>
      </w:r>
      <w:r w:rsidRPr="009C4695">
        <w:rPr>
          <w:rFonts w:ascii="Times New Roman" w:hAnsi="Times New Roman"/>
          <w:noProof/>
          <w:u w:val="single"/>
        </w:rPr>
        <w:t xml:space="preserve"> I </w:t>
      </w:r>
      <w:r w:rsidRPr="009C4695">
        <w:rPr>
          <w:rFonts w:ascii="Times New Roman" w:hAnsi="Times New Roman"/>
          <w:noProof/>
          <w:u w:val="single"/>
        </w:rPr>
        <w:t>06.10</w:t>
      </w:r>
      <w:r w:rsidRPr="009C4695">
        <w:rPr>
          <w:rFonts w:ascii="Times New Roman" w:hAnsi="Times New Roman"/>
          <w:noProof/>
          <w:u w:val="single"/>
        </w:rPr>
        <w:t xml:space="preserve"> — ПРЕДОСТАВЕН КЛИРИНГОВ МАРЖИН — ДОПЪЛНИТЕЛНА ИНФОРМАЦИЯ (I </w:t>
      </w:r>
      <w:r w:rsidRPr="009C4695">
        <w:rPr>
          <w:rFonts w:ascii="Times New Roman" w:hAnsi="Times New Roman"/>
          <w:noProof/>
          <w:u w:val="single"/>
        </w:rPr>
        <w:t>6.10</w:t>
      </w:r>
      <w:r w:rsidRPr="009C4695">
        <w:rPr>
          <w:rFonts w:ascii="Times New Roman" w:hAnsi="Times New Roman"/>
          <w:noProof/>
          <w:u w:val="single"/>
        </w:rPr>
        <w:t>)</w:t>
      </w:r>
      <w:r w:rsidRPr="009C4695">
        <w:rPr>
          <w:noProof/>
        </w:rPr>
        <w:tab/>
        <w:t>33</w:t>
      </w:r>
    </w:p>
    <w:p w14:paraId="5A088A2D"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rPr>
        <w:t>3.11.1.</w:t>
      </w:r>
      <w:r w:rsidRPr="009C4695">
        <w:rPr>
          <w:rFonts w:ascii="Times New Roman" w:hAnsi="Times New Roman"/>
          <w:noProof/>
        </w:rPr>
        <w:t xml:space="preserve"> </w:t>
      </w:r>
      <w:r w:rsidRPr="009C4695">
        <w:rPr>
          <w:rFonts w:ascii="Times New Roman" w:hAnsi="Times New Roman"/>
          <w:noProof/>
          <w:u w:val="single"/>
        </w:rPr>
        <w:t>Указания относно определени поз</w:t>
      </w:r>
      <w:r w:rsidRPr="009C4695">
        <w:rPr>
          <w:rFonts w:ascii="Times New Roman" w:hAnsi="Times New Roman"/>
          <w:noProof/>
          <w:u w:val="single"/>
        </w:rPr>
        <w:t>иции</w:t>
      </w:r>
      <w:r w:rsidRPr="009C4695">
        <w:rPr>
          <w:noProof/>
        </w:rPr>
        <w:tab/>
        <w:t>34</w:t>
      </w:r>
    </w:p>
    <w:p w14:paraId="14A9B685"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u w:val="single"/>
        </w:rPr>
        <w:t>3.12.</w:t>
      </w:r>
      <w:r w:rsidRPr="009C4695">
        <w:rPr>
          <w:rFonts w:ascii="Times New Roman" w:hAnsi="Times New Roman"/>
          <w:noProof/>
          <w:u w:val="single"/>
        </w:rPr>
        <w:t xml:space="preserve"> I </w:t>
      </w:r>
      <w:r w:rsidRPr="009C4695">
        <w:rPr>
          <w:rFonts w:ascii="Times New Roman" w:hAnsi="Times New Roman"/>
          <w:noProof/>
          <w:u w:val="single"/>
        </w:rPr>
        <w:t>06.11</w:t>
      </w:r>
      <w:r w:rsidRPr="009C4695">
        <w:rPr>
          <w:rFonts w:ascii="Times New Roman" w:hAnsi="Times New Roman"/>
          <w:noProof/>
          <w:u w:val="single"/>
        </w:rPr>
        <w:t xml:space="preserve"> — НЕИЗПЪЛНЕНИЕ НА КОНТРАГЕНТ ПО СДЕЛКА — ДОПЪЛНИТЕЛНА ИНФОРМАЦИЯ (I </w:t>
      </w:r>
      <w:r w:rsidRPr="009C4695">
        <w:rPr>
          <w:rFonts w:ascii="Times New Roman" w:hAnsi="Times New Roman"/>
          <w:noProof/>
          <w:u w:val="single"/>
        </w:rPr>
        <w:t>6.11</w:t>
      </w:r>
      <w:r w:rsidRPr="009C4695">
        <w:rPr>
          <w:rFonts w:ascii="Times New Roman" w:hAnsi="Times New Roman"/>
          <w:noProof/>
          <w:u w:val="single"/>
        </w:rPr>
        <w:t>)</w:t>
      </w:r>
      <w:r w:rsidRPr="009C4695">
        <w:rPr>
          <w:noProof/>
        </w:rPr>
        <w:tab/>
        <w:t>34</w:t>
      </w:r>
    </w:p>
    <w:p w14:paraId="4DCBBB72" w14:textId="77777777" w:rsidR="001B665C" w:rsidRPr="009C4695" w:rsidRDefault="009C4695">
      <w:pPr>
        <w:pStyle w:val="TOC2"/>
        <w:tabs>
          <w:tab w:val="left" w:pos="1100"/>
          <w:tab w:val="right" w:leader="dot" w:pos="9016"/>
        </w:tabs>
        <w:rPr>
          <w:rFonts w:eastAsiaTheme="minorEastAsia"/>
          <w:noProof/>
        </w:rPr>
      </w:pPr>
      <w:r w:rsidRPr="009C4695">
        <w:rPr>
          <w:rFonts w:ascii="Times New Roman" w:hAnsi="Times New Roman"/>
          <w:noProof/>
        </w:rPr>
        <w:t>3.12.1.</w:t>
      </w:r>
      <w:r w:rsidRPr="009C4695">
        <w:rPr>
          <w:rFonts w:eastAsiaTheme="minorEastAsia"/>
          <w:noProof/>
        </w:rPr>
        <w:tab/>
      </w:r>
      <w:r w:rsidRPr="009C4695">
        <w:rPr>
          <w:rFonts w:ascii="Times New Roman" w:hAnsi="Times New Roman"/>
          <w:noProof/>
          <w:u w:val="single"/>
        </w:rPr>
        <w:t>Указания относно определени позиции</w:t>
      </w:r>
      <w:r w:rsidRPr="009C4695">
        <w:rPr>
          <w:noProof/>
        </w:rPr>
        <w:tab/>
        <w:t>34</w:t>
      </w:r>
    </w:p>
    <w:p w14:paraId="1BE2E7EC"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u w:val="single"/>
        </w:rPr>
        <w:t>3.13.</w:t>
      </w:r>
      <w:r w:rsidRPr="009C4695">
        <w:rPr>
          <w:rFonts w:ascii="Times New Roman" w:hAnsi="Times New Roman"/>
          <w:noProof/>
          <w:u w:val="single"/>
        </w:rPr>
        <w:t xml:space="preserve"> I </w:t>
      </w:r>
      <w:r w:rsidRPr="009C4695">
        <w:rPr>
          <w:rFonts w:ascii="Times New Roman" w:hAnsi="Times New Roman"/>
          <w:noProof/>
          <w:u w:val="single"/>
        </w:rPr>
        <w:t>06.12</w:t>
      </w:r>
      <w:r w:rsidRPr="009C4695">
        <w:rPr>
          <w:rFonts w:ascii="Times New Roman" w:hAnsi="Times New Roman"/>
          <w:noProof/>
          <w:u w:val="single"/>
        </w:rPr>
        <w:t xml:space="preserve"> — ДНЕВЕН ПОТОК НА ТРАНСАКЦИИТЕ — ДОПЪЛНИТЕЛНА ИНФОРМАЦИЯ (I </w:t>
      </w:r>
      <w:r w:rsidRPr="009C4695">
        <w:rPr>
          <w:rFonts w:ascii="Times New Roman" w:hAnsi="Times New Roman"/>
          <w:noProof/>
          <w:u w:val="single"/>
        </w:rPr>
        <w:t>6.12</w:t>
      </w:r>
      <w:r w:rsidRPr="009C4695">
        <w:rPr>
          <w:rFonts w:ascii="Times New Roman" w:hAnsi="Times New Roman"/>
          <w:noProof/>
          <w:u w:val="single"/>
        </w:rPr>
        <w:t>)</w:t>
      </w:r>
      <w:r w:rsidRPr="009C4695">
        <w:rPr>
          <w:noProof/>
        </w:rPr>
        <w:tab/>
        <w:t>36</w:t>
      </w:r>
    </w:p>
    <w:p w14:paraId="6AE8049A" w14:textId="77777777" w:rsidR="001B665C" w:rsidRPr="009C4695" w:rsidRDefault="009C4695">
      <w:pPr>
        <w:pStyle w:val="TOC2"/>
        <w:tabs>
          <w:tab w:val="left" w:pos="1320"/>
          <w:tab w:val="right" w:leader="dot" w:pos="9016"/>
        </w:tabs>
        <w:rPr>
          <w:rFonts w:eastAsiaTheme="minorEastAsia"/>
          <w:noProof/>
        </w:rPr>
      </w:pPr>
      <w:r w:rsidRPr="009C4695">
        <w:rPr>
          <w:rFonts w:ascii="Times New Roman" w:hAnsi="Times New Roman"/>
          <w:noProof/>
        </w:rPr>
        <w:t>3.13.1.</w:t>
      </w:r>
      <w:r w:rsidRPr="009C4695">
        <w:rPr>
          <w:rFonts w:ascii="Times New Roman" w:hAnsi="Times New Roman"/>
          <w:noProof/>
        </w:rPr>
        <w:tab/>
        <w:t xml:space="preserve">Указания </w:t>
      </w:r>
      <w:r w:rsidRPr="009C4695">
        <w:rPr>
          <w:rFonts w:ascii="Times New Roman" w:hAnsi="Times New Roman"/>
          <w:noProof/>
        </w:rPr>
        <w:t>относно определени позиции</w:t>
      </w:r>
      <w:r w:rsidRPr="009C4695">
        <w:rPr>
          <w:noProof/>
        </w:rPr>
        <w:tab/>
        <w:t>36</w:t>
      </w:r>
    </w:p>
    <w:p w14:paraId="620566CE"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u w:val="single"/>
        </w:rPr>
        <w:t>3.14.</w:t>
      </w:r>
      <w:r w:rsidRPr="009C4695">
        <w:rPr>
          <w:rFonts w:ascii="Times New Roman" w:hAnsi="Times New Roman"/>
          <w:noProof/>
          <w:u w:val="single"/>
        </w:rPr>
        <w:t xml:space="preserve"> I </w:t>
      </w:r>
      <w:r w:rsidRPr="009C4695">
        <w:rPr>
          <w:rFonts w:ascii="Times New Roman" w:hAnsi="Times New Roman"/>
          <w:noProof/>
          <w:u w:val="single"/>
        </w:rPr>
        <w:t>06.13</w:t>
      </w:r>
      <w:r w:rsidRPr="009C4695">
        <w:rPr>
          <w:rFonts w:ascii="Times New Roman" w:hAnsi="Times New Roman"/>
          <w:noProof/>
          <w:u w:val="single"/>
        </w:rPr>
        <w:t xml:space="preserve"> — СРЕДНА СТОЙНОСТ НА ОБЩИЯ ДНЕВЕН ПОТОК НА ТРАНСАКЦИИТЕ (I </w:t>
      </w:r>
      <w:r w:rsidRPr="009C4695">
        <w:rPr>
          <w:rFonts w:ascii="Times New Roman" w:hAnsi="Times New Roman"/>
          <w:noProof/>
          <w:u w:val="single"/>
        </w:rPr>
        <w:t>6.13</w:t>
      </w:r>
      <w:r w:rsidRPr="009C4695">
        <w:rPr>
          <w:rFonts w:ascii="Times New Roman" w:hAnsi="Times New Roman"/>
          <w:noProof/>
          <w:u w:val="single"/>
        </w:rPr>
        <w:t>)</w:t>
      </w:r>
      <w:r w:rsidRPr="009C4695">
        <w:rPr>
          <w:noProof/>
        </w:rPr>
        <w:tab/>
        <w:t>37</w:t>
      </w:r>
    </w:p>
    <w:p w14:paraId="0445C52E"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rPr>
        <w:t>3.14.1.</w:t>
      </w:r>
      <w:r w:rsidRPr="009C4695">
        <w:rPr>
          <w:rFonts w:ascii="Times New Roman" w:hAnsi="Times New Roman"/>
          <w:noProof/>
        </w:rPr>
        <w:t xml:space="preserve"> Указания относно определени позиции</w:t>
      </w:r>
      <w:r w:rsidRPr="009C4695">
        <w:rPr>
          <w:noProof/>
        </w:rPr>
        <w:tab/>
        <w:t>37</w:t>
      </w:r>
    </w:p>
    <w:p w14:paraId="03AA2F1C"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b/>
          <w:noProof/>
        </w:rPr>
        <w:t>4. ДОКЛАДВАНЕ НА РИСКА ОТ КОНЦЕНТРАЦИЯ</w:t>
      </w:r>
      <w:r w:rsidRPr="009C4695">
        <w:rPr>
          <w:noProof/>
        </w:rPr>
        <w:tab/>
        <w:t>38</w:t>
      </w:r>
    </w:p>
    <w:p w14:paraId="32DDFDE5"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rPr>
        <w:t>4.1.</w:t>
      </w:r>
      <w:r w:rsidRPr="009C4695">
        <w:rPr>
          <w:rFonts w:ascii="Times New Roman" w:hAnsi="Times New Roman"/>
          <w:noProof/>
        </w:rPr>
        <w:t xml:space="preserve"> Общи положения</w:t>
      </w:r>
      <w:r w:rsidRPr="009C4695">
        <w:rPr>
          <w:noProof/>
        </w:rPr>
        <w:tab/>
        <w:t>38</w:t>
      </w:r>
    </w:p>
    <w:p w14:paraId="096200ED"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rPr>
        <w:t>4.2.</w:t>
      </w:r>
      <w:r w:rsidRPr="009C4695">
        <w:rPr>
          <w:rFonts w:ascii="Times New Roman" w:hAnsi="Times New Roman"/>
          <w:noProof/>
        </w:rPr>
        <w:t xml:space="preserve"> I </w:t>
      </w:r>
      <w:r w:rsidRPr="009C4695">
        <w:rPr>
          <w:rFonts w:ascii="Times New Roman" w:hAnsi="Times New Roman"/>
          <w:noProof/>
        </w:rPr>
        <w:t>07.00</w:t>
      </w:r>
      <w:r w:rsidRPr="009C4695">
        <w:rPr>
          <w:rFonts w:ascii="Times New Roman" w:hAnsi="Times New Roman"/>
          <w:noProof/>
        </w:rPr>
        <w:t xml:space="preserve"> — K-ФАКТОР ЗА РИСКА</w:t>
      </w:r>
      <w:r w:rsidRPr="009C4695">
        <w:rPr>
          <w:rFonts w:ascii="Times New Roman" w:hAnsi="Times New Roman"/>
          <w:noProof/>
        </w:rPr>
        <w:t xml:space="preserve"> ОТ КОНЦЕНТРАЦИЯ — ДОПЪЛНИТЕЛНА ИНФОРМАЦИЯ (I7)</w:t>
      </w:r>
      <w:r w:rsidRPr="009C4695">
        <w:rPr>
          <w:noProof/>
        </w:rPr>
        <w:tab/>
        <w:t>38</w:t>
      </w:r>
    </w:p>
    <w:p w14:paraId="0FCA498F" w14:textId="77777777" w:rsidR="001B665C" w:rsidRPr="009C4695" w:rsidRDefault="009C4695">
      <w:pPr>
        <w:pStyle w:val="TOC2"/>
        <w:tabs>
          <w:tab w:val="left" w:pos="1100"/>
          <w:tab w:val="right" w:leader="dot" w:pos="9016"/>
        </w:tabs>
        <w:rPr>
          <w:rFonts w:eastAsiaTheme="minorEastAsia"/>
          <w:noProof/>
        </w:rPr>
      </w:pPr>
      <w:r w:rsidRPr="009C4695">
        <w:rPr>
          <w:rFonts w:ascii="Times New Roman" w:hAnsi="Times New Roman"/>
          <w:noProof/>
        </w:rPr>
        <w:t>4.2.1.</w:t>
      </w:r>
      <w:r w:rsidRPr="009C4695">
        <w:rPr>
          <w:rFonts w:ascii="Times New Roman" w:hAnsi="Times New Roman"/>
          <w:noProof/>
        </w:rPr>
        <w:tab/>
        <w:t>Указания относно определени позиции</w:t>
      </w:r>
      <w:r w:rsidRPr="009C4695">
        <w:rPr>
          <w:noProof/>
        </w:rPr>
        <w:tab/>
        <w:t>38</w:t>
      </w:r>
    </w:p>
    <w:p w14:paraId="5E74B509"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rPr>
        <w:t>4.3.</w:t>
      </w:r>
      <w:r w:rsidRPr="009C4695">
        <w:rPr>
          <w:rFonts w:ascii="Times New Roman" w:hAnsi="Times New Roman"/>
          <w:noProof/>
        </w:rPr>
        <w:t xml:space="preserve"> I </w:t>
      </w:r>
      <w:r w:rsidRPr="009C4695">
        <w:rPr>
          <w:rFonts w:ascii="Times New Roman" w:hAnsi="Times New Roman"/>
          <w:noProof/>
        </w:rPr>
        <w:t>08.01</w:t>
      </w:r>
      <w:r w:rsidRPr="009C4695">
        <w:rPr>
          <w:rFonts w:ascii="Times New Roman" w:hAnsi="Times New Roman"/>
          <w:noProof/>
        </w:rPr>
        <w:t xml:space="preserve"> — РАВНИЩЕ НА РИСКА ОТ КОНЦЕНТРАЦИЯ — ДЪРЖАНИ ПАРИЧНИ СРЕДСТВА НА КЛИЕНТИ (I </w:t>
      </w:r>
      <w:r w:rsidRPr="009C4695">
        <w:rPr>
          <w:rFonts w:ascii="Times New Roman" w:hAnsi="Times New Roman"/>
          <w:noProof/>
        </w:rPr>
        <w:t>8.1</w:t>
      </w:r>
      <w:r w:rsidRPr="009C4695">
        <w:rPr>
          <w:rFonts w:ascii="Times New Roman" w:hAnsi="Times New Roman"/>
          <w:noProof/>
        </w:rPr>
        <w:t>)</w:t>
      </w:r>
      <w:r w:rsidRPr="009C4695">
        <w:rPr>
          <w:noProof/>
        </w:rPr>
        <w:tab/>
        <w:t>40</w:t>
      </w:r>
    </w:p>
    <w:p w14:paraId="3E51FC0D" w14:textId="77777777" w:rsidR="001B665C" w:rsidRPr="009C4695" w:rsidRDefault="009C4695">
      <w:pPr>
        <w:pStyle w:val="TOC2"/>
        <w:tabs>
          <w:tab w:val="left" w:pos="1100"/>
          <w:tab w:val="right" w:leader="dot" w:pos="9016"/>
        </w:tabs>
        <w:rPr>
          <w:rFonts w:eastAsiaTheme="minorEastAsia"/>
          <w:noProof/>
        </w:rPr>
      </w:pPr>
      <w:r w:rsidRPr="009C4695">
        <w:rPr>
          <w:rFonts w:ascii="Times New Roman" w:hAnsi="Times New Roman"/>
          <w:noProof/>
        </w:rPr>
        <w:lastRenderedPageBreak/>
        <w:t>4.3.1.</w:t>
      </w:r>
      <w:r w:rsidRPr="009C4695">
        <w:rPr>
          <w:rFonts w:ascii="Times New Roman" w:hAnsi="Times New Roman"/>
          <w:noProof/>
        </w:rPr>
        <w:tab/>
        <w:t>Указания относно определени колони</w:t>
      </w:r>
      <w:r w:rsidRPr="009C4695">
        <w:rPr>
          <w:noProof/>
        </w:rPr>
        <w:tab/>
        <w:t>40</w:t>
      </w:r>
    </w:p>
    <w:p w14:paraId="6A3F5A22"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rPr>
        <w:t>4.4.</w:t>
      </w:r>
      <w:r w:rsidRPr="009C4695">
        <w:rPr>
          <w:rFonts w:ascii="Times New Roman" w:hAnsi="Times New Roman"/>
          <w:noProof/>
        </w:rPr>
        <w:t xml:space="preserve"> I </w:t>
      </w:r>
      <w:r w:rsidRPr="009C4695">
        <w:rPr>
          <w:rFonts w:ascii="Times New Roman" w:hAnsi="Times New Roman"/>
          <w:noProof/>
        </w:rPr>
        <w:t>08.02</w:t>
      </w:r>
      <w:r w:rsidRPr="009C4695">
        <w:rPr>
          <w:rFonts w:ascii="Times New Roman" w:hAnsi="Times New Roman"/>
          <w:noProof/>
        </w:rPr>
        <w:t xml:space="preserve"> — РА</w:t>
      </w:r>
      <w:r w:rsidRPr="009C4695">
        <w:rPr>
          <w:rFonts w:ascii="Times New Roman" w:hAnsi="Times New Roman"/>
          <w:noProof/>
        </w:rPr>
        <w:t xml:space="preserve">ВНИЩЕ НА РИСКА ОТ КОНЦЕНТРАЦИЯ — СЪХРАНЯВАНИ И АДМИНИСТРИРАНИ АКТИВИ (I </w:t>
      </w:r>
      <w:r w:rsidRPr="009C4695">
        <w:rPr>
          <w:rFonts w:ascii="Times New Roman" w:hAnsi="Times New Roman"/>
          <w:noProof/>
        </w:rPr>
        <w:t>8.2</w:t>
      </w:r>
      <w:r w:rsidRPr="009C4695">
        <w:rPr>
          <w:rFonts w:ascii="Times New Roman" w:hAnsi="Times New Roman"/>
          <w:noProof/>
        </w:rPr>
        <w:t>)</w:t>
      </w:r>
      <w:r w:rsidRPr="009C4695">
        <w:rPr>
          <w:noProof/>
        </w:rPr>
        <w:tab/>
        <w:t>41</w:t>
      </w:r>
    </w:p>
    <w:p w14:paraId="1B71BB45" w14:textId="77777777" w:rsidR="001B665C" w:rsidRPr="009C4695" w:rsidRDefault="009C4695">
      <w:pPr>
        <w:pStyle w:val="TOC2"/>
        <w:tabs>
          <w:tab w:val="left" w:pos="1100"/>
          <w:tab w:val="right" w:leader="dot" w:pos="9016"/>
        </w:tabs>
        <w:rPr>
          <w:rFonts w:eastAsiaTheme="minorEastAsia"/>
          <w:noProof/>
        </w:rPr>
      </w:pPr>
      <w:r w:rsidRPr="009C4695">
        <w:rPr>
          <w:rFonts w:ascii="Times New Roman" w:hAnsi="Times New Roman"/>
          <w:noProof/>
        </w:rPr>
        <w:t>4.4.1.</w:t>
      </w:r>
      <w:r w:rsidRPr="009C4695">
        <w:rPr>
          <w:rFonts w:ascii="Times New Roman" w:hAnsi="Times New Roman"/>
          <w:noProof/>
        </w:rPr>
        <w:tab/>
        <w:t>Указания относно определени колони</w:t>
      </w:r>
      <w:r w:rsidRPr="009C4695">
        <w:rPr>
          <w:noProof/>
        </w:rPr>
        <w:tab/>
        <w:t>41</w:t>
      </w:r>
    </w:p>
    <w:p w14:paraId="752A15A3"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rPr>
        <w:t>4.5.</w:t>
      </w:r>
      <w:r w:rsidRPr="009C4695">
        <w:rPr>
          <w:rFonts w:ascii="Times New Roman" w:hAnsi="Times New Roman"/>
          <w:noProof/>
        </w:rPr>
        <w:t xml:space="preserve"> I </w:t>
      </w:r>
      <w:r w:rsidRPr="009C4695">
        <w:rPr>
          <w:rFonts w:ascii="Times New Roman" w:hAnsi="Times New Roman"/>
          <w:noProof/>
        </w:rPr>
        <w:t>08.03</w:t>
      </w:r>
      <w:r w:rsidRPr="009C4695">
        <w:rPr>
          <w:rFonts w:ascii="Times New Roman" w:hAnsi="Times New Roman"/>
          <w:noProof/>
        </w:rPr>
        <w:t xml:space="preserve"> — РАВНИЩЕ НА РИСКА ОТ КОНЦЕНТРАЦИЯ — ОБЩО ДЕПОЗИРАНИ СОБСТВЕНИ ПАРИЧНИ СРЕДСТВА (I </w:t>
      </w:r>
      <w:r w:rsidRPr="009C4695">
        <w:rPr>
          <w:rFonts w:ascii="Times New Roman" w:hAnsi="Times New Roman"/>
          <w:noProof/>
        </w:rPr>
        <w:t>8.3</w:t>
      </w:r>
      <w:r w:rsidRPr="009C4695">
        <w:rPr>
          <w:rFonts w:ascii="Times New Roman" w:hAnsi="Times New Roman"/>
          <w:noProof/>
        </w:rPr>
        <w:t>)</w:t>
      </w:r>
      <w:r w:rsidRPr="009C4695">
        <w:rPr>
          <w:noProof/>
        </w:rPr>
        <w:tab/>
        <w:t>42</w:t>
      </w:r>
    </w:p>
    <w:p w14:paraId="6A8D0AAB" w14:textId="77777777" w:rsidR="001B665C" w:rsidRPr="009C4695" w:rsidRDefault="009C4695">
      <w:pPr>
        <w:pStyle w:val="TOC2"/>
        <w:tabs>
          <w:tab w:val="left" w:pos="1100"/>
          <w:tab w:val="right" w:leader="dot" w:pos="9016"/>
        </w:tabs>
        <w:rPr>
          <w:rFonts w:eastAsiaTheme="minorEastAsia"/>
          <w:noProof/>
        </w:rPr>
      </w:pPr>
      <w:r w:rsidRPr="009C4695">
        <w:rPr>
          <w:rFonts w:ascii="Times New Roman" w:hAnsi="Times New Roman"/>
          <w:noProof/>
        </w:rPr>
        <w:t>4.5.1.</w:t>
      </w:r>
      <w:r w:rsidRPr="009C4695">
        <w:rPr>
          <w:rFonts w:ascii="Times New Roman" w:hAnsi="Times New Roman"/>
          <w:noProof/>
        </w:rPr>
        <w:tab/>
        <w:t>Указания относно опр</w:t>
      </w:r>
      <w:r w:rsidRPr="009C4695">
        <w:rPr>
          <w:rFonts w:ascii="Times New Roman" w:hAnsi="Times New Roman"/>
          <w:noProof/>
        </w:rPr>
        <w:t>еделени колони</w:t>
      </w:r>
      <w:r w:rsidRPr="009C4695">
        <w:rPr>
          <w:noProof/>
        </w:rPr>
        <w:tab/>
        <w:t>42</w:t>
      </w:r>
    </w:p>
    <w:p w14:paraId="3FDF3716"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rPr>
        <w:t>4.6.</w:t>
      </w:r>
      <w:r w:rsidRPr="009C4695">
        <w:rPr>
          <w:rFonts w:ascii="Times New Roman" w:hAnsi="Times New Roman"/>
          <w:noProof/>
        </w:rPr>
        <w:t xml:space="preserve"> I </w:t>
      </w:r>
      <w:r w:rsidRPr="009C4695">
        <w:rPr>
          <w:rFonts w:ascii="Times New Roman" w:hAnsi="Times New Roman"/>
          <w:noProof/>
        </w:rPr>
        <w:t>08.04</w:t>
      </w:r>
      <w:r w:rsidRPr="009C4695">
        <w:rPr>
          <w:rFonts w:ascii="Times New Roman" w:hAnsi="Times New Roman"/>
          <w:noProof/>
        </w:rPr>
        <w:t xml:space="preserve"> — РАВНИЩЕ НА РИСКА ОТ КОНЦЕНТРАЦИЯ — ОБЩО ПЕЧАЛБА (I </w:t>
      </w:r>
      <w:r w:rsidRPr="009C4695">
        <w:rPr>
          <w:rFonts w:ascii="Times New Roman" w:hAnsi="Times New Roman"/>
          <w:noProof/>
        </w:rPr>
        <w:t>8.4</w:t>
      </w:r>
      <w:r w:rsidRPr="009C4695">
        <w:rPr>
          <w:rFonts w:ascii="Times New Roman" w:hAnsi="Times New Roman"/>
          <w:noProof/>
        </w:rPr>
        <w:t>)</w:t>
      </w:r>
      <w:r w:rsidRPr="009C4695">
        <w:rPr>
          <w:noProof/>
        </w:rPr>
        <w:tab/>
        <w:t>43</w:t>
      </w:r>
    </w:p>
    <w:p w14:paraId="71510F38" w14:textId="77777777" w:rsidR="001B665C" w:rsidRPr="009C4695" w:rsidRDefault="009C4695">
      <w:pPr>
        <w:pStyle w:val="TOC2"/>
        <w:tabs>
          <w:tab w:val="left" w:pos="1100"/>
          <w:tab w:val="right" w:leader="dot" w:pos="9016"/>
        </w:tabs>
        <w:rPr>
          <w:rFonts w:eastAsiaTheme="minorEastAsia"/>
          <w:noProof/>
        </w:rPr>
      </w:pPr>
      <w:r w:rsidRPr="009C4695">
        <w:rPr>
          <w:rFonts w:ascii="Times New Roman" w:hAnsi="Times New Roman"/>
          <w:noProof/>
        </w:rPr>
        <w:t>4.6.1.</w:t>
      </w:r>
      <w:r w:rsidRPr="009C4695">
        <w:rPr>
          <w:rFonts w:ascii="Times New Roman" w:hAnsi="Times New Roman"/>
          <w:noProof/>
        </w:rPr>
        <w:tab/>
        <w:t>Указания относно определени колони</w:t>
      </w:r>
      <w:r w:rsidRPr="009C4695">
        <w:rPr>
          <w:noProof/>
        </w:rPr>
        <w:tab/>
        <w:t>43</w:t>
      </w:r>
    </w:p>
    <w:p w14:paraId="4DC1DB71"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rPr>
        <w:t>4.7.</w:t>
      </w:r>
      <w:r w:rsidRPr="009C4695">
        <w:rPr>
          <w:rFonts w:ascii="Times New Roman" w:hAnsi="Times New Roman"/>
          <w:noProof/>
        </w:rPr>
        <w:t xml:space="preserve"> I </w:t>
      </w:r>
      <w:r w:rsidRPr="009C4695">
        <w:rPr>
          <w:rFonts w:ascii="Times New Roman" w:hAnsi="Times New Roman"/>
          <w:noProof/>
        </w:rPr>
        <w:t>08.05</w:t>
      </w:r>
      <w:r w:rsidRPr="009C4695">
        <w:rPr>
          <w:rFonts w:ascii="Times New Roman" w:hAnsi="Times New Roman"/>
          <w:noProof/>
        </w:rPr>
        <w:t xml:space="preserve"> — ЕКСПОЗИЦИИ В ТЪРГОВСКИЯ ПОРТФЕЙЛ (I </w:t>
      </w:r>
      <w:r w:rsidRPr="009C4695">
        <w:rPr>
          <w:rFonts w:ascii="Times New Roman" w:hAnsi="Times New Roman"/>
          <w:noProof/>
        </w:rPr>
        <w:t>8.5</w:t>
      </w:r>
      <w:r w:rsidRPr="009C4695">
        <w:rPr>
          <w:rFonts w:ascii="Times New Roman" w:hAnsi="Times New Roman"/>
          <w:noProof/>
        </w:rPr>
        <w:t>)</w:t>
      </w:r>
      <w:r w:rsidRPr="009C4695">
        <w:rPr>
          <w:noProof/>
        </w:rPr>
        <w:tab/>
        <w:t>44</w:t>
      </w:r>
    </w:p>
    <w:p w14:paraId="210C60E2" w14:textId="77777777" w:rsidR="001B665C" w:rsidRPr="009C4695" w:rsidRDefault="009C4695">
      <w:pPr>
        <w:pStyle w:val="TOC2"/>
        <w:tabs>
          <w:tab w:val="left" w:pos="1100"/>
          <w:tab w:val="right" w:leader="dot" w:pos="9016"/>
        </w:tabs>
        <w:rPr>
          <w:rFonts w:eastAsiaTheme="minorEastAsia"/>
          <w:noProof/>
        </w:rPr>
      </w:pPr>
      <w:r w:rsidRPr="009C4695">
        <w:rPr>
          <w:rFonts w:ascii="Times New Roman" w:hAnsi="Times New Roman"/>
          <w:noProof/>
        </w:rPr>
        <w:t>4.7.1.</w:t>
      </w:r>
      <w:r w:rsidRPr="009C4695">
        <w:rPr>
          <w:rFonts w:ascii="Times New Roman" w:hAnsi="Times New Roman"/>
          <w:noProof/>
        </w:rPr>
        <w:tab/>
        <w:t>Указания относно определени колони</w:t>
      </w:r>
      <w:r w:rsidRPr="009C4695">
        <w:rPr>
          <w:noProof/>
        </w:rPr>
        <w:tab/>
        <w:t>44</w:t>
      </w:r>
    </w:p>
    <w:p w14:paraId="72ED87FA"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rPr>
        <w:t>4.8.</w:t>
      </w:r>
      <w:r w:rsidRPr="009C4695">
        <w:rPr>
          <w:rFonts w:ascii="Times New Roman" w:hAnsi="Times New Roman"/>
          <w:noProof/>
        </w:rPr>
        <w:t xml:space="preserve"> I </w:t>
      </w:r>
      <w:r w:rsidRPr="009C4695">
        <w:rPr>
          <w:rFonts w:ascii="Times New Roman" w:hAnsi="Times New Roman"/>
          <w:noProof/>
        </w:rPr>
        <w:t>08.06</w:t>
      </w:r>
      <w:r w:rsidRPr="009C4695">
        <w:rPr>
          <w:rFonts w:ascii="Times New Roman" w:hAnsi="Times New Roman"/>
          <w:noProof/>
        </w:rPr>
        <w:t xml:space="preserve"> – ПОЗИЦИИ, НЕВПИСАНИ В ТЪРГОВСКИЯ ПОРТФЕЙЛ, И ЗАДБАЛАНСОВИ ПОЗИЦИИ (I </w:t>
      </w:r>
      <w:r w:rsidRPr="009C4695">
        <w:rPr>
          <w:rFonts w:ascii="Times New Roman" w:hAnsi="Times New Roman"/>
          <w:noProof/>
        </w:rPr>
        <w:t>8.6</w:t>
      </w:r>
      <w:r w:rsidRPr="009C4695">
        <w:rPr>
          <w:rFonts w:ascii="Times New Roman" w:hAnsi="Times New Roman"/>
          <w:noProof/>
        </w:rPr>
        <w:t>)</w:t>
      </w:r>
      <w:r w:rsidRPr="009C4695">
        <w:rPr>
          <w:noProof/>
        </w:rPr>
        <w:tab/>
        <w:t>45</w:t>
      </w:r>
    </w:p>
    <w:p w14:paraId="1D8685C5" w14:textId="77777777" w:rsidR="001B665C" w:rsidRPr="009C4695" w:rsidRDefault="009C4695">
      <w:pPr>
        <w:pStyle w:val="TOC2"/>
        <w:tabs>
          <w:tab w:val="left" w:pos="1100"/>
          <w:tab w:val="right" w:leader="dot" w:pos="9016"/>
        </w:tabs>
        <w:rPr>
          <w:rFonts w:eastAsiaTheme="minorEastAsia"/>
          <w:noProof/>
        </w:rPr>
      </w:pPr>
      <w:r w:rsidRPr="009C4695">
        <w:rPr>
          <w:rFonts w:ascii="Times New Roman" w:hAnsi="Times New Roman"/>
          <w:noProof/>
        </w:rPr>
        <w:t>4.8.1.</w:t>
      </w:r>
      <w:r w:rsidRPr="009C4695">
        <w:rPr>
          <w:rFonts w:ascii="Times New Roman" w:hAnsi="Times New Roman"/>
          <w:noProof/>
        </w:rPr>
        <w:tab/>
        <w:t>Указания относно определени колони</w:t>
      </w:r>
      <w:r w:rsidRPr="009C4695">
        <w:rPr>
          <w:noProof/>
        </w:rPr>
        <w:tab/>
        <w:t>45</w:t>
      </w:r>
    </w:p>
    <w:p w14:paraId="4CC6AB76"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b/>
          <w:noProof/>
        </w:rPr>
        <w:t>5. Изисквания за ликвидност</w:t>
      </w:r>
      <w:r w:rsidRPr="009C4695">
        <w:rPr>
          <w:noProof/>
        </w:rPr>
        <w:tab/>
        <w:t>45</w:t>
      </w:r>
    </w:p>
    <w:p w14:paraId="7CAC9FFC" w14:textId="77777777" w:rsidR="001B665C" w:rsidRPr="009C4695" w:rsidRDefault="009C4695">
      <w:pPr>
        <w:pStyle w:val="TOC2"/>
        <w:tabs>
          <w:tab w:val="right" w:leader="dot" w:pos="9016"/>
        </w:tabs>
        <w:rPr>
          <w:rFonts w:eastAsiaTheme="minorEastAsia"/>
          <w:noProof/>
        </w:rPr>
      </w:pPr>
      <w:r w:rsidRPr="009C4695">
        <w:rPr>
          <w:rFonts w:ascii="Times New Roman" w:hAnsi="Times New Roman"/>
          <w:noProof/>
          <w:u w:val="single"/>
        </w:rPr>
        <w:t>5.1</w:t>
      </w:r>
      <w:r w:rsidRPr="009C4695">
        <w:rPr>
          <w:rFonts w:ascii="Times New Roman" w:hAnsi="Times New Roman"/>
          <w:noProof/>
          <w:u w:val="single"/>
        </w:rPr>
        <w:t xml:space="preserve"> I </w:t>
      </w:r>
      <w:r w:rsidRPr="009C4695">
        <w:rPr>
          <w:rFonts w:ascii="Times New Roman" w:hAnsi="Times New Roman"/>
          <w:noProof/>
          <w:u w:val="single"/>
        </w:rPr>
        <w:t>09.00</w:t>
      </w:r>
      <w:r w:rsidRPr="009C4695">
        <w:rPr>
          <w:rFonts w:ascii="Times New Roman" w:hAnsi="Times New Roman"/>
          <w:noProof/>
          <w:u w:val="single"/>
        </w:rPr>
        <w:t xml:space="preserve"> — ИЗИСКВАНИЯ ЗА ЛИКВИДНОСТ (I 9)</w:t>
      </w:r>
      <w:r w:rsidRPr="009C4695">
        <w:rPr>
          <w:noProof/>
        </w:rPr>
        <w:tab/>
        <w:t>45</w:t>
      </w:r>
    </w:p>
    <w:p w14:paraId="058289C0" w14:textId="77777777" w:rsidR="001B665C" w:rsidRPr="009C4695" w:rsidRDefault="009C4695">
      <w:pPr>
        <w:pStyle w:val="TOC2"/>
        <w:tabs>
          <w:tab w:val="left" w:pos="1100"/>
          <w:tab w:val="right" w:leader="dot" w:pos="9016"/>
        </w:tabs>
        <w:rPr>
          <w:rFonts w:eastAsiaTheme="minorEastAsia"/>
          <w:noProof/>
        </w:rPr>
      </w:pPr>
      <w:r w:rsidRPr="009C4695">
        <w:rPr>
          <w:rFonts w:ascii="Times New Roman" w:hAnsi="Times New Roman"/>
          <w:noProof/>
        </w:rPr>
        <w:t>5.1.1.</w:t>
      </w:r>
      <w:r w:rsidRPr="009C4695">
        <w:rPr>
          <w:rFonts w:ascii="Times New Roman" w:hAnsi="Times New Roman"/>
          <w:noProof/>
        </w:rPr>
        <w:tab/>
      </w:r>
      <w:r w:rsidRPr="009C4695">
        <w:rPr>
          <w:rFonts w:ascii="Times New Roman" w:hAnsi="Times New Roman"/>
          <w:noProof/>
          <w:u w:val="single"/>
        </w:rPr>
        <w:t xml:space="preserve">Указания относно определени </w:t>
      </w:r>
      <w:r w:rsidRPr="009C4695">
        <w:rPr>
          <w:rFonts w:ascii="Times New Roman" w:hAnsi="Times New Roman"/>
          <w:noProof/>
          <w:u w:val="single"/>
        </w:rPr>
        <w:t>позиции</w:t>
      </w:r>
      <w:r w:rsidRPr="009C4695">
        <w:rPr>
          <w:noProof/>
        </w:rPr>
        <w:tab/>
        <w:t>45</w:t>
      </w:r>
      <w:bookmarkStart w:id="6" w:name="_Toc360188322"/>
      <w:bookmarkStart w:id="7" w:name="_Toc473560870"/>
      <w:bookmarkStart w:id="8" w:name="_Toc7084155"/>
    </w:p>
    <w:p w14:paraId="7BEB4052" w14:textId="77777777" w:rsidR="001B665C" w:rsidRPr="009C4695" w:rsidRDefault="001B665C"/>
    <w:p w14:paraId="0B0F8520" w14:textId="77777777" w:rsidR="001B665C" w:rsidRPr="009C4695" w:rsidRDefault="009C4695">
      <w:pPr>
        <w:pStyle w:val="Heading2"/>
        <w:rPr>
          <w:rFonts w:ascii="Times New Roman" w:hAnsi="Times New Roman"/>
        </w:rPr>
      </w:pPr>
      <w:bookmarkStart w:id="9" w:name="_Toc35795004"/>
      <w:bookmarkStart w:id="10" w:name="_Toc88218300"/>
      <w:r w:rsidRPr="009C4695">
        <w:rPr>
          <w:rFonts w:ascii="Times New Roman" w:hAnsi="Times New Roman"/>
        </w:rPr>
        <w:t>ЧАСТ I: ОБЩИ УКАЗАНИЯ</w:t>
      </w:r>
      <w:bookmarkEnd w:id="9"/>
      <w:bookmarkEnd w:id="10"/>
    </w:p>
    <w:p w14:paraId="6D72CF80" w14:textId="77777777" w:rsidR="001B665C" w:rsidRPr="009C4695" w:rsidRDefault="009C4695">
      <w:pPr>
        <w:keepNext/>
        <w:spacing w:before="240" w:after="240" w:line="240" w:lineRule="auto"/>
        <w:jc w:val="both"/>
        <w:outlineLvl w:val="1"/>
        <w:rPr>
          <w:rFonts w:ascii="Times New Roman" w:eastAsia="Arial" w:hAnsi="Times New Roman" w:cs="Times New Roman"/>
          <w:sz w:val="24"/>
          <w:szCs w:val="24"/>
        </w:rPr>
      </w:pPr>
      <w:bookmarkStart w:id="11" w:name="_Toc35795005"/>
      <w:bookmarkStart w:id="12" w:name="_Toc88218301"/>
      <w:r w:rsidRPr="009C4695">
        <w:rPr>
          <w:rFonts w:ascii="Times New Roman" w:hAnsi="Times New Roman"/>
          <w:sz w:val="24"/>
          <w:szCs w:val="24"/>
        </w:rPr>
        <w:t>1. Структура и правила</w:t>
      </w:r>
      <w:bookmarkEnd w:id="11"/>
      <w:bookmarkEnd w:id="12"/>
    </w:p>
    <w:p w14:paraId="688F4826" w14:textId="77777777" w:rsidR="001B665C" w:rsidRPr="009C4695" w:rsidRDefault="009C4695">
      <w:pPr>
        <w:keepNext/>
        <w:spacing w:before="240" w:after="240" w:line="240" w:lineRule="auto"/>
        <w:jc w:val="both"/>
        <w:outlineLvl w:val="1"/>
        <w:rPr>
          <w:rFonts w:ascii="Times New Roman" w:eastAsia="Arial" w:hAnsi="Times New Roman" w:cs="Times New Roman"/>
          <w:sz w:val="24"/>
          <w:szCs w:val="24"/>
          <w:u w:val="single"/>
        </w:rPr>
      </w:pPr>
      <w:bookmarkStart w:id="13" w:name="_Toc35795006"/>
      <w:bookmarkStart w:id="14" w:name="_Toc88218302"/>
      <w:r w:rsidRPr="009C4695">
        <w:rPr>
          <w:rFonts w:ascii="Times New Roman" w:hAnsi="Times New Roman"/>
          <w:sz w:val="24"/>
          <w:szCs w:val="24"/>
          <w:u w:val="single"/>
        </w:rPr>
        <w:t>1.1</w:t>
      </w:r>
      <w:r w:rsidRPr="009C4695">
        <w:rPr>
          <w:rFonts w:ascii="Times New Roman" w:hAnsi="Times New Roman"/>
          <w:sz w:val="24"/>
          <w:szCs w:val="24"/>
          <w:u w:val="single"/>
        </w:rPr>
        <w:t xml:space="preserve"> Структура</w:t>
      </w:r>
      <w:bookmarkEnd w:id="13"/>
      <w:bookmarkEnd w:id="14"/>
    </w:p>
    <w:p w14:paraId="5BCFD450" w14:textId="77777777" w:rsidR="001B665C" w:rsidRPr="009C4695" w:rsidRDefault="009C4695">
      <w:pPr>
        <w:spacing w:line="256" w:lineRule="auto"/>
        <w:ind w:left="284" w:hanging="284"/>
        <w:jc w:val="both"/>
        <w:rPr>
          <w:rFonts w:ascii="Times New Roman" w:hAnsi="Times New Roman" w:cs="Times New Roman"/>
        </w:rPr>
      </w:pPr>
      <w:r w:rsidRPr="009C4695">
        <w:rPr>
          <w:rFonts w:ascii="Times New Roman" w:hAnsi="Times New Roman" w:cs="Times New Roman"/>
        </w:rPr>
        <w:t>(1)</w:t>
      </w:r>
      <w:r w:rsidRPr="009C4695">
        <w:rPr>
          <w:rFonts w:ascii="Times New Roman" w:hAnsi="Times New Roman" w:cs="Times New Roman"/>
        </w:rPr>
        <w:tab/>
        <w:t>Като</w:t>
      </w:r>
      <w:r w:rsidRPr="009C4695">
        <w:rPr>
          <w:rFonts w:ascii="Times New Roman" w:hAnsi="Times New Roman"/>
        </w:rPr>
        <w:t xml:space="preserve"> цяло рамката се състои от следните информационни блокове:</w:t>
      </w:r>
    </w:p>
    <w:p w14:paraId="4F10DA3A" w14:textId="77777777" w:rsidR="001B665C" w:rsidRPr="009C4695" w:rsidRDefault="009C4695">
      <w:pPr>
        <w:spacing w:line="256" w:lineRule="auto"/>
        <w:ind w:left="1728" w:hanging="648"/>
        <w:jc w:val="both"/>
        <w:rPr>
          <w:rFonts w:ascii="Times New Roman" w:hAnsi="Times New Roman" w:cs="Times New Roman"/>
        </w:rPr>
      </w:pPr>
      <w:r w:rsidRPr="009C4695">
        <w:rPr>
          <w:rFonts w:ascii="Times New Roman" w:hAnsi="Times New Roman" w:cs="Times New Roman"/>
        </w:rPr>
        <w:t>а)</w:t>
      </w:r>
      <w:r w:rsidRPr="009C4695">
        <w:rPr>
          <w:rFonts w:ascii="Times New Roman" w:hAnsi="Times New Roman" w:cs="Times New Roman"/>
        </w:rPr>
        <w:tab/>
      </w:r>
      <w:r w:rsidRPr="009C4695">
        <w:rPr>
          <w:rFonts w:ascii="Times New Roman" w:hAnsi="Times New Roman"/>
        </w:rPr>
        <w:t>собствен капитал;</w:t>
      </w:r>
    </w:p>
    <w:p w14:paraId="5490C2C1" w14:textId="77777777" w:rsidR="001B665C" w:rsidRPr="009C4695" w:rsidRDefault="009C4695">
      <w:pPr>
        <w:spacing w:line="256" w:lineRule="auto"/>
        <w:ind w:left="1728" w:hanging="648"/>
        <w:jc w:val="both"/>
        <w:rPr>
          <w:rFonts w:ascii="Times New Roman" w:hAnsi="Times New Roman" w:cs="Times New Roman"/>
        </w:rPr>
      </w:pPr>
      <w:r w:rsidRPr="009C4695">
        <w:rPr>
          <w:rFonts w:ascii="Times New Roman" w:hAnsi="Times New Roman" w:cs="Times New Roman"/>
        </w:rPr>
        <w:t>б)</w:t>
      </w:r>
      <w:r w:rsidRPr="009C4695">
        <w:rPr>
          <w:rFonts w:ascii="Times New Roman" w:hAnsi="Times New Roman" w:cs="Times New Roman"/>
        </w:rPr>
        <w:tab/>
      </w:r>
      <w:r w:rsidRPr="009C4695">
        <w:rPr>
          <w:rFonts w:ascii="Times New Roman" w:hAnsi="Times New Roman"/>
        </w:rPr>
        <w:t>изчисляване на капиталовите изисквания;</w:t>
      </w:r>
    </w:p>
    <w:p w14:paraId="508C3E3A" w14:textId="77777777" w:rsidR="001B665C" w:rsidRPr="009C4695" w:rsidRDefault="009C4695">
      <w:pPr>
        <w:spacing w:line="256" w:lineRule="auto"/>
        <w:ind w:left="1728" w:hanging="648"/>
        <w:jc w:val="both"/>
        <w:rPr>
          <w:rFonts w:ascii="Times New Roman" w:hAnsi="Times New Roman" w:cs="Times New Roman"/>
        </w:rPr>
      </w:pPr>
      <w:r w:rsidRPr="009C4695">
        <w:rPr>
          <w:rFonts w:ascii="Times New Roman" w:hAnsi="Times New Roman" w:cs="Times New Roman"/>
        </w:rPr>
        <w:t>в)</w:t>
      </w:r>
      <w:r w:rsidRPr="009C4695">
        <w:rPr>
          <w:rFonts w:ascii="Times New Roman" w:hAnsi="Times New Roman" w:cs="Times New Roman"/>
        </w:rPr>
        <w:tab/>
      </w:r>
      <w:r w:rsidRPr="009C4695">
        <w:rPr>
          <w:rFonts w:ascii="Times New Roman" w:hAnsi="Times New Roman"/>
        </w:rPr>
        <w:t xml:space="preserve">изчисляване на изискванията за </w:t>
      </w:r>
      <w:r w:rsidRPr="009C4695">
        <w:rPr>
          <w:rFonts w:ascii="Times New Roman" w:hAnsi="Times New Roman"/>
        </w:rPr>
        <w:t>постоянните общи разходи;</w:t>
      </w:r>
    </w:p>
    <w:p w14:paraId="2F3C284A" w14:textId="77777777" w:rsidR="001B665C" w:rsidRPr="009C4695" w:rsidRDefault="009C4695">
      <w:pPr>
        <w:spacing w:line="256" w:lineRule="auto"/>
        <w:ind w:left="1728" w:hanging="648"/>
        <w:jc w:val="both"/>
        <w:rPr>
          <w:rFonts w:ascii="Times New Roman" w:hAnsi="Times New Roman" w:cs="Times New Roman"/>
        </w:rPr>
      </w:pPr>
      <w:r w:rsidRPr="009C4695">
        <w:rPr>
          <w:rFonts w:ascii="Times New Roman" w:hAnsi="Times New Roman" w:cs="Times New Roman"/>
        </w:rPr>
        <w:t>г)</w:t>
      </w:r>
      <w:r w:rsidRPr="009C4695">
        <w:rPr>
          <w:rFonts w:ascii="Times New Roman" w:hAnsi="Times New Roman" w:cs="Times New Roman"/>
        </w:rPr>
        <w:tab/>
      </w:r>
      <w:r w:rsidRPr="009C4695">
        <w:rPr>
          <w:rFonts w:ascii="Times New Roman" w:hAnsi="Times New Roman"/>
        </w:rPr>
        <w:t>размер на дейността в зависимост от условията по член 12, параграф 1 от Регламент (ЕС) 2019/2033;</w:t>
      </w:r>
    </w:p>
    <w:p w14:paraId="31E263F8" w14:textId="77777777" w:rsidR="001B665C" w:rsidRPr="009C4695" w:rsidRDefault="009C4695">
      <w:pPr>
        <w:spacing w:line="256" w:lineRule="auto"/>
        <w:ind w:left="1728" w:hanging="648"/>
        <w:jc w:val="both"/>
        <w:rPr>
          <w:rFonts w:ascii="Times New Roman" w:hAnsi="Times New Roman" w:cs="Times New Roman"/>
        </w:rPr>
      </w:pPr>
      <w:r w:rsidRPr="009C4695">
        <w:rPr>
          <w:rFonts w:ascii="Times New Roman" w:hAnsi="Times New Roman" w:cs="Times New Roman"/>
        </w:rPr>
        <w:t>д)</w:t>
      </w:r>
      <w:r w:rsidRPr="009C4695">
        <w:rPr>
          <w:rFonts w:ascii="Times New Roman" w:hAnsi="Times New Roman" w:cs="Times New Roman"/>
        </w:rPr>
        <w:tab/>
      </w:r>
      <w:r w:rsidRPr="009C4695">
        <w:rPr>
          <w:rFonts w:ascii="Times New Roman" w:hAnsi="Times New Roman"/>
        </w:rPr>
        <w:t>изчисляване на изискванията въз основа на К-факторите;</w:t>
      </w:r>
    </w:p>
    <w:p w14:paraId="5521E6B3" w14:textId="77777777" w:rsidR="001B665C" w:rsidRPr="009C4695" w:rsidRDefault="009C4695">
      <w:pPr>
        <w:spacing w:line="256" w:lineRule="auto"/>
        <w:ind w:left="1728" w:hanging="648"/>
        <w:jc w:val="both"/>
        <w:rPr>
          <w:rFonts w:ascii="Times New Roman" w:hAnsi="Times New Roman" w:cs="Times New Roman"/>
        </w:rPr>
      </w:pPr>
      <w:r w:rsidRPr="009C4695">
        <w:rPr>
          <w:rFonts w:ascii="Times New Roman" w:hAnsi="Times New Roman" w:cs="Times New Roman"/>
        </w:rPr>
        <w:t>е)</w:t>
      </w:r>
      <w:r w:rsidRPr="009C4695">
        <w:rPr>
          <w:rFonts w:ascii="Times New Roman" w:hAnsi="Times New Roman" w:cs="Times New Roman"/>
        </w:rPr>
        <w:tab/>
      </w:r>
      <w:r w:rsidRPr="009C4695">
        <w:rPr>
          <w:rFonts w:ascii="Times New Roman" w:hAnsi="Times New Roman"/>
        </w:rPr>
        <w:t>изисквания за риска от концентрация;</w:t>
      </w:r>
    </w:p>
    <w:p w14:paraId="109C576B" w14:textId="77777777" w:rsidR="001B665C" w:rsidRPr="009C4695" w:rsidRDefault="009C4695">
      <w:pPr>
        <w:spacing w:line="256" w:lineRule="auto"/>
        <w:ind w:left="1728" w:hanging="648"/>
        <w:jc w:val="both"/>
        <w:rPr>
          <w:rFonts w:ascii="Times New Roman" w:hAnsi="Times New Roman" w:cs="Times New Roman"/>
        </w:rPr>
      </w:pPr>
      <w:r w:rsidRPr="009C4695">
        <w:rPr>
          <w:rFonts w:ascii="Times New Roman" w:hAnsi="Times New Roman" w:cs="Times New Roman"/>
        </w:rPr>
        <w:t>ж)</w:t>
      </w:r>
      <w:r w:rsidRPr="009C4695">
        <w:rPr>
          <w:rFonts w:ascii="Times New Roman" w:hAnsi="Times New Roman" w:cs="Times New Roman"/>
        </w:rPr>
        <w:tab/>
      </w:r>
      <w:r w:rsidRPr="009C4695">
        <w:rPr>
          <w:rFonts w:ascii="Times New Roman" w:hAnsi="Times New Roman"/>
        </w:rPr>
        <w:t>изисквания за ликвидност.</w:t>
      </w:r>
    </w:p>
    <w:p w14:paraId="58D2570C" w14:textId="77777777" w:rsidR="001B665C" w:rsidRPr="009C4695" w:rsidRDefault="009C4695">
      <w:pPr>
        <w:pStyle w:val="InstructionsText2"/>
        <w:numPr>
          <w:ilvl w:val="0"/>
          <w:numId w:val="0"/>
        </w:numPr>
        <w:ind w:left="360" w:hanging="360"/>
      </w:pPr>
      <w:r w:rsidRPr="009C4695">
        <w:t>2.</w:t>
      </w:r>
      <w:r w:rsidRPr="009C4695">
        <w:tab/>
        <w:t>За всеки образец са посочени препратки към законодателни актове. В настоящата част от регламента се съдържа допълнителна подробна информация за по-общите аспекти на докладването за всяка група образци, указания за определени позиции, както и правила относ</w:t>
      </w:r>
      <w:r w:rsidRPr="009C4695">
        <w:t>но утвърждаването.</w:t>
      </w:r>
    </w:p>
    <w:p w14:paraId="18624386" w14:textId="77777777" w:rsidR="001B665C" w:rsidRPr="009C4695" w:rsidRDefault="009C4695">
      <w:pPr>
        <w:keepNext/>
        <w:spacing w:before="240" w:after="240" w:line="240" w:lineRule="auto"/>
        <w:jc w:val="both"/>
        <w:outlineLvl w:val="1"/>
        <w:rPr>
          <w:rFonts w:ascii="Times New Roman" w:eastAsia="Arial" w:hAnsi="Times New Roman" w:cs="Times New Roman"/>
          <w:sz w:val="24"/>
          <w:szCs w:val="24"/>
          <w:u w:val="single"/>
        </w:rPr>
      </w:pPr>
      <w:bookmarkStart w:id="15" w:name="_Toc35795007"/>
      <w:bookmarkStart w:id="16" w:name="_Toc88218303"/>
      <w:r w:rsidRPr="009C4695">
        <w:rPr>
          <w:rFonts w:ascii="Times New Roman" w:hAnsi="Times New Roman"/>
          <w:sz w:val="24"/>
          <w:szCs w:val="24"/>
          <w:u w:val="single"/>
        </w:rPr>
        <w:lastRenderedPageBreak/>
        <w:t>1.2</w:t>
      </w:r>
      <w:r w:rsidRPr="009C4695">
        <w:rPr>
          <w:rFonts w:ascii="Times New Roman" w:hAnsi="Times New Roman"/>
          <w:sz w:val="24"/>
          <w:szCs w:val="24"/>
          <w:u w:val="single"/>
        </w:rPr>
        <w:t xml:space="preserve"> Правила за номериране</w:t>
      </w:r>
      <w:bookmarkEnd w:id="15"/>
      <w:bookmarkEnd w:id="16"/>
    </w:p>
    <w:p w14:paraId="0CC52F32" w14:textId="77777777" w:rsidR="001B665C" w:rsidRPr="009C4695" w:rsidRDefault="009C4695">
      <w:pPr>
        <w:pStyle w:val="InstructionsText2"/>
        <w:numPr>
          <w:ilvl w:val="0"/>
          <w:numId w:val="0"/>
        </w:numPr>
        <w:ind w:left="360" w:hanging="360"/>
      </w:pPr>
      <w:r w:rsidRPr="009C4695">
        <w:t>3.</w:t>
      </w:r>
      <w:r w:rsidRPr="009C4695">
        <w:tab/>
        <w:t>При означаването на колоните, редовете и клетките от образците указанията следват правилото за обозначаване, определено в точки 4—7. Тези цифрови кодове се използват широко при правилата за утвърждаване.</w:t>
      </w:r>
    </w:p>
    <w:p w14:paraId="03B03788" w14:textId="77777777" w:rsidR="001B665C" w:rsidRPr="009C4695" w:rsidRDefault="009C4695">
      <w:pPr>
        <w:pStyle w:val="InstructionsText2"/>
        <w:numPr>
          <w:ilvl w:val="0"/>
          <w:numId w:val="0"/>
        </w:numPr>
        <w:ind w:left="360" w:hanging="360"/>
      </w:pPr>
      <w:r w:rsidRPr="009C4695">
        <w:t>4.</w:t>
      </w:r>
      <w:r w:rsidRPr="009C4695">
        <w:tab/>
        <w:t>В</w:t>
      </w:r>
      <w:r w:rsidRPr="009C4695">
        <w:t xml:space="preserve"> указанията се съблюдават следните общи означения: {Образец; Ред; Колона}.</w:t>
      </w:r>
    </w:p>
    <w:p w14:paraId="1A4F0FE2" w14:textId="77777777" w:rsidR="001B665C" w:rsidRPr="009C4695" w:rsidRDefault="009C4695">
      <w:pPr>
        <w:pStyle w:val="InstructionsText2"/>
        <w:numPr>
          <w:ilvl w:val="0"/>
          <w:numId w:val="0"/>
        </w:numPr>
        <w:ind w:left="360" w:hanging="360"/>
      </w:pPr>
      <w:r w:rsidRPr="009C4695">
        <w:t>5.</w:t>
      </w:r>
      <w:r w:rsidRPr="009C4695">
        <w:tab/>
        <w:t>Когато се извършва утвърждаване в рамките на образец, в който се използват само съдържащите се в него данни, означенията не включват думата „образец“: {Ред; Колона}.</w:t>
      </w:r>
    </w:p>
    <w:p w14:paraId="662122C5" w14:textId="77777777" w:rsidR="001B665C" w:rsidRPr="009C4695" w:rsidRDefault="009C4695">
      <w:pPr>
        <w:pStyle w:val="InstructionsText2"/>
        <w:numPr>
          <w:ilvl w:val="0"/>
          <w:numId w:val="0"/>
        </w:numPr>
        <w:ind w:left="360" w:hanging="360"/>
      </w:pPr>
      <w:r w:rsidRPr="009C4695">
        <w:t>6.</w:t>
      </w:r>
      <w:r w:rsidRPr="009C4695">
        <w:tab/>
        <w:t xml:space="preserve">При </w:t>
      </w:r>
      <w:r w:rsidRPr="009C4695">
        <w:t>образците, които имат само една колона, се посочват само редовете. {Образец; Ред}</w:t>
      </w:r>
    </w:p>
    <w:p w14:paraId="203FDF52" w14:textId="77777777" w:rsidR="001B665C" w:rsidRPr="009C4695" w:rsidRDefault="009C4695">
      <w:pPr>
        <w:pStyle w:val="InstructionsText2"/>
        <w:numPr>
          <w:ilvl w:val="0"/>
          <w:numId w:val="0"/>
        </w:numPr>
        <w:ind w:left="360" w:hanging="360"/>
      </w:pPr>
      <w:r w:rsidRPr="009C4695">
        <w:t>7.</w:t>
      </w:r>
      <w:r w:rsidRPr="009C4695">
        <w:tab/>
        <w:t>Знакът „звездичка“ се използва, за да се покаже, че утвърждаването обхваща посочените преди това редове или колони.</w:t>
      </w:r>
    </w:p>
    <w:p w14:paraId="4D671B04" w14:textId="77777777" w:rsidR="001B665C" w:rsidRPr="009C4695" w:rsidRDefault="009C4695">
      <w:pPr>
        <w:keepNext/>
        <w:spacing w:before="240" w:after="240" w:line="240" w:lineRule="auto"/>
        <w:jc w:val="both"/>
        <w:outlineLvl w:val="1"/>
        <w:rPr>
          <w:rFonts w:ascii="Times New Roman" w:eastAsia="Arial" w:hAnsi="Times New Roman" w:cs="Times New Roman"/>
          <w:sz w:val="24"/>
          <w:szCs w:val="24"/>
          <w:u w:val="single"/>
        </w:rPr>
      </w:pPr>
      <w:bookmarkStart w:id="17" w:name="_Toc35795008"/>
      <w:bookmarkStart w:id="18" w:name="_Toc88218304"/>
      <w:r w:rsidRPr="009C4695">
        <w:rPr>
          <w:rFonts w:ascii="Times New Roman" w:hAnsi="Times New Roman"/>
          <w:sz w:val="24"/>
          <w:szCs w:val="24"/>
          <w:u w:val="single"/>
        </w:rPr>
        <w:t>1.3</w:t>
      </w:r>
      <w:r w:rsidRPr="009C4695">
        <w:rPr>
          <w:rFonts w:ascii="Times New Roman" w:hAnsi="Times New Roman"/>
          <w:sz w:val="24"/>
          <w:szCs w:val="24"/>
          <w:u w:val="single"/>
        </w:rPr>
        <w:t xml:space="preserve"> Правила относно представянето на положителни и отри</w:t>
      </w:r>
      <w:r w:rsidRPr="009C4695">
        <w:rPr>
          <w:rFonts w:ascii="Times New Roman" w:hAnsi="Times New Roman"/>
          <w:sz w:val="24"/>
          <w:szCs w:val="24"/>
          <w:u w:val="single"/>
        </w:rPr>
        <w:t>цателни стойности</w:t>
      </w:r>
      <w:bookmarkEnd w:id="17"/>
      <w:bookmarkEnd w:id="18"/>
    </w:p>
    <w:p w14:paraId="07843436" w14:textId="77777777" w:rsidR="001B665C" w:rsidRPr="009C4695" w:rsidRDefault="009C4695">
      <w:pPr>
        <w:pStyle w:val="InstructionsText2"/>
        <w:numPr>
          <w:ilvl w:val="0"/>
          <w:numId w:val="0"/>
        </w:numPr>
        <w:ind w:left="360" w:hanging="360"/>
      </w:pPr>
      <w:r w:rsidRPr="009C4695">
        <w:t>8.</w:t>
      </w:r>
      <w:r w:rsidRPr="009C4695">
        <w:tab/>
        <w:t xml:space="preserve">Всяка стойност, с която се увеличават собственият капитал или капиталовите изисквания, или изискванията за ликвидност, се докладва като положителна. Обратно, всяка стойност, с която се намаляват общият размер на собствения капитал или </w:t>
      </w:r>
      <w:r w:rsidRPr="009C4695">
        <w:t>капиталовите изисквания, се докладва като отрицателна. Когато преди означението на дадена позиция е поставен отрицателен знак (–), докладваните по нея стойности не може да са положителни.</w:t>
      </w:r>
    </w:p>
    <w:p w14:paraId="75D3A13A" w14:textId="77777777" w:rsidR="001B665C" w:rsidRPr="009C4695" w:rsidRDefault="009C4695">
      <w:pPr>
        <w:keepNext/>
        <w:spacing w:before="240" w:after="240" w:line="240" w:lineRule="auto"/>
        <w:jc w:val="both"/>
        <w:outlineLvl w:val="1"/>
        <w:rPr>
          <w:rFonts w:ascii="Times New Roman" w:eastAsia="Arial" w:hAnsi="Times New Roman" w:cs="Times New Roman"/>
          <w:sz w:val="24"/>
          <w:szCs w:val="24"/>
          <w:u w:val="single"/>
        </w:rPr>
      </w:pPr>
      <w:bookmarkStart w:id="19" w:name="_Toc88218305"/>
      <w:bookmarkStart w:id="20" w:name="_Toc35795010"/>
      <w:r w:rsidRPr="009C4695">
        <w:rPr>
          <w:rFonts w:ascii="Times New Roman" w:hAnsi="Times New Roman"/>
          <w:sz w:val="24"/>
          <w:szCs w:val="24"/>
          <w:u w:val="single"/>
        </w:rPr>
        <w:t>1.4</w:t>
      </w:r>
      <w:r w:rsidRPr="009C4695">
        <w:rPr>
          <w:rFonts w:ascii="Times New Roman" w:hAnsi="Times New Roman"/>
          <w:sz w:val="24"/>
          <w:szCs w:val="24"/>
          <w:u w:val="single"/>
        </w:rPr>
        <w:t xml:space="preserve"> Пруденциална консолидация</w:t>
      </w:r>
      <w:bookmarkEnd w:id="19"/>
      <w:bookmarkEnd w:id="20"/>
    </w:p>
    <w:p w14:paraId="52DD3551" w14:textId="77777777" w:rsidR="001B665C" w:rsidRPr="009C4695" w:rsidRDefault="009C4695">
      <w:pPr>
        <w:spacing w:line="256" w:lineRule="auto"/>
        <w:ind w:left="360" w:hanging="360"/>
        <w:jc w:val="both"/>
        <w:rPr>
          <w:rFonts w:ascii="Times New Roman" w:hAnsi="Times New Roman" w:cs="Times New Roman"/>
          <w:sz w:val="24"/>
        </w:rPr>
      </w:pPr>
      <w:r w:rsidRPr="009C4695">
        <w:rPr>
          <w:rFonts w:ascii="Times New Roman" w:hAnsi="Times New Roman" w:cs="Times New Roman"/>
          <w:sz w:val="24"/>
        </w:rPr>
        <w:t>9.</w:t>
      </w:r>
      <w:r w:rsidRPr="009C4695">
        <w:rPr>
          <w:rFonts w:ascii="Times New Roman" w:hAnsi="Times New Roman" w:cs="Times New Roman"/>
          <w:sz w:val="24"/>
        </w:rPr>
        <w:tab/>
      </w:r>
      <w:r w:rsidRPr="009C4695">
        <w:rPr>
          <w:rFonts w:ascii="Times New Roman" w:hAnsi="Times New Roman"/>
          <w:sz w:val="24"/>
        </w:rPr>
        <w:t>Ако не е предоставено освобождаване</w:t>
      </w:r>
      <w:r w:rsidRPr="009C4695">
        <w:rPr>
          <w:rFonts w:ascii="Times New Roman" w:hAnsi="Times New Roman"/>
          <w:sz w:val="24"/>
        </w:rPr>
        <w:t>, Регламент (ЕС) 2019/2033 и Директива (ЕС) 2019/2034 се прилагат за инвестиционните посредници на индивидуална и консолидирана основа, което включва изискванията за докладване в част седма от Регламент (ЕС) 2019/2033. Според определението в член 4, парагр</w:t>
      </w:r>
      <w:r w:rsidRPr="009C4695">
        <w:rPr>
          <w:rFonts w:ascii="Times New Roman" w:hAnsi="Times New Roman"/>
          <w:sz w:val="24"/>
        </w:rPr>
        <w:t>аф 1, точка 11 от Регламент (ЕС) 2019/2033 консолидираното състояние е резултат от прилагането на изискванията на Регламент (ЕС) 2019/2033 по отношение на група инвестиционни посредници, така сякаш субектите от групата заедно образуват един-единствен инвес</w:t>
      </w:r>
      <w:r w:rsidRPr="009C4695">
        <w:rPr>
          <w:rFonts w:ascii="Times New Roman" w:hAnsi="Times New Roman"/>
          <w:sz w:val="24"/>
        </w:rPr>
        <w:t xml:space="preserve">тиционен посредник. Въз основа на прилагането на член 7 от Регламент (ЕС) 2019/2033 групите инвестиционни посредници изпълняват изискванията за докладване във всички образци въз основа на обхвата на пруденциалната консолидация (който може да е различен от </w:t>
      </w:r>
      <w:r w:rsidRPr="009C4695">
        <w:rPr>
          <w:rFonts w:ascii="Times New Roman" w:hAnsi="Times New Roman"/>
          <w:sz w:val="24"/>
        </w:rPr>
        <w:t>обхвата на тяхната счетоводна консолидация).</w:t>
      </w:r>
    </w:p>
    <w:p w14:paraId="0B533906" w14:textId="77777777" w:rsidR="001B665C" w:rsidRPr="009C4695" w:rsidRDefault="009C4695">
      <w:pPr>
        <w:pStyle w:val="Heading2"/>
        <w:rPr>
          <w:rFonts w:ascii="Times New Roman" w:hAnsi="Times New Roman"/>
        </w:rPr>
      </w:pPr>
      <w:bookmarkStart w:id="21" w:name="_Toc88218306"/>
      <w:r w:rsidRPr="009C4695">
        <w:rPr>
          <w:rFonts w:ascii="Times New Roman" w:hAnsi="Times New Roman"/>
        </w:rPr>
        <w:lastRenderedPageBreak/>
        <w:t>ЧАСТ II: УКАЗАНИЯ ОТНОСНО ОБРАЗЦИТЕ</w:t>
      </w:r>
      <w:bookmarkEnd w:id="6"/>
      <w:bookmarkEnd w:id="7"/>
      <w:bookmarkEnd w:id="8"/>
      <w:bookmarkEnd w:id="21"/>
    </w:p>
    <w:p w14:paraId="12BF516E" w14:textId="77777777" w:rsidR="001B665C" w:rsidRPr="009C4695" w:rsidRDefault="009C4695">
      <w:pPr>
        <w:pStyle w:val="Instructionsberschrift2"/>
        <w:ind w:left="357" w:hanging="357"/>
        <w:rPr>
          <w:rFonts w:ascii="Times New Roman" w:hAnsi="Times New Roman" w:cs="Times New Roman"/>
          <w:b/>
          <w:sz w:val="24"/>
        </w:rPr>
      </w:pPr>
      <w:bookmarkStart w:id="22" w:name="_Toc88218307"/>
      <w:bookmarkStart w:id="23" w:name="_Toc35795012"/>
      <w:r w:rsidRPr="009C4695">
        <w:rPr>
          <w:rFonts w:ascii="Times New Roman" w:hAnsi="Times New Roman"/>
          <w:b/>
          <w:sz w:val="24"/>
          <w:u w:val="none"/>
        </w:rPr>
        <w:t>1. СОБСТВЕН КАПИТАЛ: РАЗМЕР, СЪСТАВ, ИЗИСКВАНИЯ И ИЗЧИСЛЯВАНЕ</w:t>
      </w:r>
      <w:bookmarkEnd w:id="22"/>
      <w:bookmarkEnd w:id="23"/>
    </w:p>
    <w:p w14:paraId="50A3AFEB" w14:textId="77777777" w:rsidR="001B665C" w:rsidRPr="009C4695" w:rsidRDefault="009C4695">
      <w:pPr>
        <w:pStyle w:val="Instructionsberschrift2"/>
        <w:ind w:left="357" w:hanging="357"/>
        <w:rPr>
          <w:rFonts w:ascii="Times New Roman" w:hAnsi="Times New Roman" w:cs="Times New Roman"/>
          <w:sz w:val="24"/>
        </w:rPr>
      </w:pPr>
      <w:bookmarkStart w:id="24" w:name="_Toc88218308"/>
      <w:bookmarkStart w:id="25" w:name="_Toc35795013"/>
      <w:r w:rsidRPr="009C4695">
        <w:rPr>
          <w:rFonts w:ascii="Times New Roman" w:hAnsi="Times New Roman"/>
          <w:sz w:val="24"/>
          <w:u w:val="none"/>
        </w:rPr>
        <w:t>1.1</w:t>
      </w:r>
      <w:r w:rsidRPr="009C4695">
        <w:rPr>
          <w:rFonts w:ascii="Times New Roman" w:hAnsi="Times New Roman"/>
          <w:sz w:val="24"/>
          <w:u w:val="none"/>
        </w:rPr>
        <w:t xml:space="preserve"> Общи положения</w:t>
      </w:r>
      <w:bookmarkEnd w:id="24"/>
      <w:bookmarkEnd w:id="25"/>
    </w:p>
    <w:p w14:paraId="32A0A4BC" w14:textId="77777777" w:rsidR="001B665C" w:rsidRPr="009C4695" w:rsidRDefault="009C4695">
      <w:pPr>
        <w:spacing w:line="256" w:lineRule="auto"/>
        <w:ind w:left="993" w:hanging="567"/>
        <w:jc w:val="both"/>
        <w:rPr>
          <w:rFonts w:ascii="Times New Roman" w:hAnsi="Times New Roman" w:cs="Times New Roman"/>
          <w:sz w:val="24"/>
        </w:rPr>
      </w:pPr>
      <w:r w:rsidRPr="009C4695">
        <w:rPr>
          <w:rFonts w:ascii="Times New Roman" w:hAnsi="Times New Roman" w:cs="Times New Roman"/>
          <w:sz w:val="24"/>
        </w:rPr>
        <w:t>10.</w:t>
      </w:r>
      <w:r w:rsidRPr="009C4695">
        <w:rPr>
          <w:rFonts w:ascii="Times New Roman" w:hAnsi="Times New Roman" w:cs="Times New Roman"/>
          <w:sz w:val="24"/>
        </w:rPr>
        <w:tab/>
      </w:r>
      <w:r w:rsidRPr="009C4695">
        <w:rPr>
          <w:rFonts w:ascii="Times New Roman" w:hAnsi="Times New Roman"/>
          <w:sz w:val="24"/>
        </w:rPr>
        <w:t xml:space="preserve">В раздела за собствения капитал се съдържа информация за притежавания от </w:t>
      </w:r>
      <w:r w:rsidRPr="009C4695">
        <w:rPr>
          <w:rFonts w:ascii="Times New Roman" w:hAnsi="Times New Roman"/>
          <w:sz w:val="24"/>
        </w:rPr>
        <w:t>инвестиционния посредник собствен капитал и за неговите капиталови изисквания. Той се състои от два образеца:</w:t>
      </w:r>
    </w:p>
    <w:p w14:paraId="57DC9C62" w14:textId="77777777" w:rsidR="001B665C" w:rsidRPr="009C4695" w:rsidRDefault="009C4695">
      <w:pPr>
        <w:spacing w:line="256" w:lineRule="auto"/>
        <w:ind w:left="1728" w:hanging="648"/>
        <w:jc w:val="both"/>
        <w:rPr>
          <w:rFonts w:ascii="Times New Roman" w:hAnsi="Times New Roman" w:cs="Times New Roman"/>
          <w:sz w:val="24"/>
        </w:rPr>
      </w:pPr>
      <w:r w:rsidRPr="009C4695">
        <w:rPr>
          <w:rFonts w:ascii="Times New Roman" w:hAnsi="Times New Roman" w:cs="Times New Roman"/>
          <w:sz w:val="24"/>
        </w:rPr>
        <w:t>а)</w:t>
      </w:r>
      <w:r w:rsidRPr="009C4695">
        <w:rPr>
          <w:rFonts w:ascii="Times New Roman" w:hAnsi="Times New Roman" w:cs="Times New Roman"/>
          <w:sz w:val="24"/>
        </w:rPr>
        <w:tab/>
      </w:r>
      <w:r w:rsidRPr="009C4695">
        <w:rPr>
          <w:rFonts w:ascii="Times New Roman" w:hAnsi="Times New Roman"/>
          <w:sz w:val="24"/>
        </w:rPr>
        <w:t xml:space="preserve">Образец I </w:t>
      </w:r>
      <w:r w:rsidRPr="009C4695">
        <w:rPr>
          <w:rFonts w:ascii="Times New Roman" w:hAnsi="Times New Roman"/>
          <w:sz w:val="24"/>
        </w:rPr>
        <w:t>01.00</w:t>
      </w:r>
      <w:r w:rsidRPr="009C4695">
        <w:rPr>
          <w:rFonts w:ascii="Times New Roman" w:hAnsi="Times New Roman"/>
          <w:sz w:val="24"/>
        </w:rPr>
        <w:t xml:space="preserve"> се отнася за състава на собствения капитал, притежаван от инвестиционния посредник: Базов собствен капитал от първи ред (БСК1),</w:t>
      </w:r>
      <w:r w:rsidRPr="009C4695">
        <w:rPr>
          <w:rFonts w:ascii="Times New Roman" w:hAnsi="Times New Roman"/>
          <w:sz w:val="24"/>
        </w:rPr>
        <w:t xml:space="preserve"> допълнителен капитал от първи ред (ДК1) и капитал от втори ред (К2).</w:t>
      </w:r>
    </w:p>
    <w:p w14:paraId="45683E82" w14:textId="77777777" w:rsidR="001B665C" w:rsidRPr="009C4695" w:rsidRDefault="009C4695">
      <w:pPr>
        <w:spacing w:line="256" w:lineRule="auto"/>
        <w:ind w:left="1728" w:hanging="648"/>
        <w:jc w:val="both"/>
        <w:rPr>
          <w:rFonts w:ascii="Times New Roman" w:hAnsi="Times New Roman" w:cs="Times New Roman"/>
          <w:sz w:val="24"/>
        </w:rPr>
      </w:pPr>
      <w:r w:rsidRPr="009C4695">
        <w:rPr>
          <w:rFonts w:ascii="Times New Roman" w:hAnsi="Times New Roman" w:cs="Times New Roman"/>
          <w:sz w:val="24"/>
        </w:rPr>
        <w:t>б)</w:t>
      </w:r>
      <w:r w:rsidRPr="009C4695">
        <w:rPr>
          <w:rFonts w:ascii="Times New Roman" w:hAnsi="Times New Roman" w:cs="Times New Roman"/>
          <w:sz w:val="24"/>
        </w:rPr>
        <w:tab/>
      </w:r>
      <w:r w:rsidRPr="009C4695">
        <w:rPr>
          <w:rFonts w:ascii="Times New Roman" w:hAnsi="Times New Roman"/>
          <w:sz w:val="24"/>
        </w:rPr>
        <w:t xml:space="preserve">Образци I </w:t>
      </w:r>
      <w:r w:rsidRPr="009C4695">
        <w:rPr>
          <w:rFonts w:ascii="Times New Roman" w:hAnsi="Times New Roman"/>
          <w:sz w:val="24"/>
        </w:rPr>
        <w:t>02.01</w:t>
      </w:r>
      <w:r w:rsidRPr="009C4695">
        <w:rPr>
          <w:rFonts w:ascii="Times New Roman" w:hAnsi="Times New Roman"/>
          <w:sz w:val="24"/>
        </w:rPr>
        <w:t xml:space="preserve"> и I </w:t>
      </w:r>
      <w:r w:rsidRPr="009C4695">
        <w:rPr>
          <w:rFonts w:ascii="Times New Roman" w:hAnsi="Times New Roman"/>
          <w:sz w:val="24"/>
        </w:rPr>
        <w:t>02.02</w:t>
      </w:r>
      <w:r w:rsidRPr="009C4695">
        <w:rPr>
          <w:rFonts w:ascii="Times New Roman" w:hAnsi="Times New Roman"/>
          <w:sz w:val="24"/>
        </w:rPr>
        <w:t xml:space="preserve"> се отнасят за общото капиталово изискване, изискването за постоянен минимален капитал, изискването за постоянните общи разходи и общото изискване въз основа </w:t>
      </w:r>
      <w:r w:rsidRPr="009C4695">
        <w:rPr>
          <w:rFonts w:ascii="Times New Roman" w:hAnsi="Times New Roman"/>
          <w:sz w:val="24"/>
        </w:rPr>
        <w:t>на K-факторите, всички допълнителни капиталови изисквания и препоръки и преходните капиталови изисквания и капиталовите съотношения.</w:t>
      </w:r>
    </w:p>
    <w:p w14:paraId="4B32D213" w14:textId="77777777" w:rsidR="001B665C" w:rsidRPr="009C4695" w:rsidRDefault="009C4695">
      <w:pPr>
        <w:spacing w:line="256" w:lineRule="auto"/>
        <w:ind w:left="1728" w:hanging="648"/>
        <w:jc w:val="both"/>
        <w:rPr>
          <w:rFonts w:ascii="Times New Roman" w:hAnsi="Times New Roman" w:cs="Times New Roman"/>
          <w:sz w:val="24"/>
        </w:rPr>
      </w:pPr>
      <w:r w:rsidRPr="009C4695">
        <w:rPr>
          <w:rFonts w:ascii="Times New Roman" w:hAnsi="Times New Roman" w:cs="Times New Roman"/>
          <w:sz w:val="24"/>
        </w:rPr>
        <w:t>в)</w:t>
      </w:r>
      <w:r w:rsidRPr="009C4695">
        <w:rPr>
          <w:rFonts w:ascii="Times New Roman" w:hAnsi="Times New Roman" w:cs="Times New Roman"/>
          <w:sz w:val="24"/>
        </w:rPr>
        <w:tab/>
      </w:r>
      <w:r w:rsidRPr="009C4695">
        <w:rPr>
          <w:rFonts w:ascii="Times New Roman" w:hAnsi="Times New Roman"/>
          <w:sz w:val="24"/>
        </w:rPr>
        <w:t xml:space="preserve">I </w:t>
      </w:r>
      <w:r w:rsidRPr="009C4695">
        <w:rPr>
          <w:rFonts w:ascii="Times New Roman" w:hAnsi="Times New Roman"/>
          <w:sz w:val="24"/>
        </w:rPr>
        <w:t>03.00</w:t>
      </w:r>
      <w:r w:rsidRPr="009C4695">
        <w:rPr>
          <w:rFonts w:ascii="Times New Roman" w:hAnsi="Times New Roman"/>
          <w:sz w:val="24"/>
        </w:rPr>
        <w:t xml:space="preserve"> включва информация за изчисляването на изискването за постоянните общи разходи.</w:t>
      </w:r>
    </w:p>
    <w:p w14:paraId="77B1FC5D" w14:textId="77777777" w:rsidR="001B665C" w:rsidRPr="009C4695" w:rsidRDefault="009C4695">
      <w:pPr>
        <w:spacing w:line="256" w:lineRule="auto"/>
        <w:ind w:left="1728" w:hanging="648"/>
        <w:jc w:val="both"/>
        <w:rPr>
          <w:rFonts w:ascii="Times New Roman" w:hAnsi="Times New Roman" w:cs="Times New Roman"/>
          <w:sz w:val="24"/>
        </w:rPr>
      </w:pPr>
      <w:r w:rsidRPr="009C4695">
        <w:rPr>
          <w:rFonts w:ascii="Times New Roman" w:hAnsi="Times New Roman" w:cs="Times New Roman"/>
          <w:sz w:val="24"/>
        </w:rPr>
        <w:t>г)</w:t>
      </w:r>
      <w:r w:rsidRPr="009C4695">
        <w:rPr>
          <w:rFonts w:ascii="Times New Roman" w:hAnsi="Times New Roman" w:cs="Times New Roman"/>
          <w:sz w:val="24"/>
        </w:rPr>
        <w:tab/>
      </w:r>
      <w:r w:rsidRPr="009C4695">
        <w:rPr>
          <w:rFonts w:ascii="Times New Roman" w:hAnsi="Times New Roman"/>
          <w:sz w:val="24"/>
        </w:rPr>
        <w:t xml:space="preserve">Образец I </w:t>
      </w:r>
      <w:r w:rsidRPr="009C4695">
        <w:rPr>
          <w:rFonts w:ascii="Times New Roman" w:hAnsi="Times New Roman"/>
          <w:sz w:val="24"/>
        </w:rPr>
        <w:t>04.00</w:t>
      </w:r>
      <w:r w:rsidRPr="009C4695">
        <w:rPr>
          <w:rFonts w:ascii="Times New Roman" w:hAnsi="Times New Roman"/>
          <w:sz w:val="24"/>
        </w:rPr>
        <w:t xml:space="preserve"> съдържа изиск</w:t>
      </w:r>
      <w:r w:rsidRPr="009C4695">
        <w:rPr>
          <w:rFonts w:ascii="Times New Roman" w:hAnsi="Times New Roman"/>
          <w:sz w:val="24"/>
        </w:rPr>
        <w:t>ванията въз основа на К-факторите и стойността на коефициента.</w:t>
      </w:r>
    </w:p>
    <w:p w14:paraId="022B7759" w14:textId="77777777" w:rsidR="001B665C" w:rsidRPr="009C4695" w:rsidRDefault="009C4695">
      <w:pPr>
        <w:spacing w:line="256" w:lineRule="auto"/>
        <w:ind w:left="993" w:hanging="567"/>
        <w:jc w:val="both"/>
        <w:rPr>
          <w:rFonts w:ascii="Times New Roman" w:hAnsi="Times New Roman" w:cs="Times New Roman"/>
          <w:sz w:val="24"/>
        </w:rPr>
      </w:pPr>
      <w:r w:rsidRPr="009C4695">
        <w:rPr>
          <w:rFonts w:ascii="Times New Roman" w:hAnsi="Times New Roman" w:cs="Times New Roman"/>
          <w:sz w:val="24"/>
        </w:rPr>
        <w:t>11.</w:t>
      </w:r>
      <w:r w:rsidRPr="009C4695">
        <w:rPr>
          <w:rFonts w:ascii="Times New Roman" w:hAnsi="Times New Roman" w:cs="Times New Roman"/>
          <w:sz w:val="24"/>
        </w:rPr>
        <w:tab/>
      </w:r>
      <w:r w:rsidRPr="009C4695">
        <w:rPr>
          <w:rFonts w:ascii="Times New Roman" w:hAnsi="Times New Roman"/>
          <w:sz w:val="24"/>
        </w:rPr>
        <w:t>Позициите в тези образци се докладват без преходните корекции. Това означава, че стойностите (освен когато преходните капиталови изисквания са изрично посочени) се изчисляват в съответствие</w:t>
      </w:r>
      <w:r w:rsidRPr="009C4695">
        <w:rPr>
          <w:rFonts w:ascii="Times New Roman" w:hAnsi="Times New Roman"/>
          <w:sz w:val="24"/>
        </w:rPr>
        <w:t xml:space="preserve"> със заключителните разпоредби (т.е. както биха били изчислени, ако няма преходни разпоредби).</w:t>
      </w:r>
    </w:p>
    <w:p w14:paraId="588E32AD" w14:textId="77777777" w:rsidR="001B665C" w:rsidRPr="009C4695" w:rsidRDefault="009C4695">
      <w:pPr>
        <w:pStyle w:val="Instructionsberschrift2"/>
        <w:ind w:left="357" w:hanging="357"/>
        <w:rPr>
          <w:rFonts w:ascii="Times New Roman" w:hAnsi="Times New Roman" w:cs="Times New Roman"/>
          <w:sz w:val="24"/>
        </w:rPr>
      </w:pPr>
      <w:bookmarkStart w:id="26" w:name="_Toc35795014"/>
      <w:bookmarkStart w:id="27" w:name="_Toc88218309"/>
      <w:r w:rsidRPr="009C4695">
        <w:rPr>
          <w:rFonts w:ascii="Times New Roman" w:hAnsi="Times New Roman"/>
          <w:sz w:val="24"/>
        </w:rPr>
        <w:t>1.2.</w:t>
      </w:r>
      <w:r w:rsidRPr="009C4695">
        <w:rPr>
          <w:rFonts w:ascii="Times New Roman" w:hAnsi="Times New Roman"/>
          <w:sz w:val="24"/>
        </w:rPr>
        <w:t xml:space="preserve"> I </w:t>
      </w:r>
      <w:r w:rsidRPr="009C4695">
        <w:rPr>
          <w:rFonts w:ascii="Times New Roman" w:hAnsi="Times New Roman"/>
          <w:sz w:val="24"/>
        </w:rPr>
        <w:t>01.00</w:t>
      </w:r>
      <w:r w:rsidRPr="009C4695">
        <w:rPr>
          <w:rFonts w:ascii="Times New Roman" w:hAnsi="Times New Roman"/>
          <w:sz w:val="24"/>
        </w:rPr>
        <w:t xml:space="preserve"> – СЪСТАВ НА СОБСТВЕНИЯ КАПИТАЛ (I 1)</w:t>
      </w:r>
      <w:bookmarkEnd w:id="26"/>
      <w:bookmarkEnd w:id="27"/>
    </w:p>
    <w:p w14:paraId="623AEA2B" w14:textId="77777777" w:rsidR="001B665C" w:rsidRPr="009C4695" w:rsidRDefault="009C469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8" w:name="_Toc88218310"/>
      <w:r w:rsidRPr="009C4695">
        <w:rPr>
          <w:rFonts w:ascii="Times New Roman" w:hAnsi="Times New Roman"/>
          <w:sz w:val="24"/>
          <w:szCs w:val="24"/>
        </w:rPr>
        <w:t>1.2.1.</w:t>
      </w:r>
      <w:r w:rsidRPr="009C4695">
        <w:tab/>
      </w:r>
      <w:r w:rsidRPr="009C4695">
        <w:rPr>
          <w:rFonts w:ascii="Times New Roman" w:hAnsi="Times New Roman"/>
          <w:sz w:val="24"/>
          <w:szCs w:val="24"/>
          <w:u w:val="single"/>
        </w:rPr>
        <w:t>Указания относно определени позиции</w:t>
      </w:r>
      <w:bookmarkEnd w:id="2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665C" w:rsidRPr="009C4695" w14:paraId="0DEF29D5" w14:textId="77777777">
        <w:tc>
          <w:tcPr>
            <w:tcW w:w="1129" w:type="dxa"/>
            <w:shd w:val="clear" w:color="auto" w:fill="D9D9D9"/>
          </w:tcPr>
          <w:p w14:paraId="093663D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Ред</w:t>
            </w:r>
          </w:p>
        </w:tc>
        <w:tc>
          <w:tcPr>
            <w:tcW w:w="7620" w:type="dxa"/>
            <w:shd w:val="clear" w:color="auto" w:fill="D9D9D9"/>
          </w:tcPr>
          <w:p w14:paraId="06A1F2E0"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Препратки към законодателни актове и указания</w:t>
            </w:r>
          </w:p>
        </w:tc>
      </w:tr>
      <w:tr w:rsidR="001B665C" w:rsidRPr="009C4695" w14:paraId="299AEA18" w14:textId="77777777">
        <w:tc>
          <w:tcPr>
            <w:tcW w:w="1129" w:type="dxa"/>
          </w:tcPr>
          <w:p w14:paraId="2B249B8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w:t>
            </w:r>
          </w:p>
        </w:tc>
        <w:tc>
          <w:tcPr>
            <w:tcW w:w="7620" w:type="dxa"/>
          </w:tcPr>
          <w:p w14:paraId="366F915D"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СОБСТВЕН КАПИТАЛ</w:t>
            </w:r>
          </w:p>
          <w:p w14:paraId="7128784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9, параграф 1 от Регламент (ЕС) 2019/2033.</w:t>
            </w:r>
          </w:p>
          <w:p w14:paraId="389AE6F4"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Style w:val="FormatvorlageInstructionsTabelleText"/>
                <w:rFonts w:ascii="Times New Roman" w:hAnsi="Times New Roman"/>
                <w:sz w:val="22"/>
              </w:rPr>
              <w:t>Собственият капитал на даден инвестиционен посредник е сборът на неговия капитал от първи ред и капитал от втори ред.</w:t>
            </w:r>
          </w:p>
        </w:tc>
      </w:tr>
      <w:tr w:rsidR="001B665C" w:rsidRPr="009C4695" w14:paraId="4E112145" w14:textId="77777777">
        <w:tc>
          <w:tcPr>
            <w:tcW w:w="1129" w:type="dxa"/>
          </w:tcPr>
          <w:p w14:paraId="37137130"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0020</w:t>
            </w:r>
          </w:p>
        </w:tc>
        <w:tc>
          <w:tcPr>
            <w:tcW w:w="7620" w:type="dxa"/>
          </w:tcPr>
          <w:p w14:paraId="7FEA0970"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КАПИТАЛ ОТ ПЪРВИ РЕД</w:t>
            </w:r>
          </w:p>
          <w:p w14:paraId="50790712"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Style w:val="FormatvorlageInstructionsTabelleText"/>
                <w:rFonts w:ascii="Times New Roman" w:hAnsi="Times New Roman"/>
                <w:sz w:val="22"/>
              </w:rPr>
              <w:t xml:space="preserve">Капиталът от първи ред е сборът от </w:t>
            </w:r>
            <w:r w:rsidRPr="009C4695">
              <w:rPr>
                <w:rStyle w:val="FormatvorlageInstructionsTabelleText"/>
                <w:rFonts w:ascii="Times New Roman" w:hAnsi="Times New Roman"/>
                <w:sz w:val="22"/>
              </w:rPr>
              <w:t>базовия собствен капитал от първи ред и допълнителния капитал от първи ред.</w:t>
            </w:r>
          </w:p>
        </w:tc>
      </w:tr>
      <w:tr w:rsidR="001B665C" w:rsidRPr="009C4695" w14:paraId="0D77ADA0" w14:textId="77777777">
        <w:tc>
          <w:tcPr>
            <w:tcW w:w="1129" w:type="dxa"/>
          </w:tcPr>
          <w:p w14:paraId="023624D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0030</w:t>
            </w:r>
          </w:p>
        </w:tc>
        <w:tc>
          <w:tcPr>
            <w:tcW w:w="7620" w:type="dxa"/>
          </w:tcPr>
          <w:p w14:paraId="72301E99"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Style w:val="InstructionsTabelleberschrift"/>
                <w:rFonts w:ascii="Times New Roman" w:hAnsi="Times New Roman"/>
                <w:sz w:val="22"/>
              </w:rPr>
              <w:t>БАЗОВ СОБСТВЕН КАПИТАЛ ОТ ПЪРВИ РЕД</w:t>
            </w:r>
          </w:p>
          <w:p w14:paraId="3B12D34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9, параграф 1 от Регламент (ЕС) 2019/2033.</w:t>
            </w:r>
          </w:p>
          <w:p w14:paraId="5C3F8FAC" w14:textId="77777777" w:rsidR="001B665C" w:rsidRPr="009C4695" w:rsidRDefault="009C4695">
            <w:pPr>
              <w:spacing w:after="120" w:line="240" w:lineRule="auto"/>
              <w:jc w:val="both"/>
            </w:pPr>
            <w:r w:rsidRPr="009C4695">
              <w:rPr>
                <w:rStyle w:val="FormatvorlageInstructionsTabelleText"/>
                <w:rFonts w:ascii="Times New Roman" w:hAnsi="Times New Roman"/>
                <w:sz w:val="22"/>
              </w:rPr>
              <w:t>Член 50 от Регламент (ЕС) № 575/2013.</w:t>
            </w:r>
          </w:p>
        </w:tc>
      </w:tr>
      <w:tr w:rsidR="001B665C" w:rsidRPr="009C4695" w14:paraId="7D675E07" w14:textId="77777777">
        <w:tc>
          <w:tcPr>
            <w:tcW w:w="1129" w:type="dxa"/>
          </w:tcPr>
          <w:p w14:paraId="434C9B6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lastRenderedPageBreak/>
              <w:t>0040</w:t>
            </w:r>
          </w:p>
        </w:tc>
        <w:tc>
          <w:tcPr>
            <w:tcW w:w="7620" w:type="dxa"/>
          </w:tcPr>
          <w:p w14:paraId="6CF3AFAA"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Изплатени изцяло капиталови инструменти</w:t>
            </w:r>
          </w:p>
          <w:p w14:paraId="5BA6EB64"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9</w:t>
            </w:r>
            <w:r w:rsidRPr="009C4695">
              <w:rPr>
                <w:rFonts w:ascii="Times New Roman" w:hAnsi="Times New Roman"/>
                <w:bCs/>
              </w:rPr>
              <w:t>, параграф 1, подточка i) от Регламент (ЕС) 2019/2033.</w:t>
            </w:r>
          </w:p>
          <w:p w14:paraId="2DA1450E" w14:textId="77777777" w:rsidR="001B665C" w:rsidRPr="009C4695" w:rsidRDefault="009C4695">
            <w:pPr>
              <w:pStyle w:val="InstructionsText"/>
              <w:rPr>
                <w:rStyle w:val="FormatvorlageInstructionsTabelleText"/>
                <w:rFonts w:ascii="Times New Roman" w:hAnsi="Times New Roman"/>
                <w:sz w:val="22"/>
                <w:szCs w:val="22"/>
              </w:rPr>
            </w:pPr>
            <w:r w:rsidRPr="009C4695">
              <w:t>Член 26, параграф 1, буква а) и членове 27—31 от Регламент (ЕС) № 575/2013.</w:t>
            </w:r>
          </w:p>
          <w:p w14:paraId="1EE2E8E1" w14:textId="77777777" w:rsidR="001B665C" w:rsidRPr="009C4695" w:rsidRDefault="009C4695">
            <w:pPr>
              <w:pStyle w:val="InstructionsText"/>
              <w:rPr>
                <w:rStyle w:val="FormatvorlageInstructionsTabelleText"/>
                <w:rFonts w:ascii="Times New Roman" w:hAnsi="Times New Roman"/>
                <w:sz w:val="22"/>
                <w:szCs w:val="22"/>
              </w:rPr>
            </w:pPr>
            <w:r w:rsidRPr="009C4695">
              <w:rPr>
                <w:rStyle w:val="FormatvorlageInstructionsTabelleText"/>
                <w:rFonts w:ascii="Times New Roman" w:hAnsi="Times New Roman"/>
                <w:sz w:val="22"/>
                <w:szCs w:val="22"/>
              </w:rPr>
              <w:t xml:space="preserve">Включват се капиталовите инструменти на взаимоспомагателни и кооперативни дружества или на други подобни институции (членове </w:t>
            </w:r>
            <w:r w:rsidRPr="009C4695">
              <w:rPr>
                <w:rStyle w:val="FormatvorlageInstructionsTabelleText"/>
                <w:rFonts w:ascii="Times New Roman" w:hAnsi="Times New Roman"/>
                <w:sz w:val="22"/>
                <w:szCs w:val="22"/>
              </w:rPr>
              <w:t>27 и 29 от Регламент (ЕС) № 575/2013).</w:t>
            </w:r>
          </w:p>
          <w:p w14:paraId="020CBB76" w14:textId="77777777" w:rsidR="001B665C" w:rsidRPr="009C4695" w:rsidRDefault="009C4695">
            <w:pPr>
              <w:pStyle w:val="InstructionsText"/>
              <w:rPr>
                <w:rStyle w:val="FormatvorlageInstructionsTabelleText"/>
                <w:rFonts w:ascii="Times New Roman" w:hAnsi="Times New Roman"/>
                <w:sz w:val="22"/>
                <w:szCs w:val="22"/>
              </w:rPr>
            </w:pPr>
            <w:r w:rsidRPr="009C4695">
              <w:rPr>
                <w:rStyle w:val="FormatvorlageInstructionsTabelleText"/>
                <w:rFonts w:ascii="Times New Roman" w:hAnsi="Times New Roman"/>
                <w:sz w:val="22"/>
                <w:szCs w:val="22"/>
              </w:rPr>
              <w:t>Не се включват премийните резерви, свързани с инструментите.</w:t>
            </w:r>
          </w:p>
          <w:p w14:paraId="3D80486D" w14:textId="77777777" w:rsidR="001B665C" w:rsidRPr="009C4695" w:rsidRDefault="009C4695">
            <w:pPr>
              <w:pStyle w:val="InstructionsText"/>
            </w:pPr>
            <w:r w:rsidRPr="009C4695">
              <w:rPr>
                <w:rStyle w:val="FormatvorlageInstructionsTabelleText"/>
                <w:rFonts w:ascii="Times New Roman" w:hAnsi="Times New Roman"/>
                <w:sz w:val="22"/>
                <w:szCs w:val="22"/>
              </w:rPr>
              <w:t>Капиталовите инструменти, записани от публичните органи в извънредни ситуации, се включват, ако са изпълнени всички условия по член 31 от Регламент (ЕС) № 5</w:t>
            </w:r>
            <w:r w:rsidRPr="009C4695">
              <w:rPr>
                <w:rStyle w:val="FormatvorlageInstructionsTabelleText"/>
                <w:rFonts w:ascii="Times New Roman" w:hAnsi="Times New Roman"/>
                <w:sz w:val="22"/>
                <w:szCs w:val="22"/>
              </w:rPr>
              <w:t>75/2013.</w:t>
            </w:r>
          </w:p>
        </w:tc>
      </w:tr>
      <w:tr w:rsidR="001B665C" w:rsidRPr="009C4695" w14:paraId="5AFA4C60" w14:textId="77777777">
        <w:tc>
          <w:tcPr>
            <w:tcW w:w="1129" w:type="dxa"/>
          </w:tcPr>
          <w:p w14:paraId="018F40F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0050</w:t>
            </w:r>
          </w:p>
        </w:tc>
        <w:tc>
          <w:tcPr>
            <w:tcW w:w="7620" w:type="dxa"/>
          </w:tcPr>
          <w:p w14:paraId="6FBCC28F"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Премийни резерви от емисии</w:t>
            </w:r>
          </w:p>
          <w:p w14:paraId="3780DEF0"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9, параграф 1, подточка i) от Регламент (ЕС) 2019/2033.</w:t>
            </w:r>
          </w:p>
          <w:p w14:paraId="65F56D49" w14:textId="77777777" w:rsidR="001B665C" w:rsidRPr="009C4695" w:rsidRDefault="009C4695">
            <w:pPr>
              <w:spacing w:after="120" w:line="240" w:lineRule="auto"/>
              <w:jc w:val="both"/>
              <w:rPr>
                <w:rStyle w:val="FormatvorlageInstructionsTabelleText"/>
                <w:rFonts w:ascii="Times New Roman" w:hAnsi="Times New Roman"/>
                <w:sz w:val="22"/>
              </w:rPr>
            </w:pPr>
            <w:r w:rsidRPr="009C4695">
              <w:rPr>
                <w:rStyle w:val="FormatvorlageInstructionsTabelleText"/>
                <w:rFonts w:ascii="Times New Roman" w:hAnsi="Times New Roman"/>
                <w:sz w:val="22"/>
              </w:rPr>
              <w:t>Член 26, параграф 1, буква б) от Регламент (ЕС) № 575/2013.</w:t>
            </w:r>
          </w:p>
          <w:p w14:paraId="136E6A08" w14:textId="77777777" w:rsidR="001B665C" w:rsidRPr="009C4695" w:rsidRDefault="009C4695">
            <w:pPr>
              <w:pStyle w:val="InstructionsText"/>
              <w:rPr>
                <w:rStyle w:val="FormatvorlageInstructionsTabelleText"/>
                <w:rFonts w:ascii="Times New Roman" w:hAnsi="Times New Roman"/>
                <w:sz w:val="22"/>
                <w:szCs w:val="22"/>
              </w:rPr>
            </w:pPr>
            <w:r w:rsidRPr="009C4695">
              <w:rPr>
                <w:rStyle w:val="FormatvorlageInstructionsTabelleText"/>
                <w:rFonts w:ascii="Times New Roman" w:hAnsi="Times New Roman"/>
                <w:sz w:val="22"/>
                <w:szCs w:val="22"/>
              </w:rPr>
              <w:t>Премийните резерви имат същото значение, както в приложимия счетоводен стандарт.</w:t>
            </w:r>
          </w:p>
          <w:p w14:paraId="0DE66696"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Style w:val="FormatvorlageInstructionsTabelleText"/>
                <w:rFonts w:ascii="Times New Roman" w:hAnsi="Times New Roman"/>
                <w:sz w:val="22"/>
              </w:rPr>
              <w:t>Докладваната в тази позиция стойност е частта, свързана с „Изплатени капиталови инструменти“.</w:t>
            </w:r>
          </w:p>
        </w:tc>
      </w:tr>
      <w:tr w:rsidR="001B665C" w:rsidRPr="009C4695" w14:paraId="64F728DF" w14:textId="77777777">
        <w:tc>
          <w:tcPr>
            <w:tcW w:w="1129" w:type="dxa"/>
          </w:tcPr>
          <w:p w14:paraId="4F50EE71"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0060</w:t>
            </w:r>
          </w:p>
        </w:tc>
        <w:tc>
          <w:tcPr>
            <w:tcW w:w="7620" w:type="dxa"/>
          </w:tcPr>
          <w:p w14:paraId="6ED850A5"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Неразпределена печалба</w:t>
            </w:r>
          </w:p>
          <w:p w14:paraId="7B9AC3D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9, параграф 1, подточка i) от Регламент (ЕС) 2019/2033.</w:t>
            </w:r>
          </w:p>
          <w:p w14:paraId="7B584A0C" w14:textId="77777777" w:rsidR="001B665C" w:rsidRPr="009C4695" w:rsidRDefault="009C4695">
            <w:pPr>
              <w:spacing w:after="120" w:line="240" w:lineRule="auto"/>
              <w:jc w:val="both"/>
              <w:rPr>
                <w:rFonts w:ascii="Times New Roman" w:eastAsia="Times New Roman" w:hAnsi="Times New Roman" w:cs="Times New Roman"/>
                <w:bCs/>
              </w:rPr>
            </w:pPr>
            <w:r w:rsidRPr="009C4695">
              <w:rPr>
                <w:rStyle w:val="FormatvorlageInstructionsTabelleText"/>
                <w:rFonts w:ascii="Times New Roman" w:hAnsi="Times New Roman"/>
                <w:sz w:val="22"/>
              </w:rPr>
              <w:t>Член 26</w:t>
            </w:r>
            <w:r w:rsidRPr="009C4695">
              <w:rPr>
                <w:rFonts w:ascii="Times New Roman" w:hAnsi="Times New Roman"/>
              </w:rPr>
              <w:t xml:space="preserve">, </w:t>
            </w:r>
            <w:r w:rsidRPr="009C4695">
              <w:rPr>
                <w:rStyle w:val="FormatvorlageInstructionsTabelleText"/>
                <w:rFonts w:ascii="Times New Roman" w:hAnsi="Times New Roman"/>
                <w:sz w:val="22"/>
              </w:rPr>
              <w:t>параграф 1, буква в) от Регламент (ЕС) № 575/2013</w:t>
            </w:r>
            <w:r w:rsidRPr="009C4695">
              <w:rPr>
                <w:rFonts w:ascii="Times New Roman" w:hAnsi="Times New Roman"/>
              </w:rPr>
              <w:t>.</w:t>
            </w:r>
          </w:p>
          <w:p w14:paraId="051DB60F" w14:textId="77777777" w:rsidR="001B665C" w:rsidRPr="009C4695" w:rsidRDefault="009C4695">
            <w:pPr>
              <w:spacing w:after="120" w:line="240" w:lineRule="auto"/>
              <w:jc w:val="both"/>
              <w:rPr>
                <w:rStyle w:val="FormatvorlageInstructionsTabelleText"/>
                <w:rFonts w:ascii="Times New Roman" w:hAnsi="Times New Roman"/>
                <w:sz w:val="22"/>
              </w:rPr>
            </w:pPr>
            <w:r w:rsidRPr="009C4695">
              <w:rPr>
                <w:rStyle w:val="FormatvorlageInstructionsTabelleText"/>
                <w:rFonts w:ascii="Times New Roman" w:hAnsi="Times New Roman"/>
                <w:sz w:val="22"/>
              </w:rPr>
              <w:t>Неразпределената печалба включва неразпределената печалба от предходната година плюс допустимата междинна или годишна печалба.</w:t>
            </w:r>
          </w:p>
          <w:p w14:paraId="5FDE0F20"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Докладва се общият сбор на редове 0070 и 0080.</w:t>
            </w:r>
          </w:p>
        </w:tc>
      </w:tr>
      <w:tr w:rsidR="001B665C" w:rsidRPr="009C4695" w14:paraId="13751B8F" w14:textId="77777777">
        <w:tc>
          <w:tcPr>
            <w:tcW w:w="1129" w:type="dxa"/>
          </w:tcPr>
          <w:p w14:paraId="78E7E294"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0070</w:t>
            </w:r>
          </w:p>
        </w:tc>
        <w:tc>
          <w:tcPr>
            <w:tcW w:w="7620" w:type="dxa"/>
          </w:tcPr>
          <w:p w14:paraId="72EC335C"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Неразпределена печалба от предходни години</w:t>
            </w:r>
          </w:p>
          <w:p w14:paraId="6A7B4A54" w14:textId="77777777" w:rsidR="001B665C" w:rsidRPr="009C4695" w:rsidRDefault="009C4695">
            <w:pPr>
              <w:spacing w:after="120" w:line="240" w:lineRule="auto"/>
              <w:jc w:val="both"/>
              <w:rPr>
                <w:rFonts w:ascii="Times New Roman" w:eastAsia="Times New Roman" w:hAnsi="Times New Roman"/>
              </w:rPr>
            </w:pPr>
            <w:r w:rsidRPr="009C4695">
              <w:rPr>
                <w:rFonts w:ascii="Times New Roman" w:hAnsi="Times New Roman"/>
              </w:rPr>
              <w:t>Член 4, параграф 1, точка 123 и ч</w:t>
            </w:r>
            <w:r w:rsidRPr="009C4695">
              <w:rPr>
                <w:rFonts w:ascii="Times New Roman" w:hAnsi="Times New Roman"/>
              </w:rPr>
              <w:t>лен 26, параграф 1, буква в) от Регламент (ЕС) № 575/2013.</w:t>
            </w:r>
          </w:p>
          <w:p w14:paraId="16DF66BD"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Style w:val="FormatvorlageInstructionsTabelleText"/>
                <w:rFonts w:ascii="Times New Roman" w:hAnsi="Times New Roman"/>
                <w:sz w:val="22"/>
              </w:rPr>
              <w:t>В член 4, параграф 1, точка 123 от Регламент (ЕС) № 575/2013 неразпределената печалба се определя като „печалбата и загубата, пренесена от окончателния резултат от дейността съгласно приложимата сч</w:t>
            </w:r>
            <w:r w:rsidRPr="009C4695">
              <w:rPr>
                <w:rStyle w:val="FormatvorlageInstructionsTabelleText"/>
                <w:rFonts w:ascii="Times New Roman" w:hAnsi="Times New Roman"/>
                <w:sz w:val="22"/>
              </w:rPr>
              <w:t>етоводна рамка“.</w:t>
            </w:r>
          </w:p>
        </w:tc>
      </w:tr>
      <w:tr w:rsidR="001B665C" w:rsidRPr="009C4695" w14:paraId="6DDF2D24" w14:textId="77777777">
        <w:tc>
          <w:tcPr>
            <w:tcW w:w="1129" w:type="dxa"/>
          </w:tcPr>
          <w:p w14:paraId="0EAEE79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0080</w:t>
            </w:r>
          </w:p>
        </w:tc>
        <w:tc>
          <w:tcPr>
            <w:tcW w:w="7620" w:type="dxa"/>
          </w:tcPr>
          <w:p w14:paraId="66F72687"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Допустима печалба</w:t>
            </w:r>
          </w:p>
          <w:p w14:paraId="328DFC5C" w14:textId="77777777" w:rsidR="001B665C" w:rsidRPr="009C4695" w:rsidRDefault="009C4695">
            <w:pPr>
              <w:spacing w:after="120" w:line="240" w:lineRule="auto"/>
              <w:jc w:val="both"/>
              <w:rPr>
                <w:rFonts w:ascii="Times New Roman" w:eastAsia="Times New Roman" w:hAnsi="Times New Roman"/>
              </w:rPr>
            </w:pPr>
            <w:r w:rsidRPr="009C4695">
              <w:rPr>
                <w:rFonts w:ascii="Times New Roman" w:hAnsi="Times New Roman"/>
              </w:rPr>
              <w:t>Член 4, параграф 1, точка 121 и член 26, параграф 2 от Регламент (ЕС) № 575/2013.</w:t>
            </w:r>
          </w:p>
          <w:p w14:paraId="0C171DCE"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rPr>
              <w:t xml:space="preserve">Член 26, параграф 2 от Регламент (ЕС) № 575/2013 дава възможност междинната или годишната печалба да бъдат включени като неразпределена печалба с предварителното съгласие на компетентните органи, ако са изпълнени някои условия. </w:t>
            </w:r>
          </w:p>
        </w:tc>
      </w:tr>
      <w:tr w:rsidR="001B665C" w:rsidRPr="009C4695" w14:paraId="1C6931CD" w14:textId="77777777">
        <w:tc>
          <w:tcPr>
            <w:tcW w:w="1129" w:type="dxa"/>
          </w:tcPr>
          <w:p w14:paraId="25D3BEF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0090</w:t>
            </w:r>
          </w:p>
        </w:tc>
        <w:tc>
          <w:tcPr>
            <w:tcW w:w="7620" w:type="dxa"/>
          </w:tcPr>
          <w:p w14:paraId="475180AA"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Натрупан друг всеобхв</w:t>
            </w:r>
            <w:r w:rsidRPr="009C4695">
              <w:rPr>
                <w:rFonts w:ascii="Times New Roman" w:hAnsi="Times New Roman"/>
                <w:b/>
                <w:bCs/>
                <w:u w:val="single"/>
              </w:rPr>
              <w:t>атен доход</w:t>
            </w:r>
          </w:p>
          <w:p w14:paraId="1CC1D46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9, параграф 1, подточка i) от Регламент (ЕС) 2019/2033.</w:t>
            </w:r>
          </w:p>
          <w:p w14:paraId="52FF04D5" w14:textId="77777777" w:rsidR="001B665C" w:rsidRPr="009C4695" w:rsidRDefault="009C4695">
            <w:pPr>
              <w:spacing w:after="120" w:line="240" w:lineRule="auto"/>
              <w:jc w:val="both"/>
              <w:rPr>
                <w:rFonts w:ascii="Times New Roman" w:hAnsi="Times New Roman" w:cs="Times New Roman"/>
                <w:bCs/>
              </w:rPr>
            </w:pPr>
            <w:r w:rsidRPr="009C4695">
              <w:rPr>
                <w:rStyle w:val="FormatvorlageInstructionsTabelleText"/>
                <w:rFonts w:ascii="Times New Roman" w:hAnsi="Times New Roman"/>
                <w:sz w:val="22"/>
              </w:rPr>
              <w:t>Член 26, параграф 1, буква г) от Регламент (ЕС) № 575/2013.</w:t>
            </w:r>
          </w:p>
        </w:tc>
      </w:tr>
      <w:tr w:rsidR="001B665C" w:rsidRPr="009C4695" w14:paraId="1FEF3951" w14:textId="77777777">
        <w:tc>
          <w:tcPr>
            <w:tcW w:w="1129" w:type="dxa"/>
          </w:tcPr>
          <w:p w14:paraId="0AA857D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0100</w:t>
            </w:r>
          </w:p>
        </w:tc>
        <w:tc>
          <w:tcPr>
            <w:tcW w:w="7620" w:type="dxa"/>
          </w:tcPr>
          <w:p w14:paraId="773DDEAA"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Други резерви</w:t>
            </w:r>
          </w:p>
          <w:p w14:paraId="1B94159F"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9, параграф 1, подточка i) от Регламент (ЕС) 2019/2033.</w:t>
            </w:r>
          </w:p>
          <w:p w14:paraId="1B0E43F7" w14:textId="77777777" w:rsidR="001B665C" w:rsidRPr="009C4695" w:rsidRDefault="009C4695">
            <w:pPr>
              <w:spacing w:after="120" w:line="240" w:lineRule="auto"/>
              <w:jc w:val="both"/>
              <w:rPr>
                <w:rStyle w:val="FormatvorlageInstructionsTabelleText"/>
                <w:rFonts w:ascii="Times New Roman" w:hAnsi="Times New Roman"/>
                <w:sz w:val="22"/>
              </w:rPr>
            </w:pPr>
            <w:r w:rsidRPr="009C4695">
              <w:rPr>
                <w:rStyle w:val="FormatvorlageInstructionsTabelleText"/>
                <w:rFonts w:ascii="Times New Roman" w:hAnsi="Times New Roman"/>
                <w:sz w:val="22"/>
              </w:rPr>
              <w:lastRenderedPageBreak/>
              <w:t>Член 4, параграф 1, точка 117 и член 26, па</w:t>
            </w:r>
            <w:r w:rsidRPr="009C4695">
              <w:rPr>
                <w:rStyle w:val="FormatvorlageInstructionsTabelleText"/>
                <w:rFonts w:ascii="Times New Roman" w:hAnsi="Times New Roman"/>
                <w:sz w:val="22"/>
              </w:rPr>
              <w:t>раграф 1, буква д) от Регламент (ЕС) № 575/2013.</w:t>
            </w:r>
          </w:p>
          <w:p w14:paraId="0D520DFC"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Style w:val="FormatvorlageInstructionsTabelleText"/>
                <w:rFonts w:ascii="Times New Roman" w:hAnsi="Times New Roman"/>
                <w:sz w:val="22"/>
              </w:rPr>
              <w:t>Докладваната стойност е след приспадане на данъчните отчисления, очаквани към момента на изчисляването.</w:t>
            </w:r>
          </w:p>
        </w:tc>
      </w:tr>
      <w:tr w:rsidR="001B665C" w:rsidRPr="009C4695" w14:paraId="50AC3AF5" w14:textId="77777777">
        <w:tc>
          <w:tcPr>
            <w:tcW w:w="1129" w:type="dxa"/>
          </w:tcPr>
          <w:p w14:paraId="377697D1"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lastRenderedPageBreak/>
              <w:t>0110</w:t>
            </w:r>
          </w:p>
        </w:tc>
        <w:tc>
          <w:tcPr>
            <w:tcW w:w="7620" w:type="dxa"/>
            <w:shd w:val="clear" w:color="auto" w:fill="auto"/>
          </w:tcPr>
          <w:p w14:paraId="5BAAFA07"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Малцинствено участие, признато в БСК1</w:t>
            </w:r>
          </w:p>
          <w:p w14:paraId="4946B4DC" w14:textId="77777777" w:rsidR="001B665C" w:rsidRPr="009C4695" w:rsidRDefault="009C4695">
            <w:pPr>
              <w:spacing w:after="120" w:line="240" w:lineRule="auto"/>
              <w:jc w:val="both"/>
              <w:rPr>
                <w:rStyle w:val="FormatvorlageInstructionsTabelleText"/>
                <w:rFonts w:ascii="Times New Roman" w:hAnsi="Times New Roman"/>
                <w:sz w:val="22"/>
              </w:rPr>
            </w:pPr>
            <w:r w:rsidRPr="009C4695">
              <w:rPr>
                <w:rStyle w:val="FormatvorlageInstructionsTabelleText"/>
                <w:rFonts w:ascii="Times New Roman" w:hAnsi="Times New Roman"/>
                <w:sz w:val="22"/>
              </w:rPr>
              <w:t>Член 84, параграф 1, член 85, параграф 1 и член 87, парагра</w:t>
            </w:r>
            <w:r w:rsidRPr="009C4695">
              <w:rPr>
                <w:rStyle w:val="FormatvorlageInstructionsTabelleText"/>
                <w:rFonts w:ascii="Times New Roman" w:hAnsi="Times New Roman"/>
                <w:sz w:val="22"/>
              </w:rPr>
              <w:t>ф 1 от Регламент (ЕС) № 575/2013.</w:t>
            </w:r>
          </w:p>
          <w:p w14:paraId="38953F5A"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Style w:val="FormatvorlageInstructionsTabelleText"/>
                <w:rFonts w:ascii="Times New Roman" w:hAnsi="Times New Roman"/>
                <w:sz w:val="22"/>
              </w:rPr>
              <w:t>Сборът от всички малцинствени участия в дъщерни предприятия, включени в консолидирания БСК1.</w:t>
            </w:r>
          </w:p>
        </w:tc>
      </w:tr>
      <w:tr w:rsidR="001B665C" w:rsidRPr="009C4695" w14:paraId="4AC2CC0F" w14:textId="77777777">
        <w:tc>
          <w:tcPr>
            <w:tcW w:w="1129" w:type="dxa"/>
          </w:tcPr>
          <w:p w14:paraId="7A5EABFB"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0120</w:t>
            </w:r>
          </w:p>
        </w:tc>
        <w:tc>
          <w:tcPr>
            <w:tcW w:w="7620" w:type="dxa"/>
            <w:shd w:val="clear" w:color="auto" w:fill="auto"/>
          </w:tcPr>
          <w:p w14:paraId="1CF8BA5E"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Корекции на БСК1 вследствие на пруденциални филтри</w:t>
            </w:r>
          </w:p>
          <w:p w14:paraId="0D125722" w14:textId="77777777" w:rsidR="001B665C" w:rsidRPr="009C4695" w:rsidRDefault="009C4695">
            <w:pPr>
              <w:spacing w:after="120" w:line="240" w:lineRule="auto"/>
              <w:jc w:val="both"/>
              <w:rPr>
                <w:rStyle w:val="FormatvorlageInstructionsTabelleText"/>
                <w:rFonts w:ascii="Times New Roman" w:hAnsi="Times New Roman"/>
                <w:sz w:val="22"/>
              </w:rPr>
            </w:pPr>
            <w:r w:rsidRPr="009C4695">
              <w:rPr>
                <w:rStyle w:val="FormatvorlageInstructionsTabelleText"/>
                <w:rFonts w:ascii="Times New Roman" w:hAnsi="Times New Roman"/>
                <w:sz w:val="22"/>
              </w:rPr>
              <w:t>Член 9, параграф 1, подточка i) от Регламент (ЕС) 2019/2033.</w:t>
            </w:r>
          </w:p>
          <w:p w14:paraId="13A5628F"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Style w:val="FormatvorlageInstructionsTabelleText"/>
                <w:rFonts w:ascii="Times New Roman" w:hAnsi="Times New Roman"/>
                <w:sz w:val="22"/>
              </w:rPr>
              <w:t>Членове 32—35 от Регламент (ЕС) № 575/2013.</w:t>
            </w:r>
          </w:p>
        </w:tc>
      </w:tr>
      <w:tr w:rsidR="001B665C" w:rsidRPr="009C4695" w14:paraId="1E52F19B" w14:textId="77777777">
        <w:tc>
          <w:tcPr>
            <w:tcW w:w="1129" w:type="dxa"/>
          </w:tcPr>
          <w:p w14:paraId="2E1B3990"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0130</w:t>
            </w:r>
          </w:p>
        </w:tc>
        <w:tc>
          <w:tcPr>
            <w:tcW w:w="7620" w:type="dxa"/>
          </w:tcPr>
          <w:p w14:paraId="657C022E"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Други средства</w:t>
            </w:r>
          </w:p>
          <w:p w14:paraId="616C99BE"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Член 9, параграф 4 от Регламент (ЕС) 2019/2033.</w:t>
            </w:r>
          </w:p>
        </w:tc>
      </w:tr>
      <w:tr w:rsidR="001B665C" w:rsidRPr="009C4695" w14:paraId="3D1DC2F7" w14:textId="77777777">
        <w:tc>
          <w:tcPr>
            <w:tcW w:w="1129" w:type="dxa"/>
          </w:tcPr>
          <w:p w14:paraId="6F0B8A24"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0140</w:t>
            </w:r>
          </w:p>
        </w:tc>
        <w:tc>
          <w:tcPr>
            <w:tcW w:w="7620" w:type="dxa"/>
          </w:tcPr>
          <w:p w14:paraId="28BF882E"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(–)ОБЩО ПРИСПАДАНИЯ ОТ БАЗОВИЯ СОБСТВЕН КАПИТАЛ ОТ ПЪРВИ РЕД</w:t>
            </w:r>
          </w:p>
          <w:p w14:paraId="56D8255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Докладва се общият сбор на редове 0150 и 0190—0280.</w:t>
            </w:r>
          </w:p>
        </w:tc>
      </w:tr>
      <w:tr w:rsidR="001B665C" w:rsidRPr="009C4695" w14:paraId="54F81BAA" w14:textId="77777777">
        <w:tc>
          <w:tcPr>
            <w:tcW w:w="1129" w:type="dxa"/>
          </w:tcPr>
          <w:p w14:paraId="39CD4C5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0150</w:t>
            </w:r>
          </w:p>
        </w:tc>
        <w:tc>
          <w:tcPr>
            <w:tcW w:w="7620" w:type="dxa"/>
            <w:shd w:val="clear" w:color="auto" w:fill="auto"/>
          </w:tcPr>
          <w:p w14:paraId="13F6211D"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(–)Собствени инструменти на БСК1</w:t>
            </w:r>
          </w:p>
          <w:p w14:paraId="64610CE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9, параграф 1, подточка i) от Регламент (ЕС) 2019/2033.</w:t>
            </w:r>
          </w:p>
          <w:p w14:paraId="7A390309" w14:textId="77777777" w:rsidR="001B665C" w:rsidRPr="009C4695" w:rsidRDefault="009C4695">
            <w:pPr>
              <w:pStyle w:val="InstructionsText"/>
              <w:rPr>
                <w:rStyle w:val="FormatvorlageInstructionsTabelleText"/>
                <w:rFonts w:ascii="Times New Roman" w:hAnsi="Times New Roman"/>
                <w:sz w:val="22"/>
                <w:szCs w:val="22"/>
              </w:rPr>
            </w:pPr>
            <w:r w:rsidRPr="009C4695">
              <w:rPr>
                <w:rStyle w:val="FormatvorlageInstructionsTabelleText"/>
                <w:rFonts w:ascii="Times New Roman" w:hAnsi="Times New Roman"/>
                <w:sz w:val="22"/>
                <w:szCs w:val="22"/>
              </w:rPr>
              <w:t>Член 36, параграф 1, буква е) и член 42 от Регламент (ЕС) № 575/2013.</w:t>
            </w:r>
          </w:p>
          <w:p w14:paraId="7836598A" w14:textId="77777777" w:rsidR="001B665C" w:rsidRPr="009C4695" w:rsidRDefault="009C4695">
            <w:pPr>
              <w:pStyle w:val="InstructionsText"/>
              <w:rPr>
                <w:rStyle w:val="FormatvorlageInstructionsTabelleText"/>
                <w:rFonts w:ascii="Times New Roman" w:hAnsi="Times New Roman"/>
                <w:sz w:val="22"/>
                <w:szCs w:val="22"/>
              </w:rPr>
            </w:pPr>
            <w:r w:rsidRPr="009C4695">
              <w:rPr>
                <w:rStyle w:val="FormatvorlageInstructionsTabelleText"/>
                <w:rFonts w:ascii="Times New Roman" w:hAnsi="Times New Roman"/>
                <w:sz w:val="22"/>
                <w:szCs w:val="22"/>
              </w:rPr>
              <w:t>Собствените инструменти на БСК1, държани от докладващата институция или група към датата, къ</w:t>
            </w:r>
            <w:r w:rsidRPr="009C4695">
              <w:rPr>
                <w:rStyle w:val="FormatvorlageInstructionsTabelleText"/>
                <w:rFonts w:ascii="Times New Roman" w:hAnsi="Times New Roman"/>
                <w:sz w:val="22"/>
                <w:szCs w:val="22"/>
              </w:rPr>
              <w:t>м която се съставя докладът. Спазват се изключенията, предвидени в член 42 от Регламент (ЕС) № 575/2013.</w:t>
            </w:r>
          </w:p>
          <w:p w14:paraId="58160B47" w14:textId="77777777" w:rsidR="001B665C" w:rsidRPr="009C4695" w:rsidRDefault="009C4695">
            <w:pPr>
              <w:pStyle w:val="InstructionsText"/>
              <w:rPr>
                <w:rStyle w:val="FormatvorlageInstructionsTabelleText"/>
                <w:rFonts w:ascii="Times New Roman" w:hAnsi="Times New Roman"/>
                <w:sz w:val="22"/>
                <w:szCs w:val="22"/>
              </w:rPr>
            </w:pPr>
            <w:r w:rsidRPr="009C4695">
              <w:rPr>
                <w:rStyle w:val="FormatvorlageInstructionsTabelleText"/>
                <w:rFonts w:ascii="Times New Roman" w:hAnsi="Times New Roman"/>
                <w:sz w:val="22"/>
                <w:szCs w:val="22"/>
              </w:rPr>
              <w:t>Дяловото участие, включено като „Недопустими капиталови инструменти“, не се докладва в този ред.</w:t>
            </w:r>
          </w:p>
          <w:p w14:paraId="60BB7E47" w14:textId="77777777" w:rsidR="001B665C" w:rsidRPr="009C4695" w:rsidRDefault="009C4695">
            <w:pPr>
              <w:pStyle w:val="InstructionsText"/>
              <w:rPr>
                <w:rStyle w:val="FormatvorlageInstructionsTabelleText"/>
                <w:rFonts w:ascii="Times New Roman" w:hAnsi="Times New Roman"/>
                <w:sz w:val="22"/>
                <w:szCs w:val="22"/>
              </w:rPr>
            </w:pPr>
            <w:r w:rsidRPr="009C4695">
              <w:rPr>
                <w:rStyle w:val="FormatvorlageInstructionsTabelleText"/>
                <w:rFonts w:ascii="Times New Roman" w:hAnsi="Times New Roman"/>
                <w:sz w:val="22"/>
                <w:szCs w:val="22"/>
              </w:rPr>
              <w:t>Докладваната стойност включва премийните резерви, свър</w:t>
            </w:r>
            <w:r w:rsidRPr="009C4695">
              <w:rPr>
                <w:rStyle w:val="FormatvorlageInstructionsTabelleText"/>
                <w:rFonts w:ascii="Times New Roman" w:hAnsi="Times New Roman"/>
                <w:sz w:val="22"/>
                <w:szCs w:val="22"/>
              </w:rPr>
              <w:t>зани със собствените акции.</w:t>
            </w:r>
          </w:p>
          <w:p w14:paraId="13E861AE" w14:textId="77777777" w:rsidR="001B665C" w:rsidRPr="009C4695" w:rsidRDefault="001B665C">
            <w:pPr>
              <w:pStyle w:val="InstructionsText"/>
            </w:pPr>
          </w:p>
        </w:tc>
      </w:tr>
      <w:tr w:rsidR="001B665C" w:rsidRPr="009C4695" w14:paraId="7F6A95DB" w14:textId="77777777">
        <w:tc>
          <w:tcPr>
            <w:tcW w:w="1129" w:type="dxa"/>
          </w:tcPr>
          <w:p w14:paraId="4D4A1F3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0160</w:t>
            </w:r>
          </w:p>
        </w:tc>
        <w:tc>
          <w:tcPr>
            <w:tcW w:w="7620" w:type="dxa"/>
            <w:shd w:val="clear" w:color="auto" w:fill="auto"/>
          </w:tcPr>
          <w:p w14:paraId="2F9CBF13"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(–)Преки позиции в инструменти на БСК1</w:t>
            </w:r>
          </w:p>
          <w:p w14:paraId="2B5B0EED"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9, параграф 1, подточка i) от Регламент (ЕС) 2019/2033.</w:t>
            </w:r>
          </w:p>
          <w:p w14:paraId="5F585776" w14:textId="77777777" w:rsidR="001B665C" w:rsidRPr="009C4695" w:rsidRDefault="009C4695">
            <w:pPr>
              <w:pStyle w:val="InstructionsText"/>
              <w:rPr>
                <w:rStyle w:val="FormatvorlageInstructionsTabelleText"/>
                <w:rFonts w:ascii="Times New Roman" w:eastAsiaTheme="minorHAnsi" w:hAnsi="Times New Roman"/>
                <w:bCs/>
                <w:sz w:val="22"/>
                <w:szCs w:val="22"/>
              </w:rPr>
            </w:pPr>
            <w:r w:rsidRPr="009C4695">
              <w:rPr>
                <w:rStyle w:val="FormatvorlageInstructionsTabelleText"/>
                <w:rFonts w:ascii="Times New Roman" w:hAnsi="Times New Roman"/>
                <w:sz w:val="22"/>
                <w:szCs w:val="22"/>
              </w:rPr>
              <w:t>Член 36, параграф 1, буква е) и член 42 от Регламент (ЕС) № 575/2013</w:t>
            </w:r>
          </w:p>
          <w:p w14:paraId="5B204100" w14:textId="77777777" w:rsidR="001B665C" w:rsidRPr="009C4695" w:rsidRDefault="009C4695">
            <w:pPr>
              <w:pStyle w:val="InstructionsText"/>
              <w:rPr>
                <w:rFonts w:cs="Times New Roman"/>
                <w:b/>
                <w:bCs w:val="0"/>
                <w:u w:val="single"/>
              </w:rPr>
            </w:pPr>
            <w:r w:rsidRPr="009C4695">
              <w:rPr>
                <w:rStyle w:val="FormatvorlageInstructionsTabelleText"/>
                <w:rFonts w:ascii="Times New Roman" w:hAnsi="Times New Roman"/>
                <w:bCs/>
                <w:sz w:val="22"/>
              </w:rPr>
              <w:t xml:space="preserve">Инструменти на базовия собствен капитал от </w:t>
            </w:r>
            <w:r w:rsidRPr="009C4695">
              <w:rPr>
                <w:rStyle w:val="FormatvorlageInstructionsTabelleText"/>
                <w:rFonts w:ascii="Times New Roman" w:hAnsi="Times New Roman"/>
                <w:bCs/>
                <w:sz w:val="22"/>
              </w:rPr>
              <w:t>първи ред, държани от инвестиционния посредник.</w:t>
            </w:r>
          </w:p>
        </w:tc>
      </w:tr>
      <w:tr w:rsidR="001B665C" w:rsidRPr="009C4695" w14:paraId="3B091330" w14:textId="77777777">
        <w:tc>
          <w:tcPr>
            <w:tcW w:w="1129" w:type="dxa"/>
          </w:tcPr>
          <w:p w14:paraId="3703F23D"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D70D56B"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(–)Непреки позиции в инструменти на БСК1</w:t>
            </w:r>
          </w:p>
          <w:p w14:paraId="5CB839B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Член 9, параграф 1, подточка i) от Регламент (ЕС) 2019/2033.</w:t>
            </w:r>
          </w:p>
          <w:p w14:paraId="228C1FFE" w14:textId="77777777" w:rsidR="001B665C" w:rsidRPr="009C4695" w:rsidRDefault="009C4695">
            <w:pPr>
              <w:spacing w:after="120" w:line="240" w:lineRule="auto"/>
              <w:jc w:val="both"/>
              <w:rPr>
                <w:rFonts w:ascii="Times New Roman" w:eastAsia="Times New Roman" w:hAnsi="Times New Roman"/>
              </w:rPr>
            </w:pPr>
            <w:r w:rsidRPr="009C4695">
              <w:rPr>
                <w:rFonts w:ascii="Times New Roman" w:hAnsi="Times New Roman"/>
              </w:rPr>
              <w:t>Член 36, параграф 1, буква е) и член 42 от Регламент (ЕС) № 575/2013.</w:t>
            </w:r>
          </w:p>
          <w:p w14:paraId="74B41150" w14:textId="77777777" w:rsidR="001B665C" w:rsidRPr="009C4695" w:rsidRDefault="009C4695">
            <w:pPr>
              <w:spacing w:after="120" w:line="240" w:lineRule="auto"/>
              <w:jc w:val="both"/>
              <w:rPr>
                <w:rFonts w:ascii="Times New Roman" w:eastAsia="Times New Roman" w:hAnsi="Times New Roman"/>
              </w:rPr>
            </w:pPr>
            <w:r w:rsidRPr="009C4695">
              <w:rPr>
                <w:rFonts w:ascii="Times New Roman" w:hAnsi="Times New Roman"/>
              </w:rPr>
              <w:t>Инструменти на базовия собстве</w:t>
            </w:r>
            <w:r w:rsidRPr="009C4695">
              <w:rPr>
                <w:rFonts w:ascii="Times New Roman" w:hAnsi="Times New Roman"/>
              </w:rPr>
              <w:t>н капитал от първи ред, държани от инвестиционния посредник.</w:t>
            </w:r>
          </w:p>
        </w:tc>
      </w:tr>
      <w:tr w:rsidR="001B665C" w:rsidRPr="009C4695" w14:paraId="29B25E25" w14:textId="77777777">
        <w:tc>
          <w:tcPr>
            <w:tcW w:w="1129" w:type="dxa"/>
          </w:tcPr>
          <w:p w14:paraId="6631EC4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44269D0"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(–)Синтетични позиции в инструменти на БСК1</w:t>
            </w:r>
          </w:p>
          <w:p w14:paraId="22E21A5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9, параграф 1, подточка i) от Регламент (ЕС) 2019/2033.</w:t>
            </w:r>
          </w:p>
          <w:p w14:paraId="571A5EC4"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Style w:val="FormatvorlageInstructionsTabelleText"/>
                <w:rFonts w:ascii="Times New Roman" w:hAnsi="Times New Roman"/>
                <w:sz w:val="22"/>
              </w:rPr>
              <w:t xml:space="preserve">Член 4, параграф 1, точка 114, член 36, параграф 1, буква е) и член 42 от </w:t>
            </w:r>
            <w:r w:rsidRPr="009C4695">
              <w:rPr>
                <w:rStyle w:val="FormatvorlageInstructionsTabelleText"/>
                <w:rFonts w:ascii="Times New Roman" w:hAnsi="Times New Roman"/>
                <w:sz w:val="22"/>
              </w:rPr>
              <w:t>Регламент (ЕС) № 575/2013.</w:t>
            </w:r>
          </w:p>
        </w:tc>
      </w:tr>
      <w:tr w:rsidR="001B665C" w:rsidRPr="009C4695" w14:paraId="0E873B41" w14:textId="77777777">
        <w:tc>
          <w:tcPr>
            <w:tcW w:w="1129" w:type="dxa"/>
          </w:tcPr>
          <w:p w14:paraId="3AD27C3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7F454D3"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(–)Загуби за текущата финансова година</w:t>
            </w:r>
          </w:p>
          <w:p w14:paraId="3366EC62"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rPr>
              <w:lastRenderedPageBreak/>
              <w:t>Член 36, параграф 1, буква а) от Регламент (ЕС) № 575/2013.</w:t>
            </w:r>
          </w:p>
        </w:tc>
      </w:tr>
      <w:tr w:rsidR="001B665C" w:rsidRPr="009C4695" w14:paraId="0357193D" w14:textId="77777777">
        <w:tc>
          <w:tcPr>
            <w:tcW w:w="1129" w:type="dxa"/>
          </w:tcPr>
          <w:p w14:paraId="74F8E34F"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lastRenderedPageBreak/>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B353E78"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(–)Репутация</w:t>
            </w:r>
          </w:p>
          <w:p w14:paraId="14AA434F"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9, параграф 1, подточка i) от Регламент (ЕС) 2019/2033.</w:t>
            </w:r>
          </w:p>
          <w:p w14:paraId="62E4ECA3"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Style w:val="FormatvorlageInstructionsTabelleText"/>
                <w:rFonts w:ascii="Times New Roman" w:hAnsi="Times New Roman"/>
                <w:sz w:val="22"/>
              </w:rPr>
              <w:t xml:space="preserve">Член 4, параграф 1, точка 113, член 36, </w:t>
            </w:r>
            <w:r w:rsidRPr="009C4695">
              <w:rPr>
                <w:rStyle w:val="FormatvorlageInstructionsTabelleText"/>
                <w:rFonts w:ascii="Times New Roman" w:hAnsi="Times New Roman"/>
                <w:sz w:val="22"/>
              </w:rPr>
              <w:t>параграф 1, буква б) и член 37 от Регламент (ЕС) № 575/2013.</w:t>
            </w:r>
          </w:p>
        </w:tc>
      </w:tr>
      <w:tr w:rsidR="001B665C" w:rsidRPr="009C4695" w14:paraId="4011E255" w14:textId="77777777">
        <w:tc>
          <w:tcPr>
            <w:tcW w:w="1129" w:type="dxa"/>
          </w:tcPr>
          <w:p w14:paraId="3F6FDB7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143B881"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(–)Други нематериални активи</w:t>
            </w:r>
          </w:p>
          <w:p w14:paraId="5E09F6E4"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Член 9, параграф 1, подточка i) от Регламент (ЕС) 2019/2033.</w:t>
            </w:r>
          </w:p>
          <w:p w14:paraId="3F51745A" w14:textId="77777777" w:rsidR="001B665C" w:rsidRPr="009C4695" w:rsidRDefault="009C4695">
            <w:pPr>
              <w:pStyle w:val="InstructionsText"/>
              <w:rPr>
                <w:rStyle w:val="FormatvorlageInstructionsTabelleText"/>
                <w:rFonts w:ascii="Times New Roman" w:eastAsiaTheme="minorHAnsi" w:hAnsi="Times New Roman"/>
                <w:bCs/>
                <w:sz w:val="22"/>
                <w:szCs w:val="22"/>
              </w:rPr>
            </w:pPr>
            <w:r w:rsidRPr="009C4695">
              <w:rPr>
                <w:rStyle w:val="FormatvorlageInstructionsTabelleText"/>
                <w:rFonts w:ascii="Times New Roman" w:hAnsi="Times New Roman"/>
                <w:sz w:val="22"/>
                <w:szCs w:val="22"/>
              </w:rPr>
              <w:t xml:space="preserve">Член 4, параграф 1, точка 115, член 36, параграф 1, буква б) и член 37, буква а) от </w:t>
            </w:r>
            <w:r w:rsidRPr="009C4695">
              <w:rPr>
                <w:rStyle w:val="FormatvorlageInstructionsTabelleText"/>
                <w:rFonts w:ascii="Times New Roman" w:hAnsi="Times New Roman"/>
                <w:sz w:val="22"/>
                <w:szCs w:val="22"/>
              </w:rPr>
              <w:t>Регламент (ЕС) № 575/2013.</w:t>
            </w:r>
          </w:p>
          <w:p w14:paraId="32E96D46"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Style w:val="FormatvorlageInstructionsTabelleText"/>
                <w:rFonts w:ascii="Times New Roman" w:hAnsi="Times New Roman"/>
                <w:sz w:val="22"/>
              </w:rPr>
              <w:t>Другите нематериални активи са нематериалните активи съгласно приложимия счетоводен стандарт минус репутацията също съгласно приложимия счетоводен стандарт.</w:t>
            </w:r>
          </w:p>
        </w:tc>
      </w:tr>
      <w:tr w:rsidR="001B665C" w:rsidRPr="009C4695" w14:paraId="1403745D" w14:textId="77777777">
        <w:tc>
          <w:tcPr>
            <w:tcW w:w="1129" w:type="dxa"/>
          </w:tcPr>
          <w:p w14:paraId="0924B0C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F9F3462"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 xml:space="preserve">(–)Отсрочени данъчни активи, които се основават на бъдеща печалба </w:t>
            </w:r>
            <w:r w:rsidRPr="009C4695">
              <w:rPr>
                <w:rFonts w:ascii="Times New Roman" w:hAnsi="Times New Roman"/>
                <w:b/>
                <w:bCs/>
                <w:u w:val="single"/>
              </w:rPr>
              <w:t>и не се дължат на временни разлики, без свързаните данъчни пасиви</w:t>
            </w:r>
          </w:p>
          <w:p w14:paraId="79A98F3B"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9, параграф 2, буква а) от Регламент (ЕС) 2019/2033.</w:t>
            </w:r>
          </w:p>
          <w:p w14:paraId="78E8BF65"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Член 36, параграф 1, буква в) от Регламент (ЕС) № 575/2013.</w:t>
            </w:r>
          </w:p>
        </w:tc>
      </w:tr>
      <w:tr w:rsidR="001B665C" w:rsidRPr="009C4695" w14:paraId="7D7B3582" w14:textId="77777777">
        <w:tc>
          <w:tcPr>
            <w:tcW w:w="1129" w:type="dxa"/>
          </w:tcPr>
          <w:p w14:paraId="6393D23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8F3D422"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(−)Квалифицирано дялово участие извън финансовия сектор, чийто раз</w:t>
            </w:r>
            <w:r w:rsidRPr="009C4695">
              <w:rPr>
                <w:rFonts w:ascii="Times New Roman" w:hAnsi="Times New Roman"/>
                <w:b/>
                <w:bCs/>
                <w:u w:val="single"/>
              </w:rPr>
              <w:t>мер превишава 15 % от собствения капитал</w:t>
            </w:r>
          </w:p>
          <w:p w14:paraId="7D1DDB8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10, параграф 1, буква а) от Регламент (ЕС) 2019/2033.</w:t>
            </w:r>
          </w:p>
        </w:tc>
      </w:tr>
      <w:tr w:rsidR="001B665C" w:rsidRPr="009C4695" w14:paraId="3FDFBBD8" w14:textId="77777777">
        <w:tc>
          <w:tcPr>
            <w:tcW w:w="1129" w:type="dxa"/>
          </w:tcPr>
          <w:p w14:paraId="7AC0C56B"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0628A30"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 xml:space="preserve">(−)Общ размер на квалифицираното дялово участие в предприятия, различни от предприятия от финансовия сектор, който превишава 60 % от </w:t>
            </w:r>
            <w:r w:rsidRPr="009C4695">
              <w:rPr>
                <w:rFonts w:ascii="Times New Roman" w:hAnsi="Times New Roman"/>
                <w:b/>
                <w:bCs/>
                <w:u w:val="single"/>
              </w:rPr>
              <w:t>собствения капитал</w:t>
            </w:r>
          </w:p>
          <w:p w14:paraId="6F5C3810"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Член 10, параграф 1, буква б) от Регламент (ЕС) 2019/2033.</w:t>
            </w:r>
          </w:p>
        </w:tc>
      </w:tr>
      <w:tr w:rsidR="001B665C" w:rsidRPr="009C4695" w14:paraId="536DE928" w14:textId="77777777">
        <w:tc>
          <w:tcPr>
            <w:tcW w:w="1129" w:type="dxa"/>
          </w:tcPr>
          <w:p w14:paraId="05361507"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6D172EE"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(–)Инструменти на БСК1 на предприятия от финансовия сектор, в които инвестиционният посредник няма значителни инвестиции</w:t>
            </w:r>
          </w:p>
          <w:p w14:paraId="2C32CF9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9, параграф 2, буква в) от Регламент (ЕС) 2019</w:t>
            </w:r>
            <w:r w:rsidRPr="009C4695">
              <w:rPr>
                <w:rFonts w:ascii="Times New Roman" w:hAnsi="Times New Roman"/>
                <w:bCs/>
              </w:rPr>
              <w:t>/2033.</w:t>
            </w:r>
          </w:p>
          <w:p w14:paraId="345246AB"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rPr>
              <w:t>Член 36, параграф 1, буква з) от Регламент (ЕС) № 575/2013.</w:t>
            </w:r>
          </w:p>
        </w:tc>
      </w:tr>
      <w:tr w:rsidR="001B665C" w:rsidRPr="009C4695" w14:paraId="760C8A3F" w14:textId="77777777">
        <w:tc>
          <w:tcPr>
            <w:tcW w:w="1129" w:type="dxa"/>
          </w:tcPr>
          <w:p w14:paraId="3A9697F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E50E946"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(–)Инструменти на БСК1 на предприятия от финансовия сектор, в които инвестиционният посредник има значителни инвестиции</w:t>
            </w:r>
          </w:p>
          <w:p w14:paraId="4111F6A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 xml:space="preserve">Член 9, параграф 2, буква г) от Регламент (ЕС) </w:t>
            </w:r>
            <w:r w:rsidRPr="009C4695">
              <w:rPr>
                <w:rFonts w:ascii="Times New Roman" w:hAnsi="Times New Roman"/>
              </w:rPr>
              <w:t>2019/2033.</w:t>
            </w:r>
          </w:p>
          <w:p w14:paraId="69301E6F"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rPr>
              <w:t>Член 36, параграф 1, подточка i) от Регламент (ЕС) № 575/2013.</w:t>
            </w:r>
          </w:p>
        </w:tc>
      </w:tr>
      <w:tr w:rsidR="001B665C" w:rsidRPr="009C4695" w14:paraId="7277D109" w14:textId="77777777">
        <w:tc>
          <w:tcPr>
            <w:tcW w:w="1129" w:type="dxa"/>
          </w:tcPr>
          <w:p w14:paraId="5A2091BD"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E83ED6E"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(–)Активи на пенсионен фонд с предварително определен размер на пенсията</w:t>
            </w:r>
          </w:p>
          <w:p w14:paraId="163872C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Член 9, параграф 2, буква б) от Регламент (ЕС) 2019/2033.</w:t>
            </w:r>
          </w:p>
          <w:p w14:paraId="0E97D94B"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rPr>
              <w:t>Член 36, параграф 1, буква д) от Регламент (Е</w:t>
            </w:r>
            <w:r w:rsidRPr="009C4695">
              <w:rPr>
                <w:rFonts w:ascii="Times New Roman" w:hAnsi="Times New Roman"/>
              </w:rPr>
              <w:t>С) № 575/2013.</w:t>
            </w:r>
          </w:p>
        </w:tc>
      </w:tr>
      <w:tr w:rsidR="001B665C" w:rsidRPr="009C4695" w14:paraId="07727C37" w14:textId="77777777">
        <w:tc>
          <w:tcPr>
            <w:tcW w:w="1129" w:type="dxa"/>
          </w:tcPr>
          <w:p w14:paraId="799B285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067D5B1"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(–)Други приспадания</w:t>
            </w:r>
          </w:p>
          <w:p w14:paraId="3A7DCEC7"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rPr>
              <w:t>Сборът на всички други приспадания в съответствие с член 36, параграф 1 от Регламент (ЕС) № 575/2013, които не са включени в редове 0150—0270 по-горе.</w:t>
            </w:r>
          </w:p>
        </w:tc>
      </w:tr>
      <w:tr w:rsidR="001B665C" w:rsidRPr="009C4695" w14:paraId="48D438A0" w14:textId="77777777">
        <w:tc>
          <w:tcPr>
            <w:tcW w:w="1129" w:type="dxa"/>
          </w:tcPr>
          <w:p w14:paraId="4E140E3D"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0290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72732634"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 xml:space="preserve">БСК1: други елементи на капитала, приспадания и </w:t>
            </w:r>
            <w:r w:rsidRPr="009C4695">
              <w:rPr>
                <w:rFonts w:ascii="Times New Roman" w:hAnsi="Times New Roman"/>
                <w:b/>
                <w:bCs/>
                <w:u w:val="single"/>
              </w:rPr>
              <w:t>корекции</w:t>
            </w:r>
          </w:p>
          <w:p w14:paraId="468D963F"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Този ред включва сбора от следните елементи, когато е приложимо:</w:t>
            </w:r>
          </w:p>
          <w:p w14:paraId="40C9C461" w14:textId="77777777" w:rsidR="001B665C" w:rsidRPr="009C4695" w:rsidRDefault="009C4695">
            <w:pPr>
              <w:spacing w:after="120" w:line="240" w:lineRule="auto"/>
              <w:ind w:left="360" w:hanging="360"/>
              <w:jc w:val="both"/>
              <w:rPr>
                <w:rFonts w:ascii="Times New Roman" w:eastAsia="Times New Roman" w:hAnsi="Times New Roman" w:cs="Times New Roman"/>
                <w:bCs/>
              </w:rPr>
            </w:pPr>
            <w:r w:rsidRPr="009C4695">
              <w:rPr>
                <w:rFonts w:ascii="Times New Roman" w:eastAsia="Times New Roman" w:hAnsi="Times New Roman" w:cs="Times New Roman"/>
                <w:bCs/>
              </w:rPr>
              <w:lastRenderedPageBreak/>
              <w:t>—</w:t>
            </w:r>
            <w:r w:rsidRPr="009C4695">
              <w:rPr>
                <w:rFonts w:ascii="Times New Roman" w:eastAsia="Times New Roman" w:hAnsi="Times New Roman" w:cs="Times New Roman"/>
                <w:bCs/>
              </w:rPr>
              <w:tab/>
            </w:r>
            <w:r w:rsidRPr="009C4695">
              <w:rPr>
                <w:rFonts w:ascii="Times New Roman" w:hAnsi="Times New Roman"/>
                <w:bCs/>
              </w:rPr>
              <w:t>Преходни корекции вследствие на унаследяване на капиталови инструменти на БСК1 (член 483, параграфи 1, 2 и 3 и членове 484—487 от Регламент (ЕС) № 575/2013).</w:t>
            </w:r>
          </w:p>
          <w:p w14:paraId="177FA0BF" w14:textId="77777777" w:rsidR="001B665C" w:rsidRPr="009C4695" w:rsidRDefault="009C4695">
            <w:pPr>
              <w:spacing w:after="120" w:line="240" w:lineRule="auto"/>
              <w:ind w:left="360" w:hanging="360"/>
              <w:jc w:val="both"/>
              <w:rPr>
                <w:rFonts w:ascii="Times New Roman" w:eastAsia="Times New Roman" w:hAnsi="Times New Roman" w:cs="Times New Roman"/>
                <w:bCs/>
              </w:rPr>
            </w:pPr>
            <w:r w:rsidRPr="009C4695">
              <w:rPr>
                <w:rFonts w:ascii="Times New Roman" w:eastAsia="Times New Roman" w:hAnsi="Times New Roman" w:cs="Times New Roman"/>
                <w:bCs/>
              </w:rPr>
              <w:t>—</w:t>
            </w:r>
            <w:r w:rsidRPr="009C4695">
              <w:rPr>
                <w:rFonts w:ascii="Times New Roman" w:eastAsia="Times New Roman" w:hAnsi="Times New Roman" w:cs="Times New Roman"/>
                <w:bCs/>
              </w:rPr>
              <w:tab/>
            </w:r>
            <w:r w:rsidRPr="009C4695">
              <w:rPr>
                <w:rFonts w:ascii="Times New Roman" w:hAnsi="Times New Roman"/>
                <w:bCs/>
              </w:rPr>
              <w:t>Преходни корекции по</w:t>
            </w:r>
            <w:r w:rsidRPr="009C4695">
              <w:rPr>
                <w:rFonts w:ascii="Times New Roman" w:hAnsi="Times New Roman"/>
                <w:bCs/>
              </w:rPr>
              <w:t>ради допълнителни малцинствени участия (членове 479 и 480 от Регламент (ЕС) № 575/2013).</w:t>
            </w:r>
          </w:p>
          <w:p w14:paraId="16467B42" w14:textId="77777777" w:rsidR="001B665C" w:rsidRPr="009C4695" w:rsidRDefault="009C4695">
            <w:pPr>
              <w:spacing w:after="120" w:line="240" w:lineRule="auto"/>
              <w:ind w:left="360" w:hanging="360"/>
              <w:jc w:val="both"/>
              <w:rPr>
                <w:rFonts w:ascii="Times New Roman" w:eastAsia="Times New Roman" w:hAnsi="Times New Roman" w:cs="Times New Roman"/>
                <w:bCs/>
              </w:rPr>
            </w:pPr>
            <w:r w:rsidRPr="009C4695">
              <w:rPr>
                <w:rFonts w:ascii="Times New Roman" w:eastAsia="Times New Roman" w:hAnsi="Times New Roman" w:cs="Times New Roman"/>
                <w:bCs/>
              </w:rPr>
              <w:t>—</w:t>
            </w:r>
            <w:r w:rsidRPr="009C4695">
              <w:rPr>
                <w:rFonts w:ascii="Times New Roman" w:eastAsia="Times New Roman" w:hAnsi="Times New Roman" w:cs="Times New Roman"/>
                <w:bCs/>
              </w:rPr>
              <w:tab/>
            </w:r>
            <w:r w:rsidRPr="009C4695">
              <w:rPr>
                <w:rFonts w:ascii="Times New Roman" w:hAnsi="Times New Roman"/>
                <w:bCs/>
              </w:rPr>
              <w:t>Други преходни корекции на БСК1 (членове 469—478 и 481 от Регламент (ЕС) № 575/2013): Корекции на приспаданията от БСК1 вследствие на преходни разпоредби</w:t>
            </w:r>
          </w:p>
          <w:p w14:paraId="28F34B79" w14:textId="77777777" w:rsidR="001B665C" w:rsidRPr="009C4695" w:rsidRDefault="009C4695">
            <w:pPr>
              <w:spacing w:after="120" w:line="240" w:lineRule="auto"/>
              <w:ind w:left="360" w:hanging="360"/>
              <w:jc w:val="both"/>
              <w:rPr>
                <w:rFonts w:ascii="Times New Roman" w:eastAsia="Times New Roman" w:hAnsi="Times New Roman" w:cs="Times New Roman"/>
                <w:b/>
                <w:bCs/>
                <w:u w:val="single"/>
              </w:rPr>
            </w:pPr>
            <w:r w:rsidRPr="009C4695">
              <w:rPr>
                <w:rFonts w:ascii="Times New Roman" w:eastAsia="Times New Roman" w:hAnsi="Times New Roman" w:cs="Times New Roman"/>
                <w:bCs/>
              </w:rPr>
              <w:t>—</w:t>
            </w:r>
            <w:r w:rsidRPr="009C4695">
              <w:rPr>
                <w:rFonts w:ascii="Times New Roman" w:eastAsia="Times New Roman" w:hAnsi="Times New Roman" w:cs="Times New Roman"/>
                <w:bCs/>
              </w:rPr>
              <w:tab/>
            </w:r>
            <w:r w:rsidRPr="009C4695">
              <w:rPr>
                <w:rFonts w:ascii="Times New Roman" w:hAnsi="Times New Roman"/>
                <w:bCs/>
              </w:rPr>
              <w:t>Други еле</w:t>
            </w:r>
            <w:r w:rsidRPr="009C4695">
              <w:rPr>
                <w:rFonts w:ascii="Times New Roman" w:hAnsi="Times New Roman"/>
                <w:bCs/>
              </w:rPr>
              <w:t>менти на БСК1 или приспадания от елемент на БСК1, които не може да бъдат отнесени към редове 0040—0280.</w:t>
            </w:r>
          </w:p>
          <w:p w14:paraId="18A33926"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Този ред не се използва с цел включване на елементи на капитала или приспадания от капитала, които не са обхванати от Регламент (ЕС) 2019/2033 или Регла</w:t>
            </w:r>
            <w:r w:rsidRPr="009C4695">
              <w:rPr>
                <w:rFonts w:ascii="Times New Roman" w:hAnsi="Times New Roman"/>
                <w:bCs/>
              </w:rPr>
              <w:t>мент (ЕС) № 575/2013, в изчисляването на коефициентите на платежоспособност.</w:t>
            </w:r>
            <w:r w:rsidRPr="009C4695">
              <w:rPr>
                <w:rFonts w:ascii="Times New Roman" w:hAnsi="Times New Roman"/>
                <w:b/>
                <w:bCs/>
                <w:u w:val="single"/>
              </w:rPr>
              <w:t xml:space="preserve"> </w:t>
            </w:r>
          </w:p>
        </w:tc>
      </w:tr>
      <w:tr w:rsidR="001B665C" w:rsidRPr="009C4695" w14:paraId="5D2017D5" w14:textId="77777777">
        <w:tc>
          <w:tcPr>
            <w:tcW w:w="1129" w:type="dxa"/>
          </w:tcPr>
          <w:p w14:paraId="108D3974"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lastRenderedPageBreak/>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14E1DD20"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ДОПЪЛНИТЕЛЕН КАПИТАЛ ОТ ПЪРВИ РЕД</w:t>
            </w:r>
          </w:p>
          <w:p w14:paraId="37ECE121"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9, параграф 1 от Регламент (ЕС) 2019/2033.</w:t>
            </w:r>
          </w:p>
          <w:p w14:paraId="158573ED" w14:textId="77777777" w:rsidR="001B665C" w:rsidRPr="009C4695" w:rsidRDefault="009C4695">
            <w:pPr>
              <w:spacing w:after="120" w:line="240" w:lineRule="auto"/>
              <w:jc w:val="both"/>
              <w:rPr>
                <w:rFonts w:ascii="Times New Roman" w:hAnsi="Times New Roman" w:cs="Times New Roman"/>
              </w:rPr>
            </w:pPr>
            <w:r w:rsidRPr="009C4695">
              <w:rPr>
                <w:rFonts w:ascii="Times New Roman" w:hAnsi="Times New Roman"/>
              </w:rPr>
              <w:t>Член 61 от Регламент (ЕС) № 575/2013.</w:t>
            </w:r>
          </w:p>
          <w:p w14:paraId="3BBD02C5"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Докладва се общият сбор на редове 0310—0330 и 0410.</w:t>
            </w:r>
          </w:p>
        </w:tc>
      </w:tr>
      <w:tr w:rsidR="001B665C" w:rsidRPr="009C4695" w14:paraId="52EE4028" w14:textId="77777777">
        <w:tc>
          <w:tcPr>
            <w:tcW w:w="1129" w:type="dxa"/>
          </w:tcPr>
          <w:p w14:paraId="333F1F2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79B97D4"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Изплатени изцяло, пряко емитирани капиталови инструменти</w:t>
            </w:r>
          </w:p>
          <w:p w14:paraId="471C6660"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9, параграф 1, подточка i) от Регламент (ЕС) 2019/2033.</w:t>
            </w:r>
          </w:p>
          <w:p w14:paraId="279039DB" w14:textId="77777777" w:rsidR="001B665C" w:rsidRPr="009C4695" w:rsidRDefault="009C4695">
            <w:pPr>
              <w:pStyle w:val="InstructionsText"/>
              <w:rPr>
                <w:rStyle w:val="FormatvorlageInstructionsTabelleText"/>
                <w:rFonts w:ascii="Times New Roman" w:hAnsi="Times New Roman"/>
                <w:sz w:val="22"/>
                <w:szCs w:val="22"/>
              </w:rPr>
            </w:pPr>
            <w:r w:rsidRPr="009C4695">
              <w:t>Член 51, буква а) и членове 52, 53 и 54 от Регламент (ЕС) № 575/2013.</w:t>
            </w:r>
          </w:p>
          <w:p w14:paraId="63085D40"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Style w:val="FormatvorlageInstructionsTabelleText"/>
                <w:rFonts w:ascii="Times New Roman" w:hAnsi="Times New Roman"/>
                <w:sz w:val="22"/>
              </w:rPr>
              <w:t xml:space="preserve">Докладваната стойност не включва премийните резерви, </w:t>
            </w:r>
            <w:r w:rsidRPr="009C4695">
              <w:rPr>
                <w:rStyle w:val="FormatvorlageInstructionsTabelleText"/>
                <w:rFonts w:ascii="Times New Roman" w:hAnsi="Times New Roman"/>
                <w:sz w:val="22"/>
              </w:rPr>
              <w:t>свързани с инструментите.</w:t>
            </w:r>
          </w:p>
        </w:tc>
      </w:tr>
      <w:tr w:rsidR="001B665C" w:rsidRPr="009C4695" w14:paraId="644EBD7F" w14:textId="77777777">
        <w:tc>
          <w:tcPr>
            <w:tcW w:w="1129" w:type="dxa"/>
          </w:tcPr>
          <w:p w14:paraId="19202B8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233A515"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Премийни резерви от емисии</w:t>
            </w:r>
          </w:p>
          <w:p w14:paraId="1250B67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9, параграф 1, подточка i) от Регламент (ЕС) 2019/2033.</w:t>
            </w:r>
          </w:p>
          <w:p w14:paraId="3D75215E" w14:textId="77777777" w:rsidR="001B665C" w:rsidRPr="009C4695" w:rsidRDefault="009C4695">
            <w:pPr>
              <w:pStyle w:val="InstructionsText"/>
              <w:rPr>
                <w:rStyle w:val="FormatvorlageInstructionsTabelleText"/>
                <w:rFonts w:ascii="Times New Roman" w:hAnsi="Times New Roman"/>
                <w:sz w:val="22"/>
                <w:szCs w:val="22"/>
              </w:rPr>
            </w:pPr>
            <w:r w:rsidRPr="009C4695">
              <w:t>Член 51, буква б) от Регламент (ЕС) № 575/2013.</w:t>
            </w:r>
          </w:p>
          <w:p w14:paraId="518DE2B9" w14:textId="77777777" w:rsidR="001B665C" w:rsidRPr="009C4695" w:rsidRDefault="009C4695">
            <w:pPr>
              <w:pStyle w:val="InstructionsText"/>
              <w:rPr>
                <w:rStyle w:val="FormatvorlageInstructionsTabelleText"/>
                <w:rFonts w:ascii="Times New Roman" w:hAnsi="Times New Roman"/>
                <w:sz w:val="22"/>
                <w:szCs w:val="22"/>
              </w:rPr>
            </w:pPr>
            <w:r w:rsidRPr="009C4695">
              <w:rPr>
                <w:rStyle w:val="FormatvorlageInstructionsTabelleText"/>
                <w:rFonts w:ascii="Times New Roman" w:hAnsi="Times New Roman"/>
                <w:sz w:val="22"/>
                <w:szCs w:val="22"/>
              </w:rPr>
              <w:t xml:space="preserve">Премийните резерви имат същото значение, както в приложимия счетоводен </w:t>
            </w:r>
            <w:r w:rsidRPr="009C4695">
              <w:rPr>
                <w:rStyle w:val="FormatvorlageInstructionsTabelleText"/>
                <w:rFonts w:ascii="Times New Roman" w:hAnsi="Times New Roman"/>
                <w:sz w:val="22"/>
                <w:szCs w:val="22"/>
              </w:rPr>
              <w:t>стандарт.</w:t>
            </w:r>
          </w:p>
          <w:p w14:paraId="4B3FA94D"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Style w:val="FormatvorlageInstructionsTabelleText"/>
                <w:rFonts w:ascii="Times New Roman" w:hAnsi="Times New Roman"/>
                <w:sz w:val="22"/>
              </w:rPr>
              <w:t>Докладваната в тази позиция стойност е частта, свързана с „Изплатени капиталови инструменти“.</w:t>
            </w:r>
          </w:p>
        </w:tc>
      </w:tr>
      <w:tr w:rsidR="001B665C" w:rsidRPr="009C4695" w14:paraId="2ED326B2" w14:textId="77777777">
        <w:tc>
          <w:tcPr>
            <w:tcW w:w="1129" w:type="dxa"/>
          </w:tcPr>
          <w:p w14:paraId="3BC898C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99952B3"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(–)ОБЩО ПРИСПАДАНИЯ ОТ ДОПЪЛНИТЕЛНИЯ КАПИТАЛ ОТ ПЪРВИ РЕД</w:t>
            </w:r>
          </w:p>
          <w:p w14:paraId="2A06590C" w14:textId="77777777" w:rsidR="001B665C" w:rsidRPr="009C4695" w:rsidRDefault="009C4695">
            <w:pPr>
              <w:spacing w:before="60" w:after="60"/>
              <w:rPr>
                <w:rFonts w:ascii="Times New Roman" w:hAnsi="Times New Roman" w:cs="Times New Roman"/>
              </w:rPr>
            </w:pPr>
            <w:r w:rsidRPr="009C4695">
              <w:rPr>
                <w:rFonts w:ascii="Times New Roman" w:hAnsi="Times New Roman"/>
              </w:rPr>
              <w:t>Член 56 от Регламент (ЕС) № 575/2013.</w:t>
            </w:r>
          </w:p>
          <w:p w14:paraId="5092E7CB"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Докладва се общият сбор на редове 0340 и 0380—0400</w:t>
            </w:r>
            <w:r w:rsidRPr="009C4695">
              <w:rPr>
                <w:rFonts w:ascii="Times New Roman" w:hAnsi="Times New Roman"/>
                <w:bCs/>
              </w:rPr>
              <w:t>.</w:t>
            </w:r>
          </w:p>
        </w:tc>
      </w:tr>
      <w:tr w:rsidR="001B665C" w:rsidRPr="009C4695" w14:paraId="00CD213C" w14:textId="77777777">
        <w:tc>
          <w:tcPr>
            <w:tcW w:w="1129" w:type="dxa"/>
          </w:tcPr>
          <w:p w14:paraId="75804D3B"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61FD714"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(–)Собствени инструменти на ДК1</w:t>
            </w:r>
          </w:p>
          <w:p w14:paraId="1E8B03D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9, параграф 1, подточка i) от Регламент (ЕС) 2019/2033.</w:t>
            </w:r>
          </w:p>
          <w:p w14:paraId="561F2652" w14:textId="77777777" w:rsidR="001B665C" w:rsidRPr="009C4695" w:rsidRDefault="009C4695">
            <w:pPr>
              <w:pStyle w:val="InstructionsText"/>
              <w:rPr>
                <w:rStyle w:val="FormatvorlageInstructionsTabelleText"/>
                <w:rFonts w:ascii="Times New Roman" w:eastAsiaTheme="minorHAnsi" w:hAnsi="Times New Roman"/>
                <w:bCs/>
                <w:sz w:val="22"/>
                <w:szCs w:val="22"/>
              </w:rPr>
            </w:pPr>
            <w:r w:rsidRPr="009C4695">
              <w:t>Член 52, параграф 1, буква б), член 56, буква а) и член 57 от Регламент (ЕС) № 575/2013.</w:t>
            </w:r>
          </w:p>
          <w:p w14:paraId="040E021E" w14:textId="77777777" w:rsidR="001B665C" w:rsidRPr="009C4695" w:rsidRDefault="009C4695">
            <w:pPr>
              <w:pStyle w:val="InstructionsText"/>
              <w:rPr>
                <w:rStyle w:val="FormatvorlageInstructionsTabelleText"/>
                <w:rFonts w:ascii="Times New Roman" w:hAnsi="Times New Roman"/>
                <w:sz w:val="22"/>
                <w:szCs w:val="22"/>
              </w:rPr>
            </w:pPr>
            <w:r w:rsidRPr="009C4695">
              <w:rPr>
                <w:rStyle w:val="FormatvorlageInstructionsTabelleText"/>
                <w:rFonts w:ascii="Times New Roman" w:hAnsi="Times New Roman"/>
                <w:sz w:val="22"/>
                <w:szCs w:val="22"/>
              </w:rPr>
              <w:t xml:space="preserve">Собствените инструменти на ДК1, държани от инвестиционния посредник към датата, към която се съставя докладът. </w:t>
            </w:r>
            <w:r w:rsidRPr="009C4695">
              <w:t>Спазват се изключенията по член 57 от Регламент (ЕС) № 575/2013.</w:t>
            </w:r>
          </w:p>
          <w:p w14:paraId="2873E2B6" w14:textId="77777777" w:rsidR="001B665C" w:rsidRPr="009C4695" w:rsidRDefault="009C4695">
            <w:pPr>
              <w:pStyle w:val="InstructionsText"/>
            </w:pPr>
            <w:r w:rsidRPr="009C4695">
              <w:rPr>
                <w:rStyle w:val="FormatvorlageInstructionsTabelleText"/>
                <w:rFonts w:ascii="Times New Roman" w:hAnsi="Times New Roman"/>
                <w:sz w:val="22"/>
                <w:szCs w:val="22"/>
              </w:rPr>
              <w:t>Докладваната стойност включва премийните резерви, свързани със собствените акции</w:t>
            </w:r>
            <w:r w:rsidRPr="009C4695">
              <w:rPr>
                <w:rStyle w:val="FormatvorlageInstructionsTabelleText"/>
                <w:rFonts w:ascii="Times New Roman" w:hAnsi="Times New Roman"/>
                <w:sz w:val="22"/>
                <w:szCs w:val="22"/>
              </w:rPr>
              <w:t>.</w:t>
            </w:r>
          </w:p>
        </w:tc>
      </w:tr>
      <w:tr w:rsidR="001B665C" w:rsidRPr="009C4695" w14:paraId="7FB392F7" w14:textId="77777777">
        <w:tc>
          <w:tcPr>
            <w:tcW w:w="1129" w:type="dxa"/>
          </w:tcPr>
          <w:p w14:paraId="5880A85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0350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AC76F51"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(–)Преки позиции в инструменти на ДК1</w:t>
            </w:r>
          </w:p>
          <w:p w14:paraId="30066DF0"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9, параграф 2, буква в) от Регламент (ЕС) 2019/2033.</w:t>
            </w:r>
          </w:p>
          <w:p w14:paraId="01B45F2B"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Член 56, буква а) от Регламент (ЕС) № 575/2013.</w:t>
            </w:r>
          </w:p>
        </w:tc>
      </w:tr>
      <w:tr w:rsidR="001B665C" w:rsidRPr="009C4695" w14:paraId="5749BAFC" w14:textId="77777777">
        <w:tc>
          <w:tcPr>
            <w:tcW w:w="1129" w:type="dxa"/>
          </w:tcPr>
          <w:p w14:paraId="2719FD3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0360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B146F6A"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(–)Непреки позиции в инструменти на ДК1</w:t>
            </w:r>
          </w:p>
          <w:p w14:paraId="4A030B1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9, параграф 2, буква в) от Регламент (ЕС) 2019/2033.</w:t>
            </w:r>
          </w:p>
          <w:p w14:paraId="71CCC25F"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Член 56, буква а) от Регламент (ЕС) № 575/2013.</w:t>
            </w:r>
          </w:p>
        </w:tc>
      </w:tr>
      <w:tr w:rsidR="001B665C" w:rsidRPr="009C4695" w14:paraId="14EF6618" w14:textId="77777777">
        <w:tc>
          <w:tcPr>
            <w:tcW w:w="1129" w:type="dxa"/>
          </w:tcPr>
          <w:p w14:paraId="429734C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0370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DD0B153"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(–)Синтетични позиции в инструменти на ДК1</w:t>
            </w:r>
          </w:p>
          <w:p w14:paraId="0A2FA0B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9, параграф 2, буква в) от Регламент (ЕС) 2019/2033.</w:t>
            </w:r>
          </w:p>
          <w:p w14:paraId="60360F22"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Член 56, буква а) от Регламент (ЕС) № 575/2013.</w:t>
            </w:r>
          </w:p>
        </w:tc>
      </w:tr>
      <w:tr w:rsidR="001B665C" w:rsidRPr="009C4695" w14:paraId="2A65C23F" w14:textId="77777777">
        <w:tc>
          <w:tcPr>
            <w:tcW w:w="1129" w:type="dxa"/>
          </w:tcPr>
          <w:p w14:paraId="3F2C58E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35C2409"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(–)Инструменти на ДК1 на предприятия от финансо</w:t>
            </w:r>
            <w:r w:rsidRPr="009C4695">
              <w:rPr>
                <w:rFonts w:ascii="Times New Roman" w:hAnsi="Times New Roman"/>
                <w:b/>
                <w:bCs/>
                <w:u w:val="single"/>
              </w:rPr>
              <w:t>вия сектор, в които инвестиционният посредник няма значителни инвестиции</w:t>
            </w:r>
          </w:p>
          <w:p w14:paraId="20DF3FF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9, параграф 2, буква в) от Регламент (ЕС) 2019/2033.</w:t>
            </w:r>
          </w:p>
          <w:p w14:paraId="2FA6BB22"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Член 56, буква в) от Регламент (ЕС) № 575/2013.</w:t>
            </w:r>
          </w:p>
        </w:tc>
      </w:tr>
      <w:tr w:rsidR="001B665C" w:rsidRPr="009C4695" w14:paraId="22617B03" w14:textId="77777777">
        <w:tc>
          <w:tcPr>
            <w:tcW w:w="1129" w:type="dxa"/>
          </w:tcPr>
          <w:p w14:paraId="1CD9BBE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0390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809B480"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(–)Инструменти на ДК1 на предприятия от финансовия сектор, в които инве</w:t>
            </w:r>
            <w:r w:rsidRPr="009C4695">
              <w:rPr>
                <w:rFonts w:ascii="Times New Roman" w:hAnsi="Times New Roman"/>
                <w:b/>
                <w:bCs/>
                <w:u w:val="single"/>
              </w:rPr>
              <w:t>стиционният посредник има значителни инвестиции</w:t>
            </w:r>
          </w:p>
          <w:p w14:paraId="575E85D0"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9, параграф 2, буква в) от Регламент (ЕС) 2019/2033.</w:t>
            </w:r>
          </w:p>
          <w:p w14:paraId="60406B4E"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Член 56, буква г) от Регламент (ЕС) № 575/2013.</w:t>
            </w:r>
          </w:p>
        </w:tc>
      </w:tr>
      <w:tr w:rsidR="001B665C" w:rsidRPr="009C4695" w14:paraId="00D48143" w14:textId="77777777">
        <w:tc>
          <w:tcPr>
            <w:tcW w:w="1129" w:type="dxa"/>
          </w:tcPr>
          <w:p w14:paraId="10B8D63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DFFCC30"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(–)Други приспадания</w:t>
            </w:r>
          </w:p>
          <w:p w14:paraId="794901BC"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 xml:space="preserve">Сборът на всички други приспадания в съответствие с член 56 от </w:t>
            </w:r>
            <w:r w:rsidRPr="009C4695">
              <w:rPr>
                <w:rFonts w:ascii="Times New Roman" w:hAnsi="Times New Roman"/>
                <w:bCs/>
              </w:rPr>
              <w:t>Регламент (ЕС) № 575/2013, които не са включени в редове 0340—0390 по-горе.</w:t>
            </w:r>
          </w:p>
        </w:tc>
      </w:tr>
      <w:tr w:rsidR="001B665C" w:rsidRPr="009C4695" w14:paraId="4A444607" w14:textId="77777777">
        <w:tc>
          <w:tcPr>
            <w:tcW w:w="1129" w:type="dxa"/>
          </w:tcPr>
          <w:p w14:paraId="736F937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A796246"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Допълнителен капитал от първи ред: други елементи на капитала, приспадания и корекции</w:t>
            </w:r>
          </w:p>
          <w:p w14:paraId="3DBBEA3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Този ред включва сбора от следните елементи, когато е приложимо:</w:t>
            </w:r>
          </w:p>
          <w:p w14:paraId="6D1581E4" w14:textId="77777777" w:rsidR="001B665C" w:rsidRPr="009C4695" w:rsidRDefault="009C4695">
            <w:pPr>
              <w:spacing w:after="120" w:line="240" w:lineRule="auto"/>
              <w:ind w:left="360" w:hanging="360"/>
              <w:jc w:val="both"/>
              <w:rPr>
                <w:rFonts w:ascii="Times New Roman" w:eastAsia="Times New Roman" w:hAnsi="Times New Roman" w:cs="Times New Roman"/>
                <w:bCs/>
              </w:rPr>
            </w:pPr>
            <w:r w:rsidRPr="009C4695">
              <w:rPr>
                <w:rFonts w:ascii="Times New Roman" w:eastAsia="Times New Roman" w:hAnsi="Times New Roman" w:cs="Times New Roman"/>
                <w:bCs/>
              </w:rPr>
              <w:t>—</w:t>
            </w:r>
            <w:r w:rsidRPr="009C4695">
              <w:rPr>
                <w:rFonts w:ascii="Times New Roman" w:eastAsia="Times New Roman" w:hAnsi="Times New Roman" w:cs="Times New Roman"/>
                <w:bCs/>
              </w:rPr>
              <w:tab/>
            </w:r>
            <w:r w:rsidRPr="009C4695">
              <w:rPr>
                <w:rFonts w:ascii="Times New Roman" w:hAnsi="Times New Roman"/>
                <w:bCs/>
              </w:rPr>
              <w:t>Преходни корекции всл</w:t>
            </w:r>
            <w:r w:rsidRPr="009C4695">
              <w:rPr>
                <w:rFonts w:ascii="Times New Roman" w:hAnsi="Times New Roman"/>
                <w:bCs/>
              </w:rPr>
              <w:t>едствие на унаследяване на капиталови инструменти на ДК1 (член 483, параграфи 4 и 5, членове 484—487, членове 489 и 491 от Регламент (ЕС) № 575/2013).</w:t>
            </w:r>
          </w:p>
          <w:p w14:paraId="6D250B53" w14:textId="77777777" w:rsidR="001B665C" w:rsidRPr="009C4695" w:rsidRDefault="009C4695">
            <w:pPr>
              <w:spacing w:after="120" w:line="240" w:lineRule="auto"/>
              <w:ind w:left="360" w:hanging="360"/>
              <w:jc w:val="both"/>
              <w:rPr>
                <w:rFonts w:ascii="Times New Roman" w:eastAsia="Times New Roman" w:hAnsi="Times New Roman" w:cs="Times New Roman"/>
                <w:bCs/>
              </w:rPr>
            </w:pPr>
            <w:r w:rsidRPr="009C4695">
              <w:rPr>
                <w:rFonts w:ascii="Times New Roman" w:eastAsia="Times New Roman" w:hAnsi="Times New Roman" w:cs="Times New Roman"/>
                <w:bCs/>
              </w:rPr>
              <w:t>—</w:t>
            </w:r>
            <w:r w:rsidRPr="009C4695">
              <w:rPr>
                <w:rFonts w:ascii="Times New Roman" w:eastAsia="Times New Roman" w:hAnsi="Times New Roman" w:cs="Times New Roman"/>
                <w:bCs/>
              </w:rPr>
              <w:tab/>
            </w:r>
            <w:r w:rsidRPr="009C4695">
              <w:rPr>
                <w:rFonts w:ascii="Times New Roman" w:hAnsi="Times New Roman"/>
                <w:bCs/>
              </w:rPr>
              <w:t>Инструменти, емитирани от дъщерни предприятия, които са признати в ДК1 (членове 83, 85 и 86 от Регламен</w:t>
            </w:r>
            <w:r w:rsidRPr="009C4695">
              <w:rPr>
                <w:rFonts w:ascii="Times New Roman" w:hAnsi="Times New Roman"/>
                <w:bCs/>
              </w:rPr>
              <w:t>т (ЕС) № 575/2013): Сборът от всички суми на квалифицирания капитал от първи ред на дъщерните предприятия, включен в консолидирания ДК1, включително капитала, емитиран от дружество със специална цел (член 83 от Регламент (ЕС) № 575/2013).</w:t>
            </w:r>
          </w:p>
          <w:p w14:paraId="413066F7" w14:textId="77777777" w:rsidR="001B665C" w:rsidRPr="009C4695" w:rsidRDefault="009C4695">
            <w:pPr>
              <w:spacing w:after="120" w:line="240" w:lineRule="auto"/>
              <w:ind w:left="360" w:hanging="360"/>
              <w:jc w:val="both"/>
              <w:rPr>
                <w:rFonts w:ascii="Times New Roman" w:eastAsia="Times New Roman" w:hAnsi="Times New Roman" w:cs="Times New Roman"/>
                <w:bCs/>
              </w:rPr>
            </w:pPr>
            <w:r w:rsidRPr="009C4695">
              <w:rPr>
                <w:rFonts w:ascii="Times New Roman" w:eastAsia="Times New Roman" w:hAnsi="Times New Roman" w:cs="Times New Roman"/>
                <w:bCs/>
              </w:rPr>
              <w:t>—</w:t>
            </w:r>
            <w:r w:rsidRPr="009C4695">
              <w:rPr>
                <w:rFonts w:ascii="Times New Roman" w:eastAsia="Times New Roman" w:hAnsi="Times New Roman" w:cs="Times New Roman"/>
                <w:bCs/>
              </w:rPr>
              <w:tab/>
            </w:r>
            <w:r w:rsidRPr="009C4695">
              <w:rPr>
                <w:rFonts w:ascii="Times New Roman" w:hAnsi="Times New Roman"/>
                <w:bCs/>
              </w:rPr>
              <w:t>Преходни корекц</w:t>
            </w:r>
            <w:r w:rsidRPr="009C4695">
              <w:rPr>
                <w:rFonts w:ascii="Times New Roman" w:hAnsi="Times New Roman"/>
                <w:bCs/>
              </w:rPr>
              <w:t>ии вследствие на допълнително признаване в ДК1 на инструменти, емитирани от дъщерни предприятия (член 480 от Регламент (ЕС) № 575/2013), корекции на квалифицирания капитал от първи ред, включени в консолидирания ДК1 вследствие на преходни разпоредби.</w:t>
            </w:r>
          </w:p>
          <w:p w14:paraId="78EAD649" w14:textId="77777777" w:rsidR="001B665C" w:rsidRPr="009C4695" w:rsidRDefault="009C4695">
            <w:pPr>
              <w:spacing w:after="120" w:line="240" w:lineRule="auto"/>
              <w:ind w:left="360" w:hanging="360"/>
              <w:jc w:val="both"/>
              <w:rPr>
                <w:rFonts w:ascii="Times New Roman" w:eastAsia="Times New Roman" w:hAnsi="Times New Roman" w:cs="Times New Roman"/>
                <w:bCs/>
              </w:rPr>
            </w:pPr>
            <w:r w:rsidRPr="009C4695">
              <w:rPr>
                <w:rFonts w:ascii="Times New Roman" w:eastAsia="Times New Roman" w:hAnsi="Times New Roman" w:cs="Times New Roman"/>
                <w:bCs/>
              </w:rPr>
              <w:t>—</w:t>
            </w:r>
            <w:r w:rsidRPr="009C4695">
              <w:rPr>
                <w:rFonts w:ascii="Times New Roman" w:eastAsia="Times New Roman" w:hAnsi="Times New Roman" w:cs="Times New Roman"/>
                <w:bCs/>
              </w:rPr>
              <w:tab/>
            </w:r>
            <w:r w:rsidRPr="009C4695">
              <w:rPr>
                <w:rFonts w:ascii="Times New Roman" w:hAnsi="Times New Roman"/>
                <w:bCs/>
              </w:rPr>
              <w:t>Дру</w:t>
            </w:r>
            <w:r w:rsidRPr="009C4695">
              <w:rPr>
                <w:rFonts w:ascii="Times New Roman" w:hAnsi="Times New Roman"/>
                <w:bCs/>
              </w:rPr>
              <w:t>ги преходни корекции на ДК1 (членове 472, 473а, 474, 475, 478 и 481 от Регламент (ЕС) № 575/2013): корекции на приспаданията вследствие на преходни разпоредби.</w:t>
            </w:r>
          </w:p>
          <w:p w14:paraId="642BB670" w14:textId="77777777" w:rsidR="001B665C" w:rsidRPr="009C4695" w:rsidRDefault="009C4695">
            <w:pPr>
              <w:spacing w:after="120" w:line="240" w:lineRule="auto"/>
              <w:ind w:left="360" w:hanging="360"/>
              <w:jc w:val="both"/>
              <w:rPr>
                <w:rFonts w:ascii="Times New Roman" w:eastAsia="Times New Roman" w:hAnsi="Times New Roman" w:cs="Times New Roman"/>
                <w:bCs/>
              </w:rPr>
            </w:pPr>
            <w:r w:rsidRPr="009C4695">
              <w:rPr>
                <w:rFonts w:ascii="Times New Roman" w:eastAsia="Times New Roman" w:hAnsi="Times New Roman" w:cs="Times New Roman"/>
                <w:bCs/>
              </w:rPr>
              <w:t>—</w:t>
            </w:r>
            <w:r w:rsidRPr="009C4695">
              <w:rPr>
                <w:rFonts w:ascii="Times New Roman" w:eastAsia="Times New Roman" w:hAnsi="Times New Roman" w:cs="Times New Roman"/>
                <w:bCs/>
              </w:rPr>
              <w:tab/>
            </w:r>
            <w:r w:rsidRPr="009C4695">
              <w:rPr>
                <w:rFonts w:ascii="Times New Roman" w:hAnsi="Times New Roman"/>
                <w:bCs/>
              </w:rPr>
              <w:t>Превишение на приспаданията от елементите на ДК1 над ДК1, приспаднато от БСК1 в съответствие с</w:t>
            </w:r>
            <w:r w:rsidRPr="009C4695">
              <w:rPr>
                <w:rFonts w:ascii="Times New Roman" w:hAnsi="Times New Roman"/>
                <w:bCs/>
              </w:rPr>
              <w:t xml:space="preserve"> член 36, параграф 1, буква</w:t>
            </w:r>
            <w:r w:rsidRPr="009C4695">
              <w:rPr>
                <w:rFonts w:ascii="Times New Roman" w:hAnsi="Times New Roman"/>
                <w:bCs/>
              </w:rPr>
              <w:t xml:space="preserve"> й)</w:t>
            </w:r>
            <w:r w:rsidRPr="009C4695">
              <w:rPr>
                <w:rFonts w:ascii="Times New Roman" w:hAnsi="Times New Roman"/>
                <w:bCs/>
              </w:rPr>
              <w:t xml:space="preserve"> от Регламент (ЕС) № 575/2013: допълнителният капитал от първи ред не може да бъде отрицателен, но е възможно приспаданията от елементите на ДК1 да превишават размера на наличните елементи на ДК1. Ако случаят е такъв, този еле</w:t>
            </w:r>
            <w:r w:rsidRPr="009C4695">
              <w:rPr>
                <w:rFonts w:ascii="Times New Roman" w:hAnsi="Times New Roman"/>
                <w:bCs/>
              </w:rPr>
              <w:t>мент представлява сумата, с която докладваната в ред 0300 сума трябва да се увеличи до нула и е равна на стойността с обратен знак на превишението на приспаданията от елементите на ДК1 над ДК1, включено, наред с други приспадания, в ред 0280.</w:t>
            </w:r>
          </w:p>
          <w:p w14:paraId="7C02D3B4" w14:textId="77777777" w:rsidR="001B665C" w:rsidRPr="009C4695" w:rsidRDefault="009C4695">
            <w:pPr>
              <w:spacing w:after="120" w:line="240" w:lineRule="auto"/>
              <w:ind w:left="360" w:hanging="360"/>
              <w:jc w:val="both"/>
              <w:rPr>
                <w:rFonts w:ascii="Times New Roman" w:eastAsia="Times New Roman" w:hAnsi="Times New Roman" w:cs="Times New Roman"/>
                <w:bCs/>
              </w:rPr>
            </w:pPr>
            <w:r w:rsidRPr="009C4695">
              <w:rPr>
                <w:rFonts w:ascii="Times New Roman" w:eastAsia="Times New Roman" w:hAnsi="Times New Roman" w:cs="Times New Roman"/>
                <w:bCs/>
              </w:rPr>
              <w:t>—</w:t>
            </w:r>
            <w:r w:rsidRPr="009C4695">
              <w:rPr>
                <w:rFonts w:ascii="Times New Roman" w:eastAsia="Times New Roman" w:hAnsi="Times New Roman" w:cs="Times New Roman"/>
                <w:bCs/>
              </w:rPr>
              <w:tab/>
            </w:r>
            <w:r w:rsidRPr="009C4695">
              <w:rPr>
                <w:rFonts w:ascii="Times New Roman" w:hAnsi="Times New Roman"/>
                <w:bCs/>
              </w:rPr>
              <w:t xml:space="preserve">Други </w:t>
            </w:r>
            <w:r w:rsidRPr="009C4695">
              <w:rPr>
                <w:rFonts w:ascii="Times New Roman" w:hAnsi="Times New Roman"/>
                <w:bCs/>
              </w:rPr>
              <w:t>елементи на ДК1 или приспадания от елемент на ДК1, които не може да бъдат отнесени към редове 0310—0400.</w:t>
            </w:r>
          </w:p>
          <w:p w14:paraId="1380AB9C"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Този ред не се използва с цел включване на елементи на капитала или приспадания от капитала, които не са обхванати от Регламент (ЕС) 2019/2033 или Регл</w:t>
            </w:r>
            <w:r w:rsidRPr="009C4695">
              <w:rPr>
                <w:rFonts w:ascii="Times New Roman" w:hAnsi="Times New Roman"/>
                <w:bCs/>
              </w:rPr>
              <w:t>амент (ЕС) № 575/2013, в изчисляването на коефициентите на платежоспособност.</w:t>
            </w:r>
          </w:p>
        </w:tc>
      </w:tr>
      <w:tr w:rsidR="001B665C" w:rsidRPr="009C4695" w14:paraId="59360DE1" w14:textId="77777777">
        <w:tc>
          <w:tcPr>
            <w:tcW w:w="1129" w:type="dxa"/>
          </w:tcPr>
          <w:p w14:paraId="383F69E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73CE0027"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КАПИТАЛ ОТ ВТОРИ РЕД</w:t>
            </w:r>
          </w:p>
          <w:p w14:paraId="40E8DE71"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9, параграф 1 от Регламент (ЕС) 2019/2033.</w:t>
            </w:r>
          </w:p>
          <w:p w14:paraId="40AA5BB5" w14:textId="77777777" w:rsidR="001B665C" w:rsidRPr="009C4695" w:rsidRDefault="009C4695">
            <w:pPr>
              <w:spacing w:after="120" w:line="240" w:lineRule="auto"/>
              <w:jc w:val="both"/>
              <w:rPr>
                <w:rStyle w:val="FormatvorlageInstructionsTabelleText"/>
                <w:rFonts w:ascii="Times New Roman" w:hAnsi="Times New Roman"/>
                <w:sz w:val="22"/>
              </w:rPr>
            </w:pPr>
            <w:r w:rsidRPr="009C4695">
              <w:rPr>
                <w:rFonts w:ascii="Times New Roman" w:hAnsi="Times New Roman"/>
              </w:rPr>
              <w:t>Член 71 от Регламент (ЕС) № 575/2013.</w:t>
            </w:r>
          </w:p>
          <w:p w14:paraId="628D139B" w14:textId="77777777" w:rsidR="001B665C" w:rsidRPr="009C4695" w:rsidRDefault="009C4695">
            <w:pPr>
              <w:pStyle w:val="CommentText"/>
              <w:rPr>
                <w:sz w:val="22"/>
                <w:szCs w:val="22"/>
              </w:rPr>
            </w:pPr>
            <w:r w:rsidRPr="009C4695">
              <w:rPr>
                <w:rFonts w:ascii="Times New Roman" w:hAnsi="Times New Roman"/>
                <w:bCs/>
                <w:sz w:val="22"/>
                <w:szCs w:val="22"/>
              </w:rPr>
              <w:t>Докладва се общият сбор на редове 0430—0450 и 0520.</w:t>
            </w:r>
          </w:p>
        </w:tc>
      </w:tr>
      <w:tr w:rsidR="001B665C" w:rsidRPr="009C4695" w14:paraId="33291592" w14:textId="77777777">
        <w:tc>
          <w:tcPr>
            <w:tcW w:w="1129" w:type="dxa"/>
          </w:tcPr>
          <w:p w14:paraId="09BF522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BBF3461"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Изплатени изцяло, пряко емитирани капиталови инструменти</w:t>
            </w:r>
          </w:p>
          <w:p w14:paraId="4149260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9, параграф 1, подточка i) от Регламент (ЕС) 2019/2033.</w:t>
            </w:r>
          </w:p>
          <w:p w14:paraId="2E44F4F9" w14:textId="77777777" w:rsidR="001B665C" w:rsidRPr="009C4695" w:rsidRDefault="009C4695">
            <w:pPr>
              <w:pStyle w:val="InstructionsText"/>
              <w:rPr>
                <w:rStyle w:val="FormatvorlageInstructionsTabelleText"/>
                <w:rFonts w:ascii="Times New Roman" w:eastAsiaTheme="minorHAnsi" w:hAnsi="Times New Roman"/>
                <w:bCs/>
                <w:sz w:val="22"/>
                <w:szCs w:val="22"/>
              </w:rPr>
            </w:pPr>
            <w:r w:rsidRPr="009C4695">
              <w:rPr>
                <w:sz w:val="22"/>
                <w:szCs w:val="22"/>
              </w:rPr>
              <w:t>Член 62, буква а) и членове 63 и 65 от Регламент (ЕС) № 575/2013.</w:t>
            </w:r>
          </w:p>
          <w:p w14:paraId="2676B5CC"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Style w:val="FormatvorlageInstructionsTabelleText"/>
                <w:rFonts w:ascii="Times New Roman" w:hAnsi="Times New Roman"/>
                <w:sz w:val="22"/>
              </w:rPr>
              <w:t>Докладваната стойност не включва премийните резерви, свързани с инструме</w:t>
            </w:r>
            <w:r w:rsidRPr="009C4695">
              <w:rPr>
                <w:rStyle w:val="FormatvorlageInstructionsTabelleText"/>
                <w:rFonts w:ascii="Times New Roman" w:hAnsi="Times New Roman"/>
                <w:sz w:val="22"/>
              </w:rPr>
              <w:t>нтите.</w:t>
            </w:r>
          </w:p>
        </w:tc>
      </w:tr>
      <w:tr w:rsidR="001B665C" w:rsidRPr="009C4695" w14:paraId="18DB8460" w14:textId="77777777">
        <w:tc>
          <w:tcPr>
            <w:tcW w:w="1129" w:type="dxa"/>
          </w:tcPr>
          <w:p w14:paraId="4A2D604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9D430C8"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Премийни резерви от емисии</w:t>
            </w:r>
          </w:p>
          <w:p w14:paraId="6C60351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9, параграф 1, подточка i) от Регламент (ЕС) 2019/2033.</w:t>
            </w:r>
          </w:p>
          <w:p w14:paraId="41E14AF5" w14:textId="77777777" w:rsidR="001B665C" w:rsidRPr="009C4695" w:rsidRDefault="009C4695">
            <w:pPr>
              <w:pStyle w:val="InstructionsText"/>
              <w:rPr>
                <w:rStyle w:val="FormatvorlageInstructionsTabelleText"/>
                <w:rFonts w:ascii="Times New Roman" w:hAnsi="Times New Roman"/>
                <w:sz w:val="22"/>
                <w:szCs w:val="22"/>
              </w:rPr>
            </w:pPr>
            <w:r w:rsidRPr="009C4695">
              <w:rPr>
                <w:sz w:val="22"/>
                <w:szCs w:val="22"/>
              </w:rPr>
              <w:t>Член 62, буква б) и член 65 от Регламент (ЕС) № 575/2013.</w:t>
            </w:r>
          </w:p>
          <w:p w14:paraId="7B057B3B" w14:textId="77777777" w:rsidR="001B665C" w:rsidRPr="009C4695" w:rsidRDefault="009C4695">
            <w:pPr>
              <w:pStyle w:val="InstructionsText"/>
              <w:rPr>
                <w:rStyle w:val="FormatvorlageInstructionsTabelleText"/>
                <w:rFonts w:ascii="Times New Roman" w:hAnsi="Times New Roman"/>
                <w:sz w:val="22"/>
                <w:szCs w:val="22"/>
              </w:rPr>
            </w:pPr>
            <w:r w:rsidRPr="009C4695">
              <w:rPr>
                <w:rStyle w:val="FormatvorlageInstructionsTabelleText"/>
                <w:rFonts w:ascii="Times New Roman" w:hAnsi="Times New Roman"/>
                <w:sz w:val="22"/>
                <w:szCs w:val="22"/>
              </w:rPr>
              <w:t>Премийните резерви имат същото значение, както в приложимия счетоводен стандарт.</w:t>
            </w:r>
          </w:p>
          <w:p w14:paraId="1C558BA9" w14:textId="77777777" w:rsidR="001B665C" w:rsidRPr="009C4695" w:rsidRDefault="009C4695">
            <w:pPr>
              <w:pStyle w:val="InstructionsText"/>
              <w:rPr>
                <w:sz w:val="22"/>
                <w:szCs w:val="22"/>
              </w:rPr>
            </w:pPr>
            <w:r w:rsidRPr="009C4695">
              <w:rPr>
                <w:rStyle w:val="FormatvorlageInstructionsTabelleText"/>
                <w:rFonts w:ascii="Times New Roman" w:hAnsi="Times New Roman"/>
                <w:sz w:val="22"/>
                <w:szCs w:val="22"/>
              </w:rPr>
              <w:t>Докладваната в тази позиция стойност е частта, свързана с „Изплатени капиталови инструменти“.</w:t>
            </w:r>
          </w:p>
        </w:tc>
      </w:tr>
      <w:tr w:rsidR="001B665C" w:rsidRPr="009C4695" w14:paraId="4D387F60" w14:textId="77777777">
        <w:tc>
          <w:tcPr>
            <w:tcW w:w="1129" w:type="dxa"/>
          </w:tcPr>
          <w:p w14:paraId="3872104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0450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AE70627"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(−)ОБЩО ПРИСПАДАНИЯ ОТ КАПИТАЛА ОТ ВТОРИ РЕД</w:t>
            </w:r>
          </w:p>
          <w:p w14:paraId="5BE3CCE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Член 66 от Регламент (ЕС) № 575/2013.</w:t>
            </w:r>
          </w:p>
        </w:tc>
      </w:tr>
      <w:tr w:rsidR="001B665C" w:rsidRPr="009C4695" w14:paraId="269BF285" w14:textId="77777777">
        <w:tc>
          <w:tcPr>
            <w:tcW w:w="1129" w:type="dxa"/>
          </w:tcPr>
          <w:p w14:paraId="0B7B6E54"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94447F0"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(–)Собствени инструменти на К2</w:t>
            </w:r>
          </w:p>
          <w:p w14:paraId="6B88773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9, параграф 1, подточка i) от Р</w:t>
            </w:r>
            <w:r w:rsidRPr="009C4695">
              <w:rPr>
                <w:rFonts w:ascii="Times New Roman" w:hAnsi="Times New Roman"/>
                <w:bCs/>
              </w:rPr>
              <w:t>егламент (ЕС) 2019/2033.</w:t>
            </w:r>
          </w:p>
          <w:p w14:paraId="6D5329B6" w14:textId="77777777" w:rsidR="001B665C" w:rsidRPr="009C4695" w:rsidRDefault="009C4695">
            <w:pPr>
              <w:pStyle w:val="InstructionsText"/>
              <w:rPr>
                <w:rStyle w:val="FormatvorlageInstructionsTabelleText"/>
                <w:rFonts w:ascii="Times New Roman" w:hAnsi="Times New Roman"/>
                <w:sz w:val="22"/>
                <w:szCs w:val="22"/>
              </w:rPr>
            </w:pPr>
            <w:r w:rsidRPr="009C4695">
              <w:rPr>
                <w:sz w:val="22"/>
                <w:szCs w:val="22"/>
              </w:rPr>
              <w:t>Член 63, буква б), подточка i), член 66, буква а) и член 67 от Регламент (ЕС) № 575/2013.</w:t>
            </w:r>
          </w:p>
          <w:p w14:paraId="2A742122" w14:textId="77777777" w:rsidR="001B665C" w:rsidRPr="009C4695" w:rsidRDefault="009C4695">
            <w:pPr>
              <w:pStyle w:val="InstructionsText"/>
              <w:rPr>
                <w:rStyle w:val="FormatvorlageInstructionsTabelleText"/>
                <w:rFonts w:ascii="Times New Roman" w:hAnsi="Times New Roman"/>
                <w:sz w:val="22"/>
                <w:szCs w:val="22"/>
              </w:rPr>
            </w:pPr>
            <w:r w:rsidRPr="009C4695">
              <w:rPr>
                <w:rStyle w:val="FormatvorlageInstructionsTabelleText"/>
                <w:rFonts w:ascii="Times New Roman" w:hAnsi="Times New Roman"/>
                <w:sz w:val="22"/>
                <w:szCs w:val="22"/>
              </w:rPr>
              <w:t xml:space="preserve">Собствените инструменти на К2, държани от докладващата институция или група към датата, към която се съставя докладът. </w:t>
            </w:r>
            <w:r w:rsidRPr="009C4695">
              <w:rPr>
                <w:sz w:val="22"/>
                <w:szCs w:val="22"/>
              </w:rPr>
              <w:t>Подлежи на изключения по член 67 от Регламент (ЕС) № 575/2013.</w:t>
            </w:r>
          </w:p>
          <w:p w14:paraId="4427CC20" w14:textId="77777777" w:rsidR="001B665C" w:rsidRPr="009C4695" w:rsidRDefault="009C4695">
            <w:pPr>
              <w:pStyle w:val="InstructionsText"/>
              <w:rPr>
                <w:rStyle w:val="FormatvorlageInstructionsTabelleText"/>
                <w:rFonts w:ascii="Times New Roman" w:hAnsi="Times New Roman"/>
                <w:sz w:val="22"/>
                <w:szCs w:val="22"/>
              </w:rPr>
            </w:pPr>
            <w:r w:rsidRPr="009C4695">
              <w:rPr>
                <w:rStyle w:val="FormatvorlageInstructionsTabelleText"/>
                <w:rFonts w:ascii="Times New Roman" w:hAnsi="Times New Roman"/>
                <w:sz w:val="22"/>
                <w:szCs w:val="22"/>
              </w:rPr>
              <w:t xml:space="preserve">Дяловото участие, включено като „Недопустими капиталови </w:t>
            </w:r>
            <w:r w:rsidRPr="009C4695">
              <w:rPr>
                <w:rStyle w:val="FormatvorlageInstructionsTabelleText"/>
                <w:rFonts w:ascii="Times New Roman" w:hAnsi="Times New Roman"/>
                <w:sz w:val="22"/>
                <w:szCs w:val="22"/>
              </w:rPr>
              <w:t>инструменти“, не се докладва в този ред.</w:t>
            </w:r>
          </w:p>
          <w:p w14:paraId="45CEB8FF" w14:textId="77777777" w:rsidR="001B665C" w:rsidRPr="009C4695" w:rsidRDefault="009C4695">
            <w:pPr>
              <w:pStyle w:val="InstructionsText"/>
              <w:rPr>
                <w:sz w:val="22"/>
                <w:szCs w:val="22"/>
              </w:rPr>
            </w:pPr>
            <w:r w:rsidRPr="009C4695">
              <w:rPr>
                <w:rStyle w:val="FormatvorlageInstructionsTabelleText"/>
                <w:rFonts w:ascii="Times New Roman" w:hAnsi="Times New Roman"/>
                <w:sz w:val="22"/>
                <w:szCs w:val="22"/>
              </w:rPr>
              <w:t>Докладваната стойност включва премийните резерви, свързани със собствените акции.</w:t>
            </w:r>
          </w:p>
        </w:tc>
      </w:tr>
      <w:tr w:rsidR="001B665C" w:rsidRPr="009C4695" w14:paraId="1496EBBF" w14:textId="77777777">
        <w:tc>
          <w:tcPr>
            <w:tcW w:w="1129" w:type="dxa"/>
          </w:tcPr>
          <w:p w14:paraId="47B390A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0470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EC19403"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(–)Преки позиции в инструменти на К2</w:t>
            </w:r>
          </w:p>
          <w:p w14:paraId="73581127" w14:textId="77777777" w:rsidR="001B665C" w:rsidRPr="009C4695" w:rsidRDefault="009C4695">
            <w:pPr>
              <w:pStyle w:val="InstructionsText"/>
              <w:rPr>
                <w:sz w:val="22"/>
                <w:szCs w:val="22"/>
              </w:rPr>
            </w:pPr>
            <w:r w:rsidRPr="009C4695">
              <w:rPr>
                <w:sz w:val="22"/>
                <w:szCs w:val="22"/>
              </w:rPr>
              <w:t>Член 63, буква б), член 66, буква а) и член 67 от Регламент (ЕС) № 575/2013.</w:t>
            </w:r>
          </w:p>
        </w:tc>
      </w:tr>
      <w:tr w:rsidR="001B665C" w:rsidRPr="009C4695" w14:paraId="1E958244" w14:textId="77777777">
        <w:tc>
          <w:tcPr>
            <w:tcW w:w="1129" w:type="dxa"/>
          </w:tcPr>
          <w:p w14:paraId="7CDECB7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0480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A3150BB"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(–)Непр</w:t>
            </w:r>
            <w:r w:rsidRPr="009C4695">
              <w:rPr>
                <w:rFonts w:ascii="Times New Roman" w:hAnsi="Times New Roman"/>
                <w:b/>
                <w:bCs/>
                <w:u w:val="single"/>
              </w:rPr>
              <w:t>еки позиции в инструменти на К2</w:t>
            </w:r>
          </w:p>
          <w:p w14:paraId="20F2D301"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rPr>
              <w:t>Член 4, параграф 1, точка 114, член 63, буква б), член 66, буква а) и член 67 от Регламент (ЕС) № 575/2013.</w:t>
            </w:r>
          </w:p>
        </w:tc>
      </w:tr>
      <w:tr w:rsidR="001B665C" w:rsidRPr="009C4695" w14:paraId="6B88FB3C" w14:textId="77777777">
        <w:tc>
          <w:tcPr>
            <w:tcW w:w="1129" w:type="dxa"/>
          </w:tcPr>
          <w:p w14:paraId="68B32751"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0490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BF84C9B"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(–)Синтетични позиции в инструменти на К2</w:t>
            </w:r>
          </w:p>
          <w:p w14:paraId="3F9FABA7"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rPr>
              <w:t xml:space="preserve">Член 4, параграф 1, точка 126, член 63, буква б), член 66, </w:t>
            </w:r>
            <w:r w:rsidRPr="009C4695">
              <w:rPr>
                <w:rFonts w:ascii="Times New Roman" w:hAnsi="Times New Roman"/>
              </w:rPr>
              <w:t>буква а) и член 67 от Регламент (ЕС) № 575/2013.</w:t>
            </w:r>
          </w:p>
        </w:tc>
      </w:tr>
      <w:tr w:rsidR="001B665C" w:rsidRPr="009C4695" w14:paraId="19709F28" w14:textId="77777777">
        <w:tc>
          <w:tcPr>
            <w:tcW w:w="1129" w:type="dxa"/>
            <w:tcBorders>
              <w:bottom w:val="single" w:sz="4" w:space="0" w:color="auto"/>
            </w:tcBorders>
          </w:tcPr>
          <w:p w14:paraId="011B174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0500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7589041"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(–)Инструменти на К2 на предприятия от финансовия сектор, в които инвестиционният посредник няма значителни инвестиции</w:t>
            </w:r>
          </w:p>
          <w:p w14:paraId="6BA2CD7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9, параграф 2, буква в) от Регламент (ЕС) 2019/2033.</w:t>
            </w:r>
          </w:p>
          <w:p w14:paraId="5FB0B730"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Член 66, буква в) от Рег</w:t>
            </w:r>
            <w:r w:rsidRPr="009C4695">
              <w:rPr>
                <w:rFonts w:ascii="Times New Roman" w:hAnsi="Times New Roman"/>
                <w:bCs/>
              </w:rPr>
              <w:t>ламент (ЕС) № 575/2013.</w:t>
            </w:r>
          </w:p>
        </w:tc>
      </w:tr>
      <w:tr w:rsidR="001B665C" w:rsidRPr="009C4695" w14:paraId="3D052DAD" w14:textId="77777777">
        <w:tc>
          <w:tcPr>
            <w:tcW w:w="1129" w:type="dxa"/>
            <w:tcBorders>
              <w:top w:val="single" w:sz="4" w:space="0" w:color="auto"/>
              <w:bottom w:val="single" w:sz="4" w:space="0" w:color="auto"/>
            </w:tcBorders>
          </w:tcPr>
          <w:p w14:paraId="1096788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0510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79AB951"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(–)Инструменти на К2 на предприятия от финансовия сектор, в които инвестиционният посредник има значителни инвестиции</w:t>
            </w:r>
          </w:p>
          <w:p w14:paraId="05C4564F" w14:textId="77777777" w:rsidR="001B665C" w:rsidRPr="009C4695" w:rsidRDefault="009C4695">
            <w:pPr>
              <w:pStyle w:val="InstructionsText"/>
              <w:rPr>
                <w:rStyle w:val="FormatvorlageInstructionsTabelleText"/>
                <w:rFonts w:ascii="Times New Roman" w:hAnsi="Times New Roman"/>
                <w:sz w:val="22"/>
                <w:szCs w:val="22"/>
              </w:rPr>
            </w:pPr>
            <w:r w:rsidRPr="009C4695">
              <w:rPr>
                <w:sz w:val="22"/>
                <w:szCs w:val="22"/>
              </w:rPr>
              <w:t xml:space="preserve">Член 4, параграф 1, точка 27, член 66, буква г) и членове 68, 69 и 79 от Регламент (ЕС) </w:t>
            </w:r>
            <w:r w:rsidRPr="009C4695">
              <w:rPr>
                <w:sz w:val="22"/>
                <w:szCs w:val="22"/>
              </w:rPr>
              <w:t>№ 575/2013.</w:t>
            </w:r>
          </w:p>
          <w:p w14:paraId="582FCE2B"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rPr>
              <w:t>Държани от институцията инструменти на К2 на предприятия от финансовия сектор (съгласно определението в член 4, параграф 1, точка 27 от Регламент (ЕС) № 575/2013), в които инвестиционният посредник има значителни инвестиции, се приспадат изцяло</w:t>
            </w:r>
            <w:r w:rsidRPr="009C4695">
              <w:rPr>
                <w:rFonts w:ascii="Times New Roman" w:hAnsi="Times New Roman"/>
              </w:rPr>
              <w:t xml:space="preserve">. </w:t>
            </w:r>
          </w:p>
        </w:tc>
      </w:tr>
      <w:tr w:rsidR="001B665C" w:rsidRPr="009C4695" w14:paraId="49BC921F" w14:textId="77777777">
        <w:tc>
          <w:tcPr>
            <w:tcW w:w="1129" w:type="dxa"/>
            <w:tcBorders>
              <w:top w:val="single" w:sz="4" w:space="0" w:color="auto"/>
              <w:bottom w:val="single" w:sz="4" w:space="0" w:color="auto"/>
            </w:tcBorders>
          </w:tcPr>
          <w:p w14:paraId="0AB6087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46F5CB4"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Капитал от втори ред: други елементи на капитала, приспадания и корекции</w:t>
            </w:r>
          </w:p>
          <w:p w14:paraId="3F4423F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Този ред включва сбора от следните елементи, когато е приложимо:</w:t>
            </w:r>
          </w:p>
          <w:p w14:paraId="34243B2E" w14:textId="77777777" w:rsidR="001B665C" w:rsidRPr="009C4695" w:rsidRDefault="009C4695">
            <w:pPr>
              <w:spacing w:after="120" w:line="240" w:lineRule="auto"/>
              <w:ind w:left="360" w:hanging="360"/>
              <w:jc w:val="both"/>
              <w:rPr>
                <w:rFonts w:ascii="Times New Roman" w:eastAsia="Times New Roman" w:hAnsi="Times New Roman" w:cs="Times New Roman"/>
                <w:bCs/>
              </w:rPr>
            </w:pPr>
            <w:r w:rsidRPr="009C4695">
              <w:rPr>
                <w:rFonts w:ascii="Times New Roman" w:eastAsia="Times New Roman" w:hAnsi="Times New Roman" w:cs="Times New Roman"/>
                <w:bCs/>
              </w:rPr>
              <w:t>—</w:t>
            </w:r>
            <w:r w:rsidRPr="009C4695">
              <w:rPr>
                <w:rFonts w:ascii="Times New Roman" w:eastAsia="Times New Roman" w:hAnsi="Times New Roman" w:cs="Times New Roman"/>
                <w:bCs/>
              </w:rPr>
              <w:tab/>
            </w:r>
            <w:r w:rsidRPr="009C4695">
              <w:rPr>
                <w:rFonts w:ascii="Times New Roman" w:hAnsi="Times New Roman"/>
                <w:bCs/>
              </w:rPr>
              <w:t xml:space="preserve">Преходни корекции вследствие на унаследяване на капиталови инструменти на К2 (член 483, параграфи 6 и 7 и </w:t>
            </w:r>
            <w:r w:rsidRPr="009C4695">
              <w:rPr>
                <w:rFonts w:ascii="Times New Roman" w:hAnsi="Times New Roman"/>
                <w:bCs/>
              </w:rPr>
              <w:t>членове 484, 486, 488, 490 и 491 от Регламент (ЕС) № 575/2013.</w:t>
            </w:r>
          </w:p>
          <w:p w14:paraId="6CFF30FF" w14:textId="77777777" w:rsidR="001B665C" w:rsidRPr="009C4695" w:rsidRDefault="009C4695">
            <w:pPr>
              <w:spacing w:after="120" w:line="240" w:lineRule="auto"/>
              <w:ind w:left="360" w:hanging="360"/>
              <w:jc w:val="both"/>
              <w:rPr>
                <w:rFonts w:ascii="Times New Roman" w:eastAsia="Times New Roman" w:hAnsi="Times New Roman" w:cs="Times New Roman"/>
                <w:bCs/>
              </w:rPr>
            </w:pPr>
            <w:r w:rsidRPr="009C4695">
              <w:rPr>
                <w:rFonts w:ascii="Times New Roman" w:eastAsia="Times New Roman" w:hAnsi="Times New Roman" w:cs="Times New Roman"/>
                <w:bCs/>
              </w:rPr>
              <w:t>—</w:t>
            </w:r>
            <w:r w:rsidRPr="009C4695">
              <w:rPr>
                <w:rFonts w:ascii="Times New Roman" w:eastAsia="Times New Roman" w:hAnsi="Times New Roman" w:cs="Times New Roman"/>
                <w:bCs/>
              </w:rPr>
              <w:tab/>
            </w:r>
            <w:r w:rsidRPr="009C4695">
              <w:rPr>
                <w:rFonts w:ascii="Times New Roman" w:hAnsi="Times New Roman"/>
                <w:bCs/>
              </w:rPr>
              <w:t>Инструменти, емитирани от дъщерни предприятия, които са признати в К2 (членове 83, 87 и 88 от Регламент (ЕС) № 575/2013): Сборът от всички суми на квалифицирания собствен капитал на дъщерните</w:t>
            </w:r>
            <w:r w:rsidRPr="009C4695">
              <w:rPr>
                <w:rFonts w:ascii="Times New Roman" w:hAnsi="Times New Roman"/>
                <w:bCs/>
              </w:rPr>
              <w:t xml:space="preserve"> предприятия, включени в консолидирания К2, включително квалифицирания капитал от втори ред, емитиран от дружество със специална цел (член 83 от Регламент (ЕС) № 575/2013).</w:t>
            </w:r>
          </w:p>
          <w:p w14:paraId="150785F3" w14:textId="77777777" w:rsidR="001B665C" w:rsidRPr="009C4695" w:rsidRDefault="009C4695">
            <w:pPr>
              <w:spacing w:after="120" w:line="240" w:lineRule="auto"/>
              <w:ind w:left="360" w:hanging="360"/>
              <w:jc w:val="both"/>
              <w:rPr>
                <w:rFonts w:ascii="Times New Roman" w:eastAsia="Times New Roman" w:hAnsi="Times New Roman" w:cs="Times New Roman"/>
                <w:bCs/>
              </w:rPr>
            </w:pPr>
            <w:r w:rsidRPr="009C4695">
              <w:rPr>
                <w:rFonts w:ascii="Times New Roman" w:eastAsia="Times New Roman" w:hAnsi="Times New Roman" w:cs="Times New Roman"/>
                <w:bCs/>
              </w:rPr>
              <w:t>—</w:t>
            </w:r>
            <w:r w:rsidRPr="009C4695">
              <w:rPr>
                <w:rFonts w:ascii="Times New Roman" w:eastAsia="Times New Roman" w:hAnsi="Times New Roman" w:cs="Times New Roman"/>
                <w:bCs/>
              </w:rPr>
              <w:tab/>
            </w:r>
            <w:r w:rsidRPr="009C4695">
              <w:rPr>
                <w:rFonts w:ascii="Times New Roman" w:hAnsi="Times New Roman"/>
                <w:bCs/>
              </w:rPr>
              <w:t>Преходни корекции вследствие на допълнително признаване в К2 на инструменти, емит</w:t>
            </w:r>
            <w:r w:rsidRPr="009C4695">
              <w:rPr>
                <w:rFonts w:ascii="Times New Roman" w:hAnsi="Times New Roman"/>
                <w:bCs/>
              </w:rPr>
              <w:t>ирани от дъщерни предприятия (член 480 от Регламент (ЕС) № 575/2013): Корекции на квалифицирания собствен капитал, включен в консолидирания К2 вследствие на преходни разпоредби.</w:t>
            </w:r>
          </w:p>
          <w:p w14:paraId="5CAA708D" w14:textId="77777777" w:rsidR="001B665C" w:rsidRPr="009C4695" w:rsidRDefault="009C4695">
            <w:pPr>
              <w:spacing w:after="120" w:line="240" w:lineRule="auto"/>
              <w:ind w:left="360" w:hanging="360"/>
              <w:jc w:val="both"/>
              <w:rPr>
                <w:rFonts w:ascii="Times New Roman" w:eastAsia="Times New Roman" w:hAnsi="Times New Roman" w:cs="Times New Roman"/>
                <w:bCs/>
              </w:rPr>
            </w:pPr>
            <w:r w:rsidRPr="009C4695">
              <w:rPr>
                <w:rFonts w:ascii="Times New Roman" w:eastAsia="Times New Roman" w:hAnsi="Times New Roman" w:cs="Times New Roman"/>
                <w:bCs/>
              </w:rPr>
              <w:t>—</w:t>
            </w:r>
            <w:r w:rsidRPr="009C4695">
              <w:rPr>
                <w:rFonts w:ascii="Times New Roman" w:eastAsia="Times New Roman" w:hAnsi="Times New Roman" w:cs="Times New Roman"/>
                <w:bCs/>
              </w:rPr>
              <w:tab/>
            </w:r>
            <w:r w:rsidRPr="009C4695">
              <w:rPr>
                <w:rFonts w:ascii="Times New Roman" w:hAnsi="Times New Roman"/>
                <w:bCs/>
              </w:rPr>
              <w:t xml:space="preserve">Други преходни корекции на К2 (членове 472, 473а, 476, 477, 478 и 481 от </w:t>
            </w:r>
            <w:r w:rsidRPr="009C4695">
              <w:rPr>
                <w:rFonts w:ascii="Times New Roman" w:hAnsi="Times New Roman"/>
                <w:bCs/>
              </w:rPr>
              <w:t>Регламент (ЕС) № 575/2013): Корекции на приспаданията от капитала от втори ред вследствие на преходни разпоредби.</w:t>
            </w:r>
          </w:p>
          <w:p w14:paraId="11ACB0AF" w14:textId="77777777" w:rsidR="001B665C" w:rsidRPr="009C4695" w:rsidRDefault="009C4695">
            <w:pPr>
              <w:spacing w:after="120" w:line="240" w:lineRule="auto"/>
              <w:ind w:left="360" w:hanging="360"/>
              <w:jc w:val="both"/>
              <w:rPr>
                <w:rFonts w:ascii="Times New Roman" w:eastAsia="Times New Roman" w:hAnsi="Times New Roman" w:cs="Times New Roman"/>
                <w:bCs/>
              </w:rPr>
            </w:pPr>
            <w:r w:rsidRPr="009C4695">
              <w:rPr>
                <w:rFonts w:ascii="Times New Roman" w:eastAsia="Times New Roman" w:hAnsi="Times New Roman" w:cs="Times New Roman"/>
                <w:bCs/>
              </w:rPr>
              <w:t>—</w:t>
            </w:r>
            <w:r w:rsidRPr="009C4695">
              <w:rPr>
                <w:rFonts w:ascii="Times New Roman" w:eastAsia="Times New Roman" w:hAnsi="Times New Roman" w:cs="Times New Roman"/>
                <w:bCs/>
              </w:rPr>
              <w:tab/>
            </w:r>
            <w:r w:rsidRPr="009C4695">
              <w:rPr>
                <w:rFonts w:ascii="Times New Roman" w:hAnsi="Times New Roman"/>
                <w:bCs/>
              </w:rPr>
              <w:t xml:space="preserve">Превишение на приспаданията от елементите на К2 над К2, приспаднато от ДК1 в съответствие с член 56, буква д) от Регламент (ЕС) № 575/2013: </w:t>
            </w:r>
            <w:r w:rsidRPr="009C4695">
              <w:rPr>
                <w:rFonts w:ascii="Times New Roman" w:hAnsi="Times New Roman"/>
                <w:bCs/>
              </w:rPr>
              <w:t xml:space="preserve">Капиталът от втори ред не може да бъде отрицателен, но е възможно приспаданията от елементите на К2 да превишават размера на наличните елементи на К2. Ако случаят е такъв, тази позиция представлява сумата, с която докладваната в ред 0420 сума трябва да се </w:t>
            </w:r>
            <w:r w:rsidRPr="009C4695">
              <w:rPr>
                <w:rFonts w:ascii="Times New Roman" w:hAnsi="Times New Roman"/>
                <w:bCs/>
              </w:rPr>
              <w:t>увеличи до нула.</w:t>
            </w:r>
          </w:p>
          <w:p w14:paraId="2902ECC9" w14:textId="77777777" w:rsidR="001B665C" w:rsidRPr="009C4695" w:rsidRDefault="009C4695">
            <w:pPr>
              <w:spacing w:after="120" w:line="240" w:lineRule="auto"/>
              <w:ind w:left="360" w:hanging="360"/>
              <w:jc w:val="both"/>
              <w:rPr>
                <w:rFonts w:ascii="Times New Roman" w:eastAsia="Times New Roman" w:hAnsi="Times New Roman" w:cs="Times New Roman"/>
                <w:bCs/>
              </w:rPr>
            </w:pPr>
            <w:r w:rsidRPr="009C4695">
              <w:rPr>
                <w:rFonts w:ascii="Times New Roman" w:eastAsia="Times New Roman" w:hAnsi="Times New Roman" w:cs="Times New Roman"/>
                <w:bCs/>
              </w:rPr>
              <w:t>—</w:t>
            </w:r>
            <w:r w:rsidRPr="009C4695">
              <w:rPr>
                <w:rFonts w:ascii="Times New Roman" w:eastAsia="Times New Roman" w:hAnsi="Times New Roman" w:cs="Times New Roman"/>
                <w:bCs/>
              </w:rPr>
              <w:tab/>
            </w:r>
            <w:r w:rsidRPr="009C4695">
              <w:rPr>
                <w:rFonts w:ascii="Times New Roman" w:hAnsi="Times New Roman"/>
                <w:bCs/>
              </w:rPr>
              <w:t>Други елементи на К2 или приспадания от елемент на К2, които не може да бъдат отнесени към редове 0430—0510.</w:t>
            </w:r>
          </w:p>
          <w:p w14:paraId="7042B23C"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 xml:space="preserve">Този ред не се използва с цел включване на елементи на капитала или приспадания от капитала, които не са обхванати от Регламент </w:t>
            </w:r>
            <w:r w:rsidRPr="009C4695">
              <w:rPr>
                <w:rFonts w:ascii="Times New Roman" w:hAnsi="Times New Roman"/>
                <w:bCs/>
              </w:rPr>
              <w:t>(ЕС) 2019/2033 или Регламент (ЕС) № 575/2013, в изчисляването на коефициентите на платежоспособност.</w:t>
            </w:r>
          </w:p>
        </w:tc>
      </w:tr>
    </w:tbl>
    <w:p w14:paraId="623E7F82" w14:textId="77777777" w:rsidR="001B665C" w:rsidRPr="009C4695" w:rsidRDefault="001B665C">
      <w:pPr>
        <w:keepNext/>
        <w:spacing w:before="240" w:after="240" w:line="240" w:lineRule="auto"/>
        <w:jc w:val="both"/>
        <w:outlineLvl w:val="1"/>
        <w:rPr>
          <w:rFonts w:ascii="Times New Roman" w:eastAsia="Arial" w:hAnsi="Times New Roman" w:cs="Times New Roman"/>
          <w:sz w:val="24"/>
          <w:szCs w:val="24"/>
        </w:rPr>
      </w:pPr>
    </w:p>
    <w:p w14:paraId="12AE8CAD" w14:textId="77777777" w:rsidR="001B665C" w:rsidRPr="009C4695" w:rsidRDefault="009C469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9" w:name="_Toc88218311"/>
      <w:r w:rsidRPr="009C4695">
        <w:rPr>
          <w:rFonts w:ascii="Times New Roman" w:hAnsi="Times New Roman"/>
          <w:sz w:val="24"/>
          <w:szCs w:val="24"/>
          <w:u w:val="single"/>
        </w:rPr>
        <w:t>1.3.</w:t>
      </w:r>
      <w:r w:rsidRPr="009C4695">
        <w:rPr>
          <w:rFonts w:ascii="Times New Roman" w:hAnsi="Times New Roman"/>
          <w:sz w:val="24"/>
          <w:szCs w:val="24"/>
          <w:u w:val="single"/>
        </w:rPr>
        <w:t xml:space="preserve"> I </w:t>
      </w:r>
      <w:r w:rsidRPr="009C4695">
        <w:rPr>
          <w:rFonts w:ascii="Times New Roman" w:hAnsi="Times New Roman"/>
          <w:sz w:val="24"/>
          <w:szCs w:val="24"/>
          <w:u w:val="single"/>
        </w:rPr>
        <w:t>02.01</w:t>
      </w:r>
      <w:r w:rsidRPr="009C4695">
        <w:rPr>
          <w:rFonts w:ascii="Times New Roman" w:hAnsi="Times New Roman"/>
          <w:sz w:val="24"/>
          <w:szCs w:val="24"/>
          <w:u w:val="single"/>
        </w:rPr>
        <w:t xml:space="preserve"> — КАПИТАЛОВИ ИЗИСКВАНИЯ (I </w:t>
      </w:r>
      <w:r w:rsidRPr="009C4695">
        <w:rPr>
          <w:rFonts w:ascii="Times New Roman" w:hAnsi="Times New Roman"/>
          <w:sz w:val="24"/>
          <w:szCs w:val="24"/>
          <w:u w:val="single"/>
        </w:rPr>
        <w:t>2.1</w:t>
      </w:r>
      <w:r w:rsidRPr="009C4695">
        <w:rPr>
          <w:rFonts w:ascii="Times New Roman" w:hAnsi="Times New Roman"/>
          <w:sz w:val="24"/>
          <w:szCs w:val="24"/>
          <w:u w:val="single"/>
        </w:rPr>
        <w:t>)</w:t>
      </w:r>
      <w:bookmarkEnd w:id="29"/>
    </w:p>
    <w:p w14:paraId="4D577248" w14:textId="77777777" w:rsidR="001B665C" w:rsidRPr="009C4695" w:rsidRDefault="009C469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0" w:name="_Toc88218312"/>
      <w:r w:rsidRPr="009C4695">
        <w:rPr>
          <w:rFonts w:ascii="Times New Roman" w:hAnsi="Times New Roman"/>
          <w:sz w:val="24"/>
          <w:szCs w:val="24"/>
        </w:rPr>
        <w:t>1.3.1.</w:t>
      </w:r>
      <w:r w:rsidRPr="009C4695">
        <w:rPr>
          <w:rFonts w:ascii="Times New Roman" w:hAnsi="Times New Roman"/>
          <w:sz w:val="24"/>
          <w:szCs w:val="24"/>
        </w:rPr>
        <w:tab/>
      </w:r>
      <w:r w:rsidRPr="009C4695">
        <w:rPr>
          <w:rFonts w:ascii="Times New Roman" w:hAnsi="Times New Roman"/>
          <w:sz w:val="24"/>
          <w:szCs w:val="24"/>
          <w:u w:val="single"/>
        </w:rPr>
        <w:t>Указания относно определени позиции</w:t>
      </w:r>
      <w:bookmarkEnd w:id="3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665C" w:rsidRPr="009C4695" w14:paraId="547A860D" w14:textId="77777777">
        <w:tc>
          <w:tcPr>
            <w:tcW w:w="1129" w:type="dxa"/>
            <w:shd w:val="clear" w:color="auto" w:fill="D9D9D9"/>
          </w:tcPr>
          <w:p w14:paraId="2EC81F28"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color w:val="000000" w:themeColor="text1"/>
              </w:rPr>
              <w:t>Ред</w:t>
            </w:r>
          </w:p>
        </w:tc>
        <w:tc>
          <w:tcPr>
            <w:tcW w:w="7620" w:type="dxa"/>
            <w:shd w:val="clear" w:color="auto" w:fill="D9D9D9"/>
          </w:tcPr>
          <w:p w14:paraId="4E6003B1"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color w:val="000000" w:themeColor="text1"/>
              </w:rPr>
              <w:t>Препратки към законодателни актове и указания</w:t>
            </w:r>
          </w:p>
        </w:tc>
      </w:tr>
      <w:tr w:rsidR="001B665C" w:rsidRPr="009C4695" w14:paraId="2F6B4980" w14:textId="77777777">
        <w:tc>
          <w:tcPr>
            <w:tcW w:w="1129" w:type="dxa"/>
          </w:tcPr>
          <w:p w14:paraId="7B757803"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0010</w:t>
            </w:r>
          </w:p>
        </w:tc>
        <w:tc>
          <w:tcPr>
            <w:tcW w:w="7620" w:type="dxa"/>
          </w:tcPr>
          <w:p w14:paraId="6489FC61"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Капиталово изискване</w:t>
            </w:r>
          </w:p>
          <w:p w14:paraId="1CA407A8"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Член 11, параграф 1 от Регламент (ЕС) 2019/2033.</w:t>
            </w:r>
          </w:p>
          <w:p w14:paraId="5BC67984" w14:textId="77777777" w:rsidR="001B665C" w:rsidRPr="009C4695" w:rsidRDefault="009C4695">
            <w:pPr>
              <w:spacing w:after="120" w:line="240" w:lineRule="auto"/>
              <w:jc w:val="both"/>
              <w:rPr>
                <w:rFonts w:ascii="Times New Roman" w:eastAsia="Times New Roman" w:hAnsi="Times New Roman" w:cs="Times New Roman"/>
                <w:bCs/>
                <w:i/>
                <w:color w:val="000000" w:themeColor="text1"/>
              </w:rPr>
            </w:pPr>
            <w:r w:rsidRPr="009C4695">
              <w:rPr>
                <w:rFonts w:ascii="Times New Roman" w:hAnsi="Times New Roman"/>
                <w:bCs/>
              </w:rPr>
              <w:t>Стойността се докладва, без да се прилага член 57, параграфи 3, 4 или 6 от Регламент (ЕС) 2019/2033.</w:t>
            </w:r>
          </w:p>
          <w:p w14:paraId="6830B3B6"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Докладваната в този ред стойност е максималната стойност, докладвана в редове 0020, 0</w:t>
            </w:r>
            <w:r w:rsidRPr="009C4695">
              <w:rPr>
                <w:rFonts w:ascii="Times New Roman" w:hAnsi="Times New Roman"/>
                <w:bCs/>
                <w:color w:val="000000" w:themeColor="text1"/>
              </w:rPr>
              <w:t>030 и 0040.</w:t>
            </w:r>
          </w:p>
        </w:tc>
      </w:tr>
      <w:tr w:rsidR="001B665C" w:rsidRPr="009C4695" w14:paraId="03D76DB2" w14:textId="77777777">
        <w:tc>
          <w:tcPr>
            <w:tcW w:w="1129" w:type="dxa"/>
          </w:tcPr>
          <w:p w14:paraId="41EF7B0F"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0020</w:t>
            </w:r>
          </w:p>
        </w:tc>
        <w:tc>
          <w:tcPr>
            <w:tcW w:w="7620" w:type="dxa"/>
          </w:tcPr>
          <w:p w14:paraId="1B50B3D6"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Изискване за постоянен минимален капитал</w:t>
            </w:r>
          </w:p>
          <w:p w14:paraId="020FD3DD"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Член 14 от Регламент (ЕС) 2019/2033</w:t>
            </w:r>
          </w:p>
          <w:p w14:paraId="343F84D3"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Cs/>
              </w:rPr>
              <w:t>Стойността се докладва, без да се прилага член 57, параграфи 3, 4 или 6 от Регламент (ЕС) 2019/2033.</w:t>
            </w:r>
          </w:p>
        </w:tc>
      </w:tr>
      <w:tr w:rsidR="001B665C" w:rsidRPr="009C4695" w14:paraId="54626296" w14:textId="77777777">
        <w:tc>
          <w:tcPr>
            <w:tcW w:w="1129" w:type="dxa"/>
          </w:tcPr>
          <w:p w14:paraId="7A980460"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0030</w:t>
            </w:r>
          </w:p>
        </w:tc>
        <w:tc>
          <w:tcPr>
            <w:tcW w:w="7620" w:type="dxa"/>
          </w:tcPr>
          <w:p w14:paraId="34ECD85A"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Изискване за постоянните общи разходи</w:t>
            </w:r>
          </w:p>
          <w:p w14:paraId="7D34C9BC"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 xml:space="preserve">Член 13 от </w:t>
            </w:r>
            <w:r w:rsidRPr="009C4695">
              <w:rPr>
                <w:rFonts w:ascii="Times New Roman" w:hAnsi="Times New Roman"/>
                <w:bCs/>
                <w:color w:val="000000" w:themeColor="text1"/>
              </w:rPr>
              <w:t>Регламент (ЕС) 2019/2033.</w:t>
            </w:r>
          </w:p>
          <w:p w14:paraId="6D2C37B7"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Cs/>
              </w:rPr>
              <w:t>Стойността се докладва, без да се прилага член 57, параграфи 3, 4 или 6 от Регламент (ЕС) 2019/2033.</w:t>
            </w:r>
          </w:p>
        </w:tc>
      </w:tr>
      <w:tr w:rsidR="001B665C" w:rsidRPr="009C4695" w14:paraId="740387BF" w14:textId="77777777">
        <w:tc>
          <w:tcPr>
            <w:tcW w:w="1129" w:type="dxa"/>
          </w:tcPr>
          <w:p w14:paraId="5D6CFF1D"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0040</w:t>
            </w:r>
          </w:p>
        </w:tc>
        <w:tc>
          <w:tcPr>
            <w:tcW w:w="7620" w:type="dxa"/>
          </w:tcPr>
          <w:p w14:paraId="3983E795"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Общо изискване въз основа на К-факторите</w:t>
            </w:r>
          </w:p>
          <w:p w14:paraId="14581620"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Член 15 от Регламент (ЕС) 2019/2033.</w:t>
            </w:r>
          </w:p>
          <w:p w14:paraId="125578AF"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Cs/>
              </w:rPr>
              <w:t>Стойността се докладва, без да се прилага чле</w:t>
            </w:r>
            <w:r w:rsidRPr="009C4695">
              <w:rPr>
                <w:rFonts w:ascii="Times New Roman" w:hAnsi="Times New Roman"/>
                <w:bCs/>
              </w:rPr>
              <w:t>н 57, параграфи 3, 4 или 6 от Регламент (ЕС) 2019/2033.</w:t>
            </w:r>
          </w:p>
        </w:tc>
      </w:tr>
      <w:tr w:rsidR="001B665C" w:rsidRPr="009C4695" w14:paraId="16A903E6" w14:textId="77777777">
        <w:tc>
          <w:tcPr>
            <w:tcW w:w="1129" w:type="dxa"/>
          </w:tcPr>
          <w:p w14:paraId="467B90BD"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0050—0100</w:t>
            </w:r>
          </w:p>
        </w:tc>
        <w:tc>
          <w:tcPr>
            <w:tcW w:w="7620" w:type="dxa"/>
          </w:tcPr>
          <w:p w14:paraId="0D6C814C"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Преходни капиталови изисквания</w:t>
            </w:r>
          </w:p>
        </w:tc>
      </w:tr>
      <w:tr w:rsidR="001B665C" w:rsidRPr="009C4695" w14:paraId="2EC9F185" w14:textId="77777777">
        <w:tc>
          <w:tcPr>
            <w:tcW w:w="1129" w:type="dxa"/>
          </w:tcPr>
          <w:p w14:paraId="6D074660"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0050</w:t>
            </w:r>
          </w:p>
        </w:tc>
        <w:tc>
          <w:tcPr>
            <w:tcW w:w="7620" w:type="dxa"/>
          </w:tcPr>
          <w:p w14:paraId="4B23B714"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Преходно капиталово изискване въз основа на капиталовите изисквания съгласно Регламент (ЕС) № 575/2013</w:t>
            </w:r>
          </w:p>
          <w:p w14:paraId="34334AD1"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Cs/>
              </w:rPr>
              <w:t xml:space="preserve">Член 57, параграф 3, буква а) от </w:t>
            </w:r>
            <w:r w:rsidRPr="009C4695">
              <w:rPr>
                <w:rFonts w:ascii="Times New Roman" w:hAnsi="Times New Roman"/>
                <w:bCs/>
              </w:rPr>
              <w:t>Регламент (ЕС) 2019/2033.</w:t>
            </w:r>
          </w:p>
        </w:tc>
      </w:tr>
      <w:tr w:rsidR="001B665C" w:rsidRPr="009C4695" w14:paraId="56763DAD" w14:textId="77777777">
        <w:tc>
          <w:tcPr>
            <w:tcW w:w="1129" w:type="dxa"/>
          </w:tcPr>
          <w:p w14:paraId="14433AA2"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0060</w:t>
            </w:r>
          </w:p>
        </w:tc>
        <w:tc>
          <w:tcPr>
            <w:tcW w:w="7620" w:type="dxa"/>
          </w:tcPr>
          <w:p w14:paraId="722D1EFB"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Преходно изискване въз основа на изискването за постоянните общи разходи</w:t>
            </w:r>
          </w:p>
          <w:p w14:paraId="480A83FC"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Cs/>
              </w:rPr>
              <w:t>Член 57, параграф 3, буква б) от Регламент (ЕС) 2019/2033.</w:t>
            </w:r>
          </w:p>
        </w:tc>
      </w:tr>
      <w:tr w:rsidR="001B665C" w:rsidRPr="009C4695" w14:paraId="01B13A48" w14:textId="77777777">
        <w:tc>
          <w:tcPr>
            <w:tcW w:w="1129" w:type="dxa"/>
          </w:tcPr>
          <w:p w14:paraId="1128FB9A"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0070</w:t>
            </w:r>
          </w:p>
        </w:tc>
        <w:tc>
          <w:tcPr>
            <w:tcW w:w="7620" w:type="dxa"/>
          </w:tcPr>
          <w:p w14:paraId="6C49100B"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 xml:space="preserve">Преходно изискване за инвестиционните посредници, които преди това са били обект само </w:t>
            </w:r>
            <w:r w:rsidRPr="009C4695">
              <w:rPr>
                <w:rFonts w:ascii="Times New Roman" w:hAnsi="Times New Roman"/>
                <w:b/>
                <w:bCs/>
                <w:color w:val="000000" w:themeColor="text1"/>
                <w:u w:val="single"/>
              </w:rPr>
              <w:t>на изискване за начален капитал</w:t>
            </w:r>
          </w:p>
          <w:p w14:paraId="49F972AD"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Cs/>
              </w:rPr>
              <w:t>Член 57, параграф 4, буква а) от Регламент (ЕС) 2019/2033.</w:t>
            </w:r>
          </w:p>
        </w:tc>
      </w:tr>
      <w:tr w:rsidR="001B665C" w:rsidRPr="009C4695" w14:paraId="0E71A9E8" w14:textId="77777777">
        <w:tc>
          <w:tcPr>
            <w:tcW w:w="1129" w:type="dxa"/>
          </w:tcPr>
          <w:p w14:paraId="0715910F"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0080</w:t>
            </w:r>
          </w:p>
        </w:tc>
        <w:tc>
          <w:tcPr>
            <w:tcW w:w="7620" w:type="dxa"/>
          </w:tcPr>
          <w:p w14:paraId="616AA911"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Преходно изискване въз основа на изискването за начален капитал при издаването на лиценз</w:t>
            </w:r>
          </w:p>
          <w:p w14:paraId="53E4DFFC"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Cs/>
              </w:rPr>
              <w:t>Член 57, параграф 4, буква б) от Регламент (ЕС) 2019/2033.</w:t>
            </w:r>
          </w:p>
        </w:tc>
      </w:tr>
      <w:tr w:rsidR="001B665C" w:rsidRPr="009C4695" w14:paraId="724AEC62" w14:textId="77777777">
        <w:tc>
          <w:tcPr>
            <w:tcW w:w="1129" w:type="dxa"/>
          </w:tcPr>
          <w:p w14:paraId="398FD737"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0090</w:t>
            </w:r>
          </w:p>
        </w:tc>
        <w:tc>
          <w:tcPr>
            <w:tcW w:w="7620" w:type="dxa"/>
          </w:tcPr>
          <w:p w14:paraId="5E4019B8"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Преходно изискване за инвестиционните посредници, които нямат лиценз за предоставяне на определени услуги</w:t>
            </w:r>
          </w:p>
          <w:p w14:paraId="5C277F49"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rPr>
              <w:t>Член 57, параграф 4, буква в) от Регламент (ЕС) 2019/2033.</w:t>
            </w:r>
          </w:p>
        </w:tc>
      </w:tr>
      <w:tr w:rsidR="001B665C" w:rsidRPr="009C4695" w14:paraId="269B94E7" w14:textId="77777777">
        <w:tc>
          <w:tcPr>
            <w:tcW w:w="1129" w:type="dxa"/>
          </w:tcPr>
          <w:p w14:paraId="3F5B55C6"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0100</w:t>
            </w:r>
          </w:p>
        </w:tc>
        <w:tc>
          <w:tcPr>
            <w:tcW w:w="7620" w:type="dxa"/>
          </w:tcPr>
          <w:p w14:paraId="2DF6759B"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Преходно изискване в размер на най-малко 250 000 EUR</w:t>
            </w:r>
          </w:p>
          <w:p w14:paraId="630A8BA1"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Cs/>
              </w:rPr>
              <w:t xml:space="preserve">Член 57, параграф 6 от </w:t>
            </w:r>
            <w:r w:rsidRPr="009C4695">
              <w:rPr>
                <w:rFonts w:ascii="Times New Roman" w:hAnsi="Times New Roman"/>
                <w:bCs/>
              </w:rPr>
              <w:t>Регламент (ЕС) 2019/2033.</w:t>
            </w:r>
          </w:p>
        </w:tc>
      </w:tr>
      <w:tr w:rsidR="001B665C" w:rsidRPr="009C4695" w14:paraId="3BEF84DC" w14:textId="77777777">
        <w:tc>
          <w:tcPr>
            <w:tcW w:w="1129" w:type="dxa"/>
          </w:tcPr>
          <w:p w14:paraId="39AC2D99"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0110—0130</w:t>
            </w:r>
          </w:p>
        </w:tc>
        <w:tc>
          <w:tcPr>
            <w:tcW w:w="7620" w:type="dxa"/>
          </w:tcPr>
          <w:p w14:paraId="1D5E0B98"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Поясняващи позиции</w:t>
            </w:r>
          </w:p>
        </w:tc>
      </w:tr>
      <w:tr w:rsidR="001B665C" w:rsidRPr="009C4695" w14:paraId="207C1BA3" w14:textId="77777777">
        <w:tc>
          <w:tcPr>
            <w:tcW w:w="1129" w:type="dxa"/>
            <w:tcBorders>
              <w:top w:val="single" w:sz="4" w:space="0" w:color="auto"/>
              <w:left w:val="single" w:sz="4" w:space="0" w:color="auto"/>
              <w:bottom w:val="single" w:sz="4" w:space="0" w:color="auto"/>
              <w:right w:val="single" w:sz="4" w:space="0" w:color="auto"/>
            </w:tcBorders>
          </w:tcPr>
          <w:p w14:paraId="6EC8C010"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0110</w:t>
            </w:r>
          </w:p>
        </w:tc>
        <w:tc>
          <w:tcPr>
            <w:tcW w:w="7620" w:type="dxa"/>
            <w:tcBorders>
              <w:top w:val="single" w:sz="4" w:space="0" w:color="auto"/>
              <w:left w:val="single" w:sz="4" w:space="0" w:color="auto"/>
              <w:bottom w:val="single" w:sz="4" w:space="0" w:color="auto"/>
              <w:right w:val="single" w:sz="4" w:space="0" w:color="auto"/>
            </w:tcBorders>
          </w:tcPr>
          <w:p w14:paraId="267D2558"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Допълнително капиталово изискване</w:t>
            </w:r>
          </w:p>
          <w:p w14:paraId="2A0E5A71"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Член 40 от Директива (ЕС) 2019/2034.</w:t>
            </w:r>
          </w:p>
          <w:p w14:paraId="03B060BE"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Cs/>
                <w:color w:val="000000" w:themeColor="text1"/>
              </w:rPr>
              <w:t>Допълнително капиталово изискване съгласно ПНПО</w:t>
            </w:r>
          </w:p>
        </w:tc>
      </w:tr>
      <w:tr w:rsidR="001B665C" w:rsidRPr="009C4695" w14:paraId="2912529B" w14:textId="77777777">
        <w:tc>
          <w:tcPr>
            <w:tcW w:w="1129" w:type="dxa"/>
            <w:tcBorders>
              <w:top w:val="single" w:sz="4" w:space="0" w:color="auto"/>
              <w:left w:val="single" w:sz="4" w:space="0" w:color="auto"/>
              <w:bottom w:val="single" w:sz="4" w:space="0" w:color="auto"/>
              <w:right w:val="single" w:sz="4" w:space="0" w:color="auto"/>
            </w:tcBorders>
          </w:tcPr>
          <w:p w14:paraId="543D020C"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0120</w:t>
            </w:r>
          </w:p>
        </w:tc>
        <w:tc>
          <w:tcPr>
            <w:tcW w:w="7620" w:type="dxa"/>
            <w:tcBorders>
              <w:top w:val="single" w:sz="4" w:space="0" w:color="auto"/>
              <w:left w:val="single" w:sz="4" w:space="0" w:color="auto"/>
              <w:bottom w:val="single" w:sz="4" w:space="0" w:color="auto"/>
              <w:right w:val="single" w:sz="4" w:space="0" w:color="auto"/>
            </w:tcBorders>
          </w:tcPr>
          <w:p w14:paraId="43846B4A"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Препоръка за допълнителен собствен капитал</w:t>
            </w:r>
          </w:p>
          <w:p w14:paraId="4A14C30F"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rPr>
              <w:t xml:space="preserve">Член 41 от </w:t>
            </w:r>
            <w:r w:rsidRPr="009C4695">
              <w:rPr>
                <w:rFonts w:ascii="Times New Roman" w:hAnsi="Times New Roman"/>
                <w:bCs/>
              </w:rPr>
              <w:t>Директива (ЕС) 2019/2034.</w:t>
            </w:r>
          </w:p>
          <w:p w14:paraId="198BF3BD"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Cs/>
                <w:color w:val="000000" w:themeColor="text1"/>
              </w:rPr>
              <w:t>Допълнителен собствен капитал, изискван като препоръка.</w:t>
            </w:r>
          </w:p>
        </w:tc>
      </w:tr>
      <w:tr w:rsidR="001B665C" w:rsidRPr="009C4695" w14:paraId="670BC735" w14:textId="77777777">
        <w:tc>
          <w:tcPr>
            <w:tcW w:w="1129" w:type="dxa"/>
            <w:tcBorders>
              <w:top w:val="single" w:sz="4" w:space="0" w:color="auto"/>
              <w:left w:val="single" w:sz="4" w:space="0" w:color="auto"/>
              <w:bottom w:val="single" w:sz="4" w:space="0" w:color="auto"/>
              <w:right w:val="single" w:sz="4" w:space="0" w:color="auto"/>
            </w:tcBorders>
          </w:tcPr>
          <w:p w14:paraId="3EF7DFF2"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0130</w:t>
            </w:r>
          </w:p>
        </w:tc>
        <w:tc>
          <w:tcPr>
            <w:tcW w:w="7620" w:type="dxa"/>
            <w:tcBorders>
              <w:top w:val="single" w:sz="4" w:space="0" w:color="auto"/>
              <w:left w:val="single" w:sz="4" w:space="0" w:color="auto"/>
              <w:bottom w:val="single" w:sz="4" w:space="0" w:color="auto"/>
              <w:right w:val="single" w:sz="4" w:space="0" w:color="auto"/>
            </w:tcBorders>
          </w:tcPr>
          <w:p w14:paraId="4657265F"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Общо капиталови изисквания</w:t>
            </w:r>
          </w:p>
          <w:p w14:paraId="1867F417"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Cs/>
                <w:color w:val="000000" w:themeColor="text1"/>
              </w:rPr>
              <w:t>Общият размер на капиталовите изисквания за даден инвестиционен посредник се състои от сбора от неговите капиталови изисквания, приложими към</w:t>
            </w:r>
            <w:r w:rsidRPr="009C4695">
              <w:rPr>
                <w:rFonts w:ascii="Times New Roman" w:hAnsi="Times New Roman"/>
                <w:bCs/>
                <w:color w:val="000000" w:themeColor="text1"/>
              </w:rPr>
              <w:t xml:space="preserve"> референтната дата, допълнителното капиталово изискване, докладвано в ред 0110, и препоръката за допълнителен собствен капитал, докладвана в ред 0120.</w:t>
            </w:r>
          </w:p>
        </w:tc>
      </w:tr>
    </w:tbl>
    <w:p w14:paraId="49E62694" w14:textId="77777777" w:rsidR="001B665C" w:rsidRPr="009C4695" w:rsidRDefault="009C469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1" w:name="_Toc88218313"/>
      <w:r w:rsidRPr="009C4695">
        <w:rPr>
          <w:rFonts w:ascii="Times New Roman" w:hAnsi="Times New Roman"/>
          <w:sz w:val="24"/>
          <w:szCs w:val="24"/>
          <w:u w:val="single"/>
        </w:rPr>
        <w:t>1.4.</w:t>
      </w:r>
      <w:r w:rsidRPr="009C4695">
        <w:rPr>
          <w:rFonts w:ascii="Times New Roman" w:hAnsi="Times New Roman"/>
          <w:sz w:val="24"/>
          <w:szCs w:val="24"/>
          <w:u w:val="single"/>
        </w:rPr>
        <w:t xml:space="preserve"> I </w:t>
      </w:r>
      <w:r w:rsidRPr="009C4695">
        <w:rPr>
          <w:rFonts w:ascii="Times New Roman" w:hAnsi="Times New Roman"/>
          <w:sz w:val="24"/>
          <w:szCs w:val="24"/>
          <w:u w:val="single"/>
        </w:rPr>
        <w:t>02.02</w:t>
      </w:r>
      <w:r w:rsidRPr="009C4695">
        <w:rPr>
          <w:rFonts w:ascii="Times New Roman" w:hAnsi="Times New Roman"/>
          <w:sz w:val="24"/>
          <w:szCs w:val="24"/>
          <w:u w:val="single"/>
        </w:rPr>
        <w:t xml:space="preserve"> — КАПИТАЛОВИ СЪОТНОШЕНИЯ (I </w:t>
      </w:r>
      <w:r w:rsidRPr="009C4695">
        <w:rPr>
          <w:rFonts w:ascii="Times New Roman" w:hAnsi="Times New Roman"/>
          <w:sz w:val="24"/>
          <w:szCs w:val="24"/>
          <w:u w:val="single"/>
        </w:rPr>
        <w:t>2.2</w:t>
      </w:r>
      <w:r w:rsidRPr="009C4695">
        <w:rPr>
          <w:rFonts w:ascii="Times New Roman" w:hAnsi="Times New Roman"/>
          <w:sz w:val="24"/>
          <w:szCs w:val="24"/>
          <w:u w:val="single"/>
        </w:rPr>
        <w:t>)</w:t>
      </w:r>
      <w:bookmarkEnd w:id="31"/>
    </w:p>
    <w:p w14:paraId="1D62CBF1" w14:textId="77777777" w:rsidR="001B665C" w:rsidRPr="009C4695" w:rsidRDefault="009C469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2" w:name="_Toc88218314"/>
      <w:r w:rsidRPr="009C4695">
        <w:rPr>
          <w:rFonts w:ascii="Times New Roman" w:hAnsi="Times New Roman"/>
          <w:sz w:val="24"/>
          <w:szCs w:val="24"/>
        </w:rPr>
        <w:t>1.4.1.</w:t>
      </w:r>
      <w:r w:rsidRPr="009C4695">
        <w:tab/>
      </w:r>
      <w:r w:rsidRPr="009C4695">
        <w:rPr>
          <w:rFonts w:ascii="Times New Roman" w:hAnsi="Times New Roman"/>
          <w:sz w:val="24"/>
          <w:szCs w:val="24"/>
          <w:u w:val="single"/>
        </w:rPr>
        <w:t>Указания относно определени позиции</w:t>
      </w:r>
      <w:bookmarkEnd w:id="3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665C" w:rsidRPr="009C4695" w14:paraId="49491578" w14:textId="77777777">
        <w:tc>
          <w:tcPr>
            <w:tcW w:w="1129" w:type="dxa"/>
            <w:shd w:val="clear" w:color="auto" w:fill="D9D9D9"/>
          </w:tcPr>
          <w:p w14:paraId="72369DA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Ред</w:t>
            </w:r>
          </w:p>
        </w:tc>
        <w:tc>
          <w:tcPr>
            <w:tcW w:w="7620" w:type="dxa"/>
            <w:shd w:val="clear" w:color="auto" w:fill="D9D9D9"/>
          </w:tcPr>
          <w:p w14:paraId="344B56A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Препратки към законодателни актове и указания</w:t>
            </w:r>
          </w:p>
        </w:tc>
      </w:tr>
      <w:tr w:rsidR="001B665C" w:rsidRPr="009C4695" w14:paraId="095BA009" w14:textId="77777777">
        <w:tc>
          <w:tcPr>
            <w:tcW w:w="1129" w:type="dxa"/>
          </w:tcPr>
          <w:p w14:paraId="13C988A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w:t>
            </w:r>
          </w:p>
        </w:tc>
        <w:tc>
          <w:tcPr>
            <w:tcW w:w="7620" w:type="dxa"/>
          </w:tcPr>
          <w:p w14:paraId="358BD292"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Съотношение на БСК1</w:t>
            </w:r>
          </w:p>
          <w:p w14:paraId="501A007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9, параграф 1, буква а) и член 11, параграф 1 от Регламент (ЕС) 2019/2033.</w:t>
            </w:r>
          </w:p>
          <w:p w14:paraId="1090650B"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9, параграф 4 от Регламент (ЕС) 2019/2033.</w:t>
            </w:r>
          </w:p>
          <w:p w14:paraId="0E8116FD"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Тази позиция се изразява в проценти.</w:t>
            </w:r>
          </w:p>
        </w:tc>
      </w:tr>
      <w:tr w:rsidR="001B665C" w:rsidRPr="009C4695" w14:paraId="1655B7DC" w14:textId="77777777">
        <w:tc>
          <w:tcPr>
            <w:tcW w:w="1129" w:type="dxa"/>
          </w:tcPr>
          <w:p w14:paraId="1B172E9F"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0020</w:t>
            </w:r>
          </w:p>
        </w:tc>
        <w:tc>
          <w:tcPr>
            <w:tcW w:w="7620" w:type="dxa"/>
          </w:tcPr>
          <w:p w14:paraId="636449D3"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Излишък(+)/Недостиг(−) на БСК1</w:t>
            </w:r>
          </w:p>
          <w:p w14:paraId="1971091C" w14:textId="77777777" w:rsidR="001B665C" w:rsidRPr="009C4695" w:rsidRDefault="009C4695">
            <w:pPr>
              <w:spacing w:after="120" w:line="240" w:lineRule="auto"/>
              <w:jc w:val="both"/>
              <w:rPr>
                <w:rFonts w:ascii="Times New Roman" w:hAnsi="Times New Roman" w:cs="Times New Roman"/>
              </w:rPr>
            </w:pPr>
            <w:r w:rsidRPr="009C4695">
              <w:rPr>
                <w:rFonts w:ascii="Times New Roman" w:hAnsi="Times New Roman"/>
              </w:rPr>
              <w:t>Тази позиция показва излишъка или недостига на БСК1 спрямо изискването по член 9, параграф 1 от Регламент (ЕС) 2019/2033.</w:t>
            </w:r>
          </w:p>
          <w:p w14:paraId="20772867"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rPr>
              <w:t>Преходните разпоредби по член 57, параграфи 3 и 4 от Регламент (ЕС) 2019/2033 не се вземат предвид за т</w:t>
            </w:r>
            <w:r w:rsidRPr="009C4695">
              <w:rPr>
                <w:rFonts w:ascii="Times New Roman" w:hAnsi="Times New Roman"/>
              </w:rPr>
              <w:t>ази позиция.</w:t>
            </w:r>
          </w:p>
        </w:tc>
      </w:tr>
      <w:tr w:rsidR="001B665C" w:rsidRPr="009C4695" w14:paraId="0A79619C" w14:textId="77777777">
        <w:tc>
          <w:tcPr>
            <w:tcW w:w="1129" w:type="dxa"/>
          </w:tcPr>
          <w:p w14:paraId="717B2E7D"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0030</w:t>
            </w:r>
          </w:p>
        </w:tc>
        <w:tc>
          <w:tcPr>
            <w:tcW w:w="7620" w:type="dxa"/>
          </w:tcPr>
          <w:p w14:paraId="1DB35AC3"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Съотношение на капитала от първи ред</w:t>
            </w:r>
          </w:p>
          <w:p w14:paraId="04ADAD4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9, параграф 1, буква б) и член 11, параграф 1 от Регламент (ЕС) 2019/2033.</w:t>
            </w:r>
          </w:p>
          <w:p w14:paraId="15DE413C"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Тази позиция се изразява в проценти.</w:t>
            </w:r>
          </w:p>
        </w:tc>
      </w:tr>
      <w:tr w:rsidR="001B665C" w:rsidRPr="009C4695" w14:paraId="040EABB7" w14:textId="77777777">
        <w:tc>
          <w:tcPr>
            <w:tcW w:w="1129" w:type="dxa"/>
          </w:tcPr>
          <w:p w14:paraId="6DA243B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0040</w:t>
            </w:r>
          </w:p>
        </w:tc>
        <w:tc>
          <w:tcPr>
            <w:tcW w:w="7620" w:type="dxa"/>
          </w:tcPr>
          <w:p w14:paraId="050D67A1"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Излишък(+)/Недостиг(−) на капитала от първи ред</w:t>
            </w:r>
          </w:p>
          <w:p w14:paraId="6E4D475A" w14:textId="77777777" w:rsidR="001B665C" w:rsidRPr="009C4695" w:rsidRDefault="009C4695">
            <w:pPr>
              <w:pStyle w:val="CommentText"/>
              <w:rPr>
                <w:rFonts w:ascii="Times New Roman" w:hAnsi="Times New Roman" w:cs="Times New Roman"/>
                <w:sz w:val="22"/>
                <w:szCs w:val="22"/>
              </w:rPr>
            </w:pPr>
            <w:r w:rsidRPr="009C4695">
              <w:rPr>
                <w:rFonts w:ascii="Times New Roman" w:hAnsi="Times New Roman"/>
              </w:rPr>
              <w:t xml:space="preserve">Тази позиция показва </w:t>
            </w:r>
            <w:r w:rsidRPr="009C4695">
              <w:rPr>
                <w:rFonts w:ascii="Times New Roman" w:hAnsi="Times New Roman"/>
              </w:rPr>
              <w:t>излишъка или недостига на капитала от първи ред спрямо изискването по член 9, параграф 1 от Регламент (ЕС) 2019/2033.</w:t>
            </w:r>
          </w:p>
          <w:p w14:paraId="25B74CEB" w14:textId="77777777" w:rsidR="001B665C" w:rsidRPr="009C4695" w:rsidRDefault="009C4695">
            <w:pPr>
              <w:spacing w:after="120" w:line="240" w:lineRule="auto"/>
              <w:jc w:val="both"/>
            </w:pPr>
            <w:r w:rsidRPr="009C4695">
              <w:rPr>
                <w:rFonts w:ascii="Times New Roman" w:hAnsi="Times New Roman"/>
              </w:rPr>
              <w:t>Преходните разпоредби по член 57, параграфи 3 и 4 от Регламент (ЕС) 2019/2033 не се вземат предвид за тази позиция.</w:t>
            </w:r>
          </w:p>
        </w:tc>
      </w:tr>
      <w:tr w:rsidR="001B665C" w:rsidRPr="009C4695" w14:paraId="2EDCBDF2" w14:textId="77777777">
        <w:tc>
          <w:tcPr>
            <w:tcW w:w="1129" w:type="dxa"/>
          </w:tcPr>
          <w:p w14:paraId="41DE44E0"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0050</w:t>
            </w:r>
          </w:p>
        </w:tc>
        <w:tc>
          <w:tcPr>
            <w:tcW w:w="7620" w:type="dxa"/>
          </w:tcPr>
          <w:p w14:paraId="07052476"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Съотношение на с</w:t>
            </w:r>
            <w:r w:rsidRPr="009C4695">
              <w:rPr>
                <w:rFonts w:ascii="Times New Roman" w:hAnsi="Times New Roman"/>
                <w:b/>
                <w:bCs/>
                <w:u w:val="single"/>
              </w:rPr>
              <w:t>обствения капитал</w:t>
            </w:r>
          </w:p>
          <w:p w14:paraId="6B54899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9, параграф 1, буква в) и член 11, параграф 1 от Регламент (ЕС) 2019/2033.</w:t>
            </w:r>
          </w:p>
          <w:p w14:paraId="252F9E68"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Тази позиция се изразява в проценти.</w:t>
            </w:r>
          </w:p>
        </w:tc>
      </w:tr>
      <w:tr w:rsidR="001B665C" w:rsidRPr="009C4695" w14:paraId="1F85E6C5" w14:textId="77777777">
        <w:tc>
          <w:tcPr>
            <w:tcW w:w="1129" w:type="dxa"/>
          </w:tcPr>
          <w:p w14:paraId="656FAF4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0060</w:t>
            </w:r>
          </w:p>
        </w:tc>
        <w:tc>
          <w:tcPr>
            <w:tcW w:w="7620" w:type="dxa"/>
          </w:tcPr>
          <w:p w14:paraId="08A4F445"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Излишък(+)/Недостиг(−) на общия капитал</w:t>
            </w:r>
          </w:p>
          <w:p w14:paraId="3B3B9FA2" w14:textId="77777777" w:rsidR="001B665C" w:rsidRPr="009C4695" w:rsidRDefault="009C4695">
            <w:pPr>
              <w:spacing w:after="120" w:line="240" w:lineRule="auto"/>
              <w:jc w:val="both"/>
              <w:rPr>
                <w:rFonts w:ascii="Times New Roman" w:hAnsi="Times New Roman" w:cs="Times New Roman"/>
              </w:rPr>
            </w:pPr>
            <w:r w:rsidRPr="009C4695">
              <w:rPr>
                <w:rFonts w:ascii="Times New Roman" w:hAnsi="Times New Roman"/>
              </w:rPr>
              <w:t xml:space="preserve">Тази позиция показва излишъка или недостига на собствения капитал </w:t>
            </w:r>
            <w:r w:rsidRPr="009C4695">
              <w:rPr>
                <w:rFonts w:ascii="Times New Roman" w:hAnsi="Times New Roman"/>
              </w:rPr>
              <w:t>спрямо изискването по член 9, параграф 1 от Регламент (ЕС) 2019/2033.</w:t>
            </w:r>
          </w:p>
          <w:p w14:paraId="7967D5E7"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rPr>
              <w:t>Преходните разпоредби по член 57, параграфи 3 и 4 от Регламент (ЕС) 2019/2033 не се вземат предвид за тази позиция.</w:t>
            </w:r>
          </w:p>
        </w:tc>
      </w:tr>
    </w:tbl>
    <w:p w14:paraId="6EF2E41D" w14:textId="77777777" w:rsidR="001B665C" w:rsidRPr="009C4695" w:rsidRDefault="009C469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3" w:name="_Toc88218315"/>
      <w:r w:rsidRPr="009C4695">
        <w:rPr>
          <w:rFonts w:ascii="Times New Roman" w:hAnsi="Times New Roman"/>
          <w:sz w:val="24"/>
          <w:szCs w:val="24"/>
          <w:u w:val="single"/>
        </w:rPr>
        <w:t>1.5.</w:t>
      </w:r>
      <w:r w:rsidRPr="009C4695">
        <w:rPr>
          <w:rFonts w:ascii="Times New Roman" w:hAnsi="Times New Roman"/>
          <w:sz w:val="24"/>
          <w:szCs w:val="24"/>
          <w:u w:val="single"/>
        </w:rPr>
        <w:t xml:space="preserve"> I </w:t>
      </w:r>
      <w:r w:rsidRPr="009C4695">
        <w:rPr>
          <w:rFonts w:ascii="Times New Roman" w:hAnsi="Times New Roman"/>
          <w:sz w:val="24"/>
          <w:szCs w:val="24"/>
          <w:u w:val="single"/>
        </w:rPr>
        <w:t>03.00</w:t>
      </w:r>
      <w:r w:rsidRPr="009C4695">
        <w:rPr>
          <w:rFonts w:ascii="Times New Roman" w:hAnsi="Times New Roman"/>
          <w:sz w:val="24"/>
          <w:szCs w:val="24"/>
          <w:u w:val="single"/>
        </w:rPr>
        <w:t xml:space="preserve"> — ИЗЧИСЛЯВАНЕ НА ИЗИСКВАНЕТО ЗА ПОСТОЯННИТЕ ОБЩИ РАЗХОДИ</w:t>
      </w:r>
      <w:r w:rsidRPr="009C4695">
        <w:rPr>
          <w:rFonts w:ascii="Times New Roman" w:hAnsi="Times New Roman"/>
          <w:sz w:val="24"/>
          <w:szCs w:val="24"/>
          <w:u w:val="single"/>
        </w:rPr>
        <w:t xml:space="preserve"> (I 3)</w:t>
      </w:r>
      <w:bookmarkEnd w:id="2"/>
      <w:bookmarkEnd w:id="3"/>
      <w:bookmarkEnd w:id="33"/>
      <w:bookmarkEnd w:id="4"/>
      <w:bookmarkEnd w:id="5"/>
    </w:p>
    <w:p w14:paraId="7726107D" w14:textId="77777777" w:rsidR="001B665C" w:rsidRPr="009C4695" w:rsidRDefault="009C4695">
      <w:pPr>
        <w:keepNext/>
        <w:spacing w:before="240" w:after="240" w:line="240" w:lineRule="auto"/>
        <w:ind w:left="357" w:hanging="357"/>
        <w:jc w:val="both"/>
        <w:outlineLvl w:val="1"/>
        <w:rPr>
          <w:rFonts w:ascii="Times New Roman" w:eastAsia="Times New Roman" w:hAnsi="Times New Roman" w:cs="Times New Roman"/>
          <w:sz w:val="24"/>
          <w:szCs w:val="24"/>
        </w:rPr>
      </w:pPr>
      <w:bookmarkStart w:id="34" w:name="_Toc310414968"/>
      <w:bookmarkStart w:id="35" w:name="_Toc360188326"/>
      <w:bookmarkStart w:id="36" w:name="_Toc473560874"/>
      <w:bookmarkStart w:id="37" w:name="_Toc7084159"/>
      <w:bookmarkStart w:id="38" w:name="_Toc88218316"/>
      <w:r w:rsidRPr="009C4695">
        <w:rPr>
          <w:rFonts w:ascii="Times New Roman" w:hAnsi="Times New Roman"/>
          <w:sz w:val="24"/>
          <w:szCs w:val="24"/>
        </w:rPr>
        <w:t>1.5.1.</w:t>
      </w:r>
      <w:r w:rsidRPr="009C4695">
        <w:tab/>
      </w:r>
      <w:bookmarkStart w:id="39" w:name="_Toc308175821"/>
      <w:r w:rsidRPr="009C4695">
        <w:rPr>
          <w:rFonts w:ascii="Times New Roman" w:hAnsi="Times New Roman"/>
          <w:sz w:val="24"/>
          <w:szCs w:val="24"/>
          <w:u w:val="single"/>
        </w:rPr>
        <w:t xml:space="preserve">Указания относно определени </w:t>
      </w:r>
      <w:bookmarkEnd w:id="39"/>
      <w:bookmarkEnd w:id="34"/>
      <w:r w:rsidRPr="009C4695">
        <w:rPr>
          <w:rFonts w:ascii="Times New Roman" w:hAnsi="Times New Roman"/>
          <w:sz w:val="24"/>
          <w:szCs w:val="24"/>
          <w:u w:val="single"/>
        </w:rPr>
        <w:t>позиции</w:t>
      </w:r>
      <w:bookmarkEnd w:id="35"/>
      <w:bookmarkEnd w:id="36"/>
      <w:bookmarkEnd w:id="37"/>
      <w:bookmarkEnd w:id="3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665C" w:rsidRPr="009C4695" w14:paraId="39D45A80" w14:textId="77777777">
        <w:tc>
          <w:tcPr>
            <w:tcW w:w="1129" w:type="dxa"/>
            <w:shd w:val="clear" w:color="auto" w:fill="D9D9D9"/>
          </w:tcPr>
          <w:p w14:paraId="0A53713E"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color w:val="000000" w:themeColor="text1"/>
              </w:rPr>
              <w:t>Ред</w:t>
            </w:r>
          </w:p>
        </w:tc>
        <w:tc>
          <w:tcPr>
            <w:tcW w:w="7620" w:type="dxa"/>
            <w:shd w:val="clear" w:color="auto" w:fill="D9D9D9"/>
          </w:tcPr>
          <w:p w14:paraId="3E2C054E"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color w:val="000000" w:themeColor="text1"/>
              </w:rPr>
              <w:t>Препратки към законодателни актове и указания</w:t>
            </w:r>
          </w:p>
        </w:tc>
      </w:tr>
      <w:tr w:rsidR="001B665C" w:rsidRPr="009C4695" w14:paraId="4BE3EF16" w14:textId="77777777">
        <w:tc>
          <w:tcPr>
            <w:tcW w:w="1129" w:type="dxa"/>
          </w:tcPr>
          <w:p w14:paraId="22A0C02F"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0010</w:t>
            </w:r>
          </w:p>
        </w:tc>
        <w:tc>
          <w:tcPr>
            <w:tcW w:w="7620" w:type="dxa"/>
          </w:tcPr>
          <w:p w14:paraId="0BF9A332"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Изискване за постоянните общи разходи</w:t>
            </w:r>
          </w:p>
          <w:p w14:paraId="02F659A8"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Член 13, параграф 1 от Регламент (ЕС) 2019/2033.</w:t>
            </w:r>
          </w:p>
          <w:p w14:paraId="3FDA471E" w14:textId="77777777" w:rsidR="001B665C" w:rsidRPr="009C4695" w:rsidRDefault="009C4695">
            <w:pPr>
              <w:spacing w:after="120" w:line="240" w:lineRule="auto"/>
              <w:jc w:val="both"/>
              <w:rPr>
                <w:rFonts w:ascii="Times New Roman" w:hAnsi="Times New Roman" w:cs="Times New Roman"/>
              </w:rPr>
            </w:pPr>
            <w:r w:rsidRPr="009C4695">
              <w:rPr>
                <w:rFonts w:ascii="Times New Roman" w:hAnsi="Times New Roman"/>
              </w:rPr>
              <w:t xml:space="preserve">Докладваната сума е най-малко 25 % от годишните </w:t>
            </w:r>
            <w:r w:rsidRPr="009C4695">
              <w:rPr>
                <w:rFonts w:ascii="Times New Roman" w:hAnsi="Times New Roman"/>
              </w:rPr>
              <w:t>постоянни общи разходи за предходната година (ред 0020).</w:t>
            </w:r>
          </w:p>
          <w:p w14:paraId="33E70F83" w14:textId="77777777" w:rsidR="001B665C" w:rsidRPr="009C4695" w:rsidRDefault="009C4695">
            <w:pPr>
              <w:spacing w:after="120" w:line="240" w:lineRule="auto"/>
              <w:jc w:val="both"/>
              <w:rPr>
                <w:rFonts w:ascii="Times New Roman" w:hAnsi="Times New Roman" w:cs="Times New Roman"/>
              </w:rPr>
            </w:pPr>
            <w:r w:rsidRPr="009C4695">
              <w:rPr>
                <w:rFonts w:ascii="Times New Roman" w:hAnsi="Times New Roman"/>
              </w:rPr>
              <w:t>В случаите, когато е настъпила съществена промяна, докладваната сума е равна на изискването за постоянните общи разходи, наложено от компетентния орган в съответствие с член 13, параграф 2 от Регламе</w:t>
            </w:r>
            <w:r w:rsidRPr="009C4695">
              <w:rPr>
                <w:rFonts w:ascii="Times New Roman" w:hAnsi="Times New Roman"/>
              </w:rPr>
              <w:t>нт (ЕС) 2019/2033.</w:t>
            </w:r>
          </w:p>
          <w:p w14:paraId="424AD541" w14:textId="77777777" w:rsidR="001B665C" w:rsidRPr="009C4695" w:rsidRDefault="009C4695">
            <w:pPr>
              <w:spacing w:after="120" w:line="240" w:lineRule="auto"/>
              <w:jc w:val="both"/>
              <w:rPr>
                <w:rFonts w:ascii="Times New Roman" w:hAnsi="Times New Roman" w:cs="Times New Roman"/>
              </w:rPr>
            </w:pPr>
            <w:r w:rsidRPr="009C4695">
              <w:rPr>
                <w:rFonts w:ascii="Times New Roman" w:hAnsi="Times New Roman"/>
              </w:rPr>
              <w:t>В случаите, посочени в член 13, параграф 3 от Регламент (ЕС) 2019/2033, докладваната сума е равна на прогнозните постоянни общи разходи за текущата година (ред 0210).</w:t>
            </w:r>
          </w:p>
        </w:tc>
      </w:tr>
      <w:tr w:rsidR="001B665C" w:rsidRPr="009C4695" w14:paraId="06399968" w14:textId="77777777">
        <w:tc>
          <w:tcPr>
            <w:tcW w:w="1129" w:type="dxa"/>
          </w:tcPr>
          <w:p w14:paraId="0257FBFB"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0020</w:t>
            </w:r>
          </w:p>
        </w:tc>
        <w:tc>
          <w:tcPr>
            <w:tcW w:w="7620" w:type="dxa"/>
          </w:tcPr>
          <w:p w14:paraId="046A8F9F"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Годишни постоянни общи разходи за предходната година след разпре</w:t>
            </w:r>
            <w:r w:rsidRPr="009C4695">
              <w:rPr>
                <w:rFonts w:ascii="Times New Roman" w:hAnsi="Times New Roman"/>
                <w:b/>
                <w:bCs/>
                <w:color w:val="000000" w:themeColor="text1"/>
                <w:u w:val="single"/>
              </w:rPr>
              <w:t>деляне на печалбата</w:t>
            </w:r>
          </w:p>
          <w:p w14:paraId="07148C87"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rPr>
              <w:t>Член 13, параграф 1 от Регламент (ЕС) 2019/2033.</w:t>
            </w:r>
          </w:p>
          <w:p w14:paraId="3A5FBF45" w14:textId="77777777" w:rsidR="001B665C" w:rsidRPr="009C4695" w:rsidRDefault="009C4695">
            <w:pPr>
              <w:pStyle w:val="CommentText"/>
              <w:rPr>
                <w:rFonts w:ascii="Times New Roman" w:hAnsi="Times New Roman" w:cs="Times New Roman"/>
              </w:rPr>
            </w:pPr>
            <w:r w:rsidRPr="009C4695">
              <w:rPr>
                <w:rFonts w:ascii="Times New Roman" w:hAnsi="Times New Roman"/>
                <w:bCs/>
                <w:color w:val="000000" w:themeColor="text1"/>
                <w:sz w:val="22"/>
              </w:rPr>
              <w:t xml:space="preserve">Инвестиционните посредници докладват постоянните общи разходи за предходната година след разпределянето на печалбата. </w:t>
            </w:r>
          </w:p>
        </w:tc>
      </w:tr>
      <w:tr w:rsidR="001B665C" w:rsidRPr="009C4695" w14:paraId="5A1BCAF7" w14:textId="77777777">
        <w:tc>
          <w:tcPr>
            <w:tcW w:w="1129" w:type="dxa"/>
          </w:tcPr>
          <w:p w14:paraId="6ABEE779"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0030</w:t>
            </w:r>
          </w:p>
        </w:tc>
        <w:tc>
          <w:tcPr>
            <w:tcW w:w="7620" w:type="dxa"/>
          </w:tcPr>
          <w:p w14:paraId="38C2EBBE"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Общо разходи за предходната година след разпределяне на печалб</w:t>
            </w:r>
            <w:r w:rsidRPr="009C4695">
              <w:rPr>
                <w:rFonts w:ascii="Times New Roman" w:hAnsi="Times New Roman"/>
                <w:b/>
                <w:bCs/>
                <w:color w:val="000000" w:themeColor="text1"/>
                <w:u w:val="single"/>
              </w:rPr>
              <w:t>ата</w:t>
            </w:r>
          </w:p>
          <w:p w14:paraId="28DAA93F"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rPr>
              <w:t>Член 13, параграф 1 от Регламент (ЕС) 2019/2033.</w:t>
            </w:r>
          </w:p>
          <w:p w14:paraId="679BABD4"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Докладва се сумата след разпределянето на печалбата.</w:t>
            </w:r>
          </w:p>
        </w:tc>
      </w:tr>
      <w:tr w:rsidR="001B665C" w:rsidRPr="009C4695" w14:paraId="1330A511" w14:textId="77777777">
        <w:tc>
          <w:tcPr>
            <w:tcW w:w="1129" w:type="dxa"/>
          </w:tcPr>
          <w:p w14:paraId="77465598"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0040</w:t>
            </w:r>
          </w:p>
        </w:tc>
        <w:tc>
          <w:tcPr>
            <w:tcW w:w="7620" w:type="dxa"/>
          </w:tcPr>
          <w:p w14:paraId="604EAFB0"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от които: постоянни разходи, направени от името на инвестиционните посредници от трети страни</w:t>
            </w:r>
          </w:p>
          <w:p w14:paraId="45B6DC5D" w14:textId="77777777" w:rsidR="001B665C" w:rsidRPr="009C4695" w:rsidRDefault="009C4695">
            <w:pPr>
              <w:pStyle w:val="NumPar1"/>
              <w:numPr>
                <w:ilvl w:val="0"/>
                <w:numId w:val="0"/>
              </w:numPr>
              <w:rPr>
                <w:rFonts w:eastAsia="Times New Roman"/>
                <w:b/>
                <w:bCs/>
                <w:color w:val="000000" w:themeColor="text1"/>
                <w:u w:val="single"/>
              </w:rPr>
            </w:pPr>
            <w:r w:rsidRPr="009C4695">
              <w:rPr>
                <w:bCs/>
                <w:color w:val="000000" w:themeColor="text1"/>
                <w:szCs w:val="20"/>
              </w:rPr>
              <w:t xml:space="preserve">Когато трети страни, включително </w:t>
            </w:r>
            <w:r w:rsidRPr="009C4695">
              <w:rPr>
                <w:bCs/>
                <w:color w:val="000000" w:themeColor="text1"/>
                <w:szCs w:val="20"/>
              </w:rPr>
              <w:t>обвързани агенти, са направили от името на инвестиционните посредници постоянни разходи, които все още не са включени в общия размер на разходите в годишния финансов отчет, посочен в параграф 1, тези постоянни разходи се добавят към общия размер на разходи</w:t>
            </w:r>
            <w:r w:rsidRPr="009C4695">
              <w:rPr>
                <w:bCs/>
                <w:color w:val="000000" w:themeColor="text1"/>
                <w:szCs w:val="20"/>
              </w:rPr>
              <w:t>те на инвестиционния посредник. Ако има информация за разходите на третата страна, инвестиционният посредник добавя към общия размер на разходите само дела от постоянните разходи, отнасящи се за инвестиционния посредник. Когато такава информация не е налич</w:t>
            </w:r>
            <w:r w:rsidRPr="009C4695">
              <w:rPr>
                <w:bCs/>
                <w:color w:val="000000" w:themeColor="text1"/>
                <w:szCs w:val="20"/>
              </w:rPr>
              <w:t>на, инвестиционният посредник добавя към общия размер на разходите само своя дял от разходите на третата страна, както е определен във финансово-икономическия план на инвестиционния посредник.</w:t>
            </w:r>
          </w:p>
        </w:tc>
      </w:tr>
      <w:tr w:rsidR="001B665C" w:rsidRPr="009C4695" w14:paraId="359F805C" w14:textId="77777777">
        <w:tc>
          <w:tcPr>
            <w:tcW w:w="1129" w:type="dxa"/>
          </w:tcPr>
          <w:p w14:paraId="4C394961"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0050</w:t>
            </w:r>
          </w:p>
        </w:tc>
        <w:tc>
          <w:tcPr>
            <w:tcW w:w="7620" w:type="dxa"/>
          </w:tcPr>
          <w:p w14:paraId="4CC0DDA9" w14:textId="77777777" w:rsidR="001B665C" w:rsidRPr="009C4695" w:rsidRDefault="009C4695">
            <w:pPr>
              <w:spacing w:after="120" w:line="240" w:lineRule="auto"/>
              <w:jc w:val="both"/>
              <w:rPr>
                <w:rFonts w:ascii="Times New Roman" w:eastAsia="Times New Roman" w:hAnsi="Times New Roman" w:cs="Times New Roman"/>
                <w:bCs/>
                <w:color w:val="000000" w:themeColor="text1"/>
                <w:szCs w:val="20"/>
              </w:rPr>
            </w:pPr>
            <w:r w:rsidRPr="009C4695">
              <w:rPr>
                <w:rFonts w:ascii="Times New Roman" w:hAnsi="Times New Roman"/>
                <w:bCs/>
                <w:color w:val="000000" w:themeColor="text1"/>
                <w:szCs w:val="20"/>
              </w:rPr>
              <w:t>(−)Общо приспадания</w:t>
            </w:r>
          </w:p>
          <w:p w14:paraId="1E048AEB" w14:textId="77777777" w:rsidR="001B665C" w:rsidRPr="009C4695" w:rsidRDefault="009C4695">
            <w:pPr>
              <w:spacing w:after="120" w:line="240" w:lineRule="auto"/>
              <w:jc w:val="both"/>
              <w:rPr>
                <w:rFonts w:eastAsia="Times New Roman"/>
                <w:bCs/>
                <w:color w:val="000000" w:themeColor="text1"/>
                <w:szCs w:val="20"/>
              </w:rPr>
            </w:pPr>
            <w:r w:rsidRPr="009C4695">
              <w:rPr>
                <w:rFonts w:ascii="Times New Roman" w:hAnsi="Times New Roman"/>
                <w:bCs/>
              </w:rPr>
              <w:t xml:space="preserve">В допълнение към позициите за </w:t>
            </w:r>
            <w:r w:rsidRPr="009C4695">
              <w:rPr>
                <w:rFonts w:ascii="Times New Roman" w:hAnsi="Times New Roman"/>
                <w:bCs/>
              </w:rPr>
              <w:t>приспадане, посочени в член 13, параграф 4 от Регламент (ЕС) 2019/2033, следните позиции също се приспадат от общия размер на разходите, когато са включени в общия размер на разходите съгласно приложимата счетоводна рамка:</w:t>
            </w:r>
          </w:p>
          <w:p w14:paraId="2F5209C7" w14:textId="77777777" w:rsidR="001B665C" w:rsidRPr="009C4695" w:rsidRDefault="009C4695">
            <w:pPr>
              <w:pStyle w:val="Point1letter"/>
              <w:numPr>
                <w:ilvl w:val="0"/>
                <w:numId w:val="0"/>
              </w:numPr>
              <w:tabs>
                <w:tab w:val="left" w:pos="1417"/>
              </w:tabs>
              <w:ind w:left="341" w:hanging="341"/>
              <w:rPr>
                <w:rFonts w:eastAsia="Times New Roman"/>
              </w:rPr>
            </w:pPr>
            <w:r w:rsidRPr="009C4695">
              <w:rPr>
                <w:rFonts w:eastAsia="Times New Roman"/>
              </w:rPr>
              <w:t>а)</w:t>
            </w:r>
            <w:r w:rsidRPr="009C4695">
              <w:rPr>
                <w:rFonts w:eastAsia="Times New Roman"/>
              </w:rPr>
              <w:tab/>
            </w:r>
            <w:r w:rsidRPr="009C4695">
              <w:t>възнаграждения, такси за посре</w:t>
            </w:r>
            <w:r w:rsidRPr="009C4695">
              <w:t>дничество и други такси, плащани на централни контрагенти, борси и други места на търговия и междинни посредници за целите на извършването, регистрирането или клиринга на сделки, само когато те пряко се прехвърлят към клиентите и се заплащат от тях. Тук не</w:t>
            </w:r>
            <w:r w:rsidRPr="009C4695">
              <w:t xml:space="preserve"> се включват таксите и другите плащания, необходими за запазване на членството или за изпълнение по друг начин на финансови задължения за поделяне на загуби към централните контрагенти, борсите и други места на търговия;</w:t>
            </w:r>
          </w:p>
          <w:p w14:paraId="794DD7CE" w14:textId="77777777" w:rsidR="001B665C" w:rsidRPr="009C4695" w:rsidRDefault="009C4695">
            <w:pPr>
              <w:pStyle w:val="Point1letter"/>
              <w:numPr>
                <w:ilvl w:val="0"/>
                <w:numId w:val="0"/>
              </w:numPr>
              <w:ind w:left="350" w:hanging="426"/>
              <w:rPr>
                <w:rFonts w:eastAsia="Times New Roman"/>
                <w:bCs/>
                <w:color w:val="000000" w:themeColor="text1"/>
                <w:sz w:val="22"/>
                <w:szCs w:val="20"/>
              </w:rPr>
            </w:pPr>
            <w:r w:rsidRPr="009C4695">
              <w:rPr>
                <w:rFonts w:eastAsia="Times New Roman"/>
                <w:bCs/>
                <w:color w:val="000000" w:themeColor="text1"/>
                <w:sz w:val="22"/>
                <w:szCs w:val="20"/>
              </w:rPr>
              <w:t>б)</w:t>
            </w:r>
            <w:r w:rsidRPr="009C4695">
              <w:rPr>
                <w:rFonts w:eastAsia="Times New Roman"/>
                <w:bCs/>
                <w:color w:val="000000" w:themeColor="text1"/>
                <w:sz w:val="22"/>
                <w:szCs w:val="20"/>
              </w:rPr>
              <w:tab/>
            </w:r>
            <w:r w:rsidRPr="009C4695">
              <w:rPr>
                <w:bCs/>
                <w:color w:val="000000" w:themeColor="text1"/>
                <w:sz w:val="22"/>
                <w:szCs w:val="20"/>
              </w:rPr>
              <w:t xml:space="preserve">лихва, платена на клиенти върху </w:t>
            </w:r>
            <w:r w:rsidRPr="009C4695">
              <w:rPr>
                <w:bCs/>
                <w:color w:val="000000" w:themeColor="text1"/>
                <w:sz w:val="22"/>
                <w:szCs w:val="20"/>
              </w:rPr>
              <w:t>парични средства на клиенти, когато няма задължение за плащане на такава лихва;</w:t>
            </w:r>
          </w:p>
          <w:p w14:paraId="3A5CE2BC" w14:textId="77777777" w:rsidR="001B665C" w:rsidRPr="009C4695" w:rsidRDefault="009C4695">
            <w:pPr>
              <w:pStyle w:val="Point1letter"/>
              <w:numPr>
                <w:ilvl w:val="0"/>
                <w:numId w:val="0"/>
              </w:numPr>
              <w:ind w:left="350" w:hanging="426"/>
              <w:rPr>
                <w:rFonts w:eastAsia="Times New Roman"/>
                <w:bCs/>
                <w:color w:val="000000" w:themeColor="text1"/>
                <w:sz w:val="22"/>
                <w:szCs w:val="20"/>
              </w:rPr>
            </w:pPr>
            <w:r w:rsidRPr="009C4695">
              <w:rPr>
                <w:rFonts w:eastAsia="Times New Roman"/>
                <w:bCs/>
                <w:color w:val="000000" w:themeColor="text1"/>
                <w:sz w:val="22"/>
                <w:szCs w:val="20"/>
              </w:rPr>
              <w:t>в)</w:t>
            </w:r>
            <w:r w:rsidRPr="009C4695">
              <w:rPr>
                <w:rFonts w:eastAsia="Times New Roman"/>
                <w:bCs/>
                <w:color w:val="000000" w:themeColor="text1"/>
                <w:sz w:val="22"/>
                <w:szCs w:val="20"/>
              </w:rPr>
              <w:tab/>
            </w:r>
            <w:r w:rsidRPr="009C4695">
              <w:rPr>
                <w:bCs/>
                <w:color w:val="000000" w:themeColor="text1"/>
                <w:sz w:val="22"/>
                <w:szCs w:val="20"/>
              </w:rPr>
              <w:t>разходи за данъци, когато станат дължими във връзка с годишната печалба на инвестиционния посредник;</w:t>
            </w:r>
          </w:p>
          <w:p w14:paraId="18732B87" w14:textId="77777777" w:rsidR="001B665C" w:rsidRPr="009C4695" w:rsidRDefault="009C4695">
            <w:pPr>
              <w:pStyle w:val="Point1letter"/>
              <w:numPr>
                <w:ilvl w:val="0"/>
                <w:numId w:val="0"/>
              </w:numPr>
              <w:ind w:left="350" w:hanging="426"/>
              <w:rPr>
                <w:rFonts w:eastAsia="Times New Roman"/>
                <w:bCs/>
                <w:color w:val="000000" w:themeColor="text1"/>
                <w:sz w:val="22"/>
                <w:szCs w:val="20"/>
              </w:rPr>
            </w:pPr>
            <w:r w:rsidRPr="009C4695">
              <w:rPr>
                <w:rFonts w:eastAsia="Times New Roman"/>
                <w:bCs/>
                <w:color w:val="000000" w:themeColor="text1"/>
                <w:sz w:val="22"/>
                <w:szCs w:val="20"/>
              </w:rPr>
              <w:t>г)</w:t>
            </w:r>
            <w:r w:rsidRPr="009C4695">
              <w:rPr>
                <w:rFonts w:eastAsia="Times New Roman"/>
                <w:bCs/>
                <w:color w:val="000000" w:themeColor="text1"/>
                <w:sz w:val="22"/>
                <w:szCs w:val="20"/>
              </w:rPr>
              <w:tab/>
            </w:r>
            <w:r w:rsidRPr="009C4695">
              <w:rPr>
                <w:bCs/>
                <w:color w:val="000000" w:themeColor="text1"/>
                <w:sz w:val="22"/>
                <w:szCs w:val="20"/>
              </w:rPr>
              <w:t>загуби от търговия за собствена сметка с финансови инструменти;</w:t>
            </w:r>
          </w:p>
          <w:p w14:paraId="15599CBB" w14:textId="77777777" w:rsidR="001B665C" w:rsidRPr="009C4695" w:rsidRDefault="009C4695">
            <w:pPr>
              <w:pStyle w:val="Point1letter"/>
              <w:numPr>
                <w:ilvl w:val="0"/>
                <w:numId w:val="0"/>
              </w:numPr>
              <w:ind w:left="350" w:hanging="426"/>
              <w:rPr>
                <w:rFonts w:eastAsia="Times New Roman"/>
                <w:bCs/>
                <w:color w:val="000000" w:themeColor="text1"/>
                <w:sz w:val="22"/>
                <w:szCs w:val="20"/>
              </w:rPr>
            </w:pPr>
            <w:r w:rsidRPr="009C4695">
              <w:rPr>
                <w:rFonts w:eastAsia="Times New Roman"/>
                <w:bCs/>
                <w:color w:val="000000" w:themeColor="text1"/>
                <w:sz w:val="22"/>
                <w:szCs w:val="20"/>
              </w:rPr>
              <w:t>д)</w:t>
            </w:r>
            <w:r w:rsidRPr="009C4695">
              <w:rPr>
                <w:rFonts w:eastAsia="Times New Roman"/>
                <w:bCs/>
                <w:color w:val="000000" w:themeColor="text1"/>
                <w:sz w:val="22"/>
                <w:szCs w:val="20"/>
              </w:rPr>
              <w:tab/>
            </w:r>
            <w:r w:rsidRPr="009C4695">
              <w:rPr>
                <w:bCs/>
                <w:color w:val="000000" w:themeColor="text1"/>
                <w:sz w:val="22"/>
                <w:szCs w:val="20"/>
              </w:rPr>
              <w:t>пл</w:t>
            </w:r>
            <w:r w:rsidRPr="009C4695">
              <w:rPr>
                <w:bCs/>
                <w:color w:val="000000" w:themeColor="text1"/>
                <w:sz w:val="22"/>
                <w:szCs w:val="20"/>
              </w:rPr>
              <w:t>ащания, свързани с договорни споразумения за прехвърляне на печалби и загуби, съгласно които инвестиционният посредник е длъжен да прехвърли, след изготвянето на годишните си финансови отчети, годишния си резултат на предприятието майка;</w:t>
            </w:r>
          </w:p>
          <w:p w14:paraId="29DE7EBD" w14:textId="77777777" w:rsidR="001B665C" w:rsidRPr="009C4695" w:rsidRDefault="009C4695">
            <w:pPr>
              <w:pStyle w:val="Point1letter"/>
              <w:numPr>
                <w:ilvl w:val="0"/>
                <w:numId w:val="0"/>
              </w:numPr>
              <w:ind w:left="350" w:hanging="426"/>
              <w:rPr>
                <w:rFonts w:eastAsia="Times New Roman"/>
                <w:bCs/>
                <w:color w:val="000000" w:themeColor="text1"/>
                <w:sz w:val="22"/>
                <w:szCs w:val="20"/>
              </w:rPr>
            </w:pPr>
            <w:r w:rsidRPr="009C4695">
              <w:rPr>
                <w:rFonts w:eastAsia="Times New Roman"/>
                <w:bCs/>
                <w:color w:val="000000" w:themeColor="text1"/>
                <w:sz w:val="22"/>
                <w:szCs w:val="20"/>
              </w:rPr>
              <w:t>е)</w:t>
            </w:r>
            <w:r w:rsidRPr="009C4695">
              <w:rPr>
                <w:rFonts w:eastAsia="Times New Roman"/>
                <w:bCs/>
                <w:color w:val="000000" w:themeColor="text1"/>
                <w:sz w:val="22"/>
                <w:szCs w:val="20"/>
              </w:rPr>
              <w:tab/>
            </w:r>
            <w:r w:rsidRPr="009C4695">
              <w:rPr>
                <w:bCs/>
              </w:rPr>
              <w:t>плащания към фо</w:t>
            </w:r>
            <w:r w:rsidRPr="009C4695">
              <w:rPr>
                <w:bCs/>
              </w:rPr>
              <w:t>нд за покриване на общи банкови рискове в съответствие с член 26, параграф 1, буква е) от Регламент (ЕС) № 575/2013;</w:t>
            </w:r>
          </w:p>
          <w:p w14:paraId="57B0D31A" w14:textId="77777777" w:rsidR="001B665C" w:rsidRPr="009C4695" w:rsidRDefault="009C4695">
            <w:pPr>
              <w:pStyle w:val="Point1letter"/>
              <w:numPr>
                <w:ilvl w:val="0"/>
                <w:numId w:val="0"/>
              </w:numPr>
              <w:ind w:left="350" w:hanging="426"/>
              <w:rPr>
                <w:rFonts w:eastAsia="Times New Roman"/>
                <w:bCs/>
                <w:color w:val="000000" w:themeColor="text1"/>
                <w:szCs w:val="20"/>
              </w:rPr>
            </w:pPr>
            <w:r w:rsidRPr="009C4695">
              <w:rPr>
                <w:rFonts w:eastAsia="Times New Roman"/>
                <w:bCs/>
                <w:color w:val="000000" w:themeColor="text1"/>
                <w:szCs w:val="20"/>
              </w:rPr>
              <w:t>ж)</w:t>
            </w:r>
            <w:r w:rsidRPr="009C4695">
              <w:rPr>
                <w:rFonts w:eastAsia="Times New Roman"/>
                <w:bCs/>
                <w:color w:val="000000" w:themeColor="text1"/>
                <w:szCs w:val="20"/>
              </w:rPr>
              <w:tab/>
            </w:r>
            <w:r w:rsidRPr="009C4695">
              <w:rPr>
                <w:bCs/>
              </w:rPr>
              <w:t xml:space="preserve">разходи, свързани с елементи, които вече са приспаднати от собствения капитал в съответствие с член 36, параграф 1 от Регламент (ЕС) </w:t>
            </w:r>
            <w:r w:rsidRPr="009C4695">
              <w:rPr>
                <w:bCs/>
              </w:rPr>
              <w:t>№ 575/2013.</w:t>
            </w:r>
          </w:p>
        </w:tc>
      </w:tr>
      <w:tr w:rsidR="001B665C" w:rsidRPr="009C4695" w14:paraId="4F6329A2" w14:textId="77777777">
        <w:tc>
          <w:tcPr>
            <w:tcW w:w="1129" w:type="dxa"/>
          </w:tcPr>
          <w:p w14:paraId="430C2330"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0060</w:t>
            </w:r>
          </w:p>
        </w:tc>
        <w:tc>
          <w:tcPr>
            <w:tcW w:w="7620" w:type="dxa"/>
          </w:tcPr>
          <w:p w14:paraId="43AEB324"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(−)Премии за персонала и други възнаграждения</w:t>
            </w:r>
          </w:p>
          <w:p w14:paraId="201B4997"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rPr>
              <w:t>Член 13, параграф 4, буква а) от Регламент (ЕС) 2019/2033.</w:t>
            </w:r>
          </w:p>
          <w:p w14:paraId="51E2F3B5" w14:textId="77777777" w:rsidR="001B665C" w:rsidRPr="009C4695" w:rsidRDefault="009C4695">
            <w:pPr>
              <w:pStyle w:val="NumPar1"/>
              <w:numPr>
                <w:ilvl w:val="0"/>
                <w:numId w:val="0"/>
              </w:numPr>
              <w:rPr>
                <w:rFonts w:eastAsia="Times New Roman"/>
                <w:bCs/>
                <w:color w:val="000000" w:themeColor="text1"/>
                <w:sz w:val="22"/>
                <w:szCs w:val="20"/>
              </w:rPr>
            </w:pPr>
            <w:r w:rsidRPr="009C4695">
              <w:rPr>
                <w:bCs/>
                <w:color w:val="000000" w:themeColor="text1"/>
                <w:sz w:val="22"/>
                <w:szCs w:val="20"/>
              </w:rPr>
              <w:t>Счита се, че премиите за персонала и другите възнаграждения зависят от нетната печалба на инвестиционния посредник през съответната г</w:t>
            </w:r>
            <w:r w:rsidRPr="009C4695">
              <w:rPr>
                <w:bCs/>
                <w:color w:val="000000" w:themeColor="text1"/>
                <w:sz w:val="22"/>
                <w:szCs w:val="20"/>
              </w:rPr>
              <w:t>одина, когато са изпълнени следните две условия:</w:t>
            </w:r>
          </w:p>
          <w:p w14:paraId="0AAC3608" w14:textId="77777777" w:rsidR="001B665C" w:rsidRPr="009C4695" w:rsidRDefault="009C4695">
            <w:pPr>
              <w:pStyle w:val="Point1letter"/>
              <w:numPr>
                <w:ilvl w:val="0"/>
                <w:numId w:val="0"/>
              </w:numPr>
              <w:ind w:left="350" w:hanging="350"/>
              <w:rPr>
                <w:rFonts w:eastAsia="Times New Roman"/>
                <w:bCs/>
                <w:color w:val="000000" w:themeColor="text1"/>
                <w:sz w:val="22"/>
                <w:szCs w:val="20"/>
              </w:rPr>
            </w:pPr>
            <w:r w:rsidRPr="009C4695">
              <w:rPr>
                <w:rFonts w:eastAsia="Times New Roman"/>
                <w:bCs/>
                <w:color w:val="000000" w:themeColor="text1"/>
                <w:sz w:val="22"/>
                <w:szCs w:val="20"/>
              </w:rPr>
              <w:t>з)</w:t>
            </w:r>
            <w:r w:rsidRPr="009C4695">
              <w:rPr>
                <w:rFonts w:eastAsia="Times New Roman"/>
                <w:bCs/>
                <w:color w:val="000000" w:themeColor="text1"/>
                <w:sz w:val="22"/>
                <w:szCs w:val="20"/>
              </w:rPr>
              <w:tab/>
            </w:r>
            <w:r w:rsidRPr="009C4695">
              <w:rPr>
                <w:bCs/>
                <w:color w:val="000000" w:themeColor="text1"/>
                <w:sz w:val="22"/>
                <w:szCs w:val="20"/>
              </w:rPr>
              <w:t>премиите за персонала или другите възнаграждения, които трябва да бъдат приспаднати, вече са били изплатени на персонала през годината, предхождаща годината на плащане, или изплащането на премиите за перс</w:t>
            </w:r>
            <w:r w:rsidRPr="009C4695">
              <w:rPr>
                <w:bCs/>
                <w:color w:val="000000" w:themeColor="text1"/>
                <w:sz w:val="22"/>
                <w:szCs w:val="20"/>
              </w:rPr>
              <w:t>онала или другите възнаграждения няма да окаже влияние върху капиталовата позиция на инвестиционния посредник през годината на плащане;</w:t>
            </w:r>
          </w:p>
          <w:p w14:paraId="0BA18B21" w14:textId="77777777" w:rsidR="001B665C" w:rsidRPr="009C4695" w:rsidRDefault="009C4695">
            <w:pPr>
              <w:pStyle w:val="Point1letter"/>
              <w:numPr>
                <w:ilvl w:val="0"/>
                <w:numId w:val="0"/>
              </w:numPr>
              <w:ind w:left="350" w:hanging="350"/>
              <w:rPr>
                <w:rFonts w:eastAsia="Times New Roman"/>
                <w:bCs/>
                <w:color w:val="000000" w:themeColor="text1"/>
              </w:rPr>
            </w:pPr>
            <w:r w:rsidRPr="009C4695">
              <w:rPr>
                <w:rFonts w:eastAsia="Times New Roman"/>
                <w:bCs/>
                <w:color w:val="000000" w:themeColor="text1"/>
              </w:rPr>
              <w:t>и)</w:t>
            </w:r>
            <w:r w:rsidRPr="009C4695">
              <w:rPr>
                <w:rFonts w:eastAsia="Times New Roman"/>
                <w:bCs/>
                <w:color w:val="000000" w:themeColor="text1"/>
              </w:rPr>
              <w:tab/>
            </w:r>
            <w:r w:rsidRPr="009C4695">
              <w:rPr>
                <w:bCs/>
                <w:color w:val="000000" w:themeColor="text1"/>
                <w:szCs w:val="20"/>
              </w:rPr>
              <w:t xml:space="preserve">по отношение на текущата година и бъдещите години посредникът не е задължен да предоставя или разпределя </w:t>
            </w:r>
            <w:r w:rsidRPr="009C4695">
              <w:rPr>
                <w:bCs/>
                <w:color w:val="000000" w:themeColor="text1"/>
                <w:szCs w:val="20"/>
              </w:rPr>
              <w:t>допълнителни премии или други плащания под формата на възнаграждение, освен ако не реализира нетна печалба през съответната година.</w:t>
            </w:r>
          </w:p>
        </w:tc>
      </w:tr>
      <w:tr w:rsidR="001B665C" w:rsidRPr="009C4695" w14:paraId="2E5E23B8" w14:textId="77777777">
        <w:tc>
          <w:tcPr>
            <w:tcW w:w="1129" w:type="dxa"/>
          </w:tcPr>
          <w:p w14:paraId="2A4111FB"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0070</w:t>
            </w:r>
          </w:p>
        </w:tc>
        <w:tc>
          <w:tcPr>
            <w:tcW w:w="7620" w:type="dxa"/>
          </w:tcPr>
          <w:p w14:paraId="1D5B93C4"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(−)Дял на служителите, директорите и съдружниците в нетната печалба</w:t>
            </w:r>
          </w:p>
          <w:p w14:paraId="5D4087EA" w14:textId="77777777" w:rsidR="001B665C" w:rsidRPr="009C4695" w:rsidRDefault="009C4695">
            <w:pPr>
              <w:spacing w:after="120" w:line="240" w:lineRule="auto"/>
              <w:jc w:val="both"/>
              <w:rPr>
                <w:rFonts w:eastAsia="Times New Roman"/>
                <w:bCs/>
                <w:color w:val="000000" w:themeColor="text1"/>
              </w:rPr>
            </w:pPr>
            <w:r w:rsidRPr="009C4695">
              <w:rPr>
                <w:rFonts w:ascii="Times New Roman" w:hAnsi="Times New Roman"/>
                <w:bCs/>
              </w:rPr>
              <w:t>Член 13, параграф 4, буква б) от Регламент (ЕС) 20</w:t>
            </w:r>
            <w:r w:rsidRPr="009C4695">
              <w:rPr>
                <w:rFonts w:ascii="Times New Roman" w:hAnsi="Times New Roman"/>
                <w:bCs/>
              </w:rPr>
              <w:t>19/2033.</w:t>
            </w:r>
          </w:p>
          <w:p w14:paraId="0FAB0150"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szCs w:val="20"/>
              </w:rPr>
              <w:t>Дяловете на служителите, директорите и съдружниците в печалбата се изчисляват въз основа на нетната печалба.</w:t>
            </w:r>
          </w:p>
        </w:tc>
      </w:tr>
      <w:tr w:rsidR="001B665C" w:rsidRPr="009C4695" w14:paraId="62CBC787" w14:textId="77777777">
        <w:tc>
          <w:tcPr>
            <w:tcW w:w="1129" w:type="dxa"/>
          </w:tcPr>
          <w:p w14:paraId="6C8D1286"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0080</w:t>
            </w:r>
          </w:p>
        </w:tc>
        <w:tc>
          <w:tcPr>
            <w:tcW w:w="7620" w:type="dxa"/>
          </w:tcPr>
          <w:p w14:paraId="7B0C7FDC"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(−)Други плащания на печалби и променливи възнаграждения по собствена преценка</w:t>
            </w:r>
          </w:p>
          <w:p w14:paraId="29920B64"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rPr>
              <w:t xml:space="preserve">Член 13, параграф 4, буква в) от Регламент (ЕС) </w:t>
            </w:r>
            <w:r w:rsidRPr="009C4695">
              <w:rPr>
                <w:rFonts w:ascii="Times New Roman" w:hAnsi="Times New Roman"/>
                <w:bCs/>
              </w:rPr>
              <w:t>2019/2033.</w:t>
            </w:r>
          </w:p>
        </w:tc>
      </w:tr>
      <w:tr w:rsidR="001B665C" w:rsidRPr="009C4695" w14:paraId="580886A5" w14:textId="77777777">
        <w:tc>
          <w:tcPr>
            <w:tcW w:w="1129" w:type="dxa"/>
          </w:tcPr>
          <w:p w14:paraId="3EB27BD5"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0090</w:t>
            </w:r>
          </w:p>
        </w:tc>
        <w:tc>
          <w:tcPr>
            <w:tcW w:w="7620" w:type="dxa"/>
          </w:tcPr>
          <w:p w14:paraId="60456289"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(−)Споделени дължими комисиони и такси</w:t>
            </w:r>
          </w:p>
          <w:p w14:paraId="60E1F889"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rPr>
              <w:t>Член 13, параграф 4, буква г) от Регламент (ЕС) 2019/2033.</w:t>
            </w:r>
          </w:p>
        </w:tc>
      </w:tr>
      <w:tr w:rsidR="001B665C" w:rsidRPr="009C4695" w14:paraId="0AFFBD6A" w14:textId="77777777">
        <w:tc>
          <w:tcPr>
            <w:tcW w:w="1129" w:type="dxa"/>
          </w:tcPr>
          <w:p w14:paraId="5A2250D7"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0100</w:t>
            </w:r>
          </w:p>
        </w:tc>
        <w:tc>
          <w:tcPr>
            <w:tcW w:w="7620" w:type="dxa"/>
          </w:tcPr>
          <w:p w14:paraId="71842D55"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(−)Възнаграждения, такси за посредничество и други такси, плащани на ЦК, които се заплащат от клиентите</w:t>
            </w:r>
          </w:p>
          <w:p w14:paraId="76CBFEED" w14:textId="77777777" w:rsidR="001B665C" w:rsidRPr="009C4695" w:rsidRDefault="009C4695">
            <w:pPr>
              <w:pStyle w:val="Point1letter"/>
              <w:numPr>
                <w:ilvl w:val="0"/>
                <w:numId w:val="0"/>
              </w:numPr>
              <w:rPr>
                <w:rFonts w:eastAsia="Times New Roman"/>
                <w:bCs/>
                <w:color w:val="000000" w:themeColor="text1"/>
              </w:rPr>
            </w:pPr>
            <w:r w:rsidRPr="009C4695">
              <w:rPr>
                <w:bCs/>
                <w:color w:val="000000" w:themeColor="text1"/>
              </w:rPr>
              <w:t>Възнаграждения, такси за посред</w:t>
            </w:r>
            <w:r w:rsidRPr="009C4695">
              <w:rPr>
                <w:bCs/>
                <w:color w:val="000000" w:themeColor="text1"/>
              </w:rPr>
              <w:t xml:space="preserve">ничество и други такси, плащани на централни контрагенти, борси и други места на търговия и междинни посредници за целите на извършването, регистрирането или клиринга на сделки, само когато те пряко се прехвърлят към клиентите и се заплащат от тях. Тук не </w:t>
            </w:r>
            <w:r w:rsidRPr="009C4695">
              <w:rPr>
                <w:bCs/>
                <w:color w:val="000000" w:themeColor="text1"/>
              </w:rPr>
              <w:t xml:space="preserve">се включват таксите и другите плащания, необходими за запазване на членството или за изпълнение по друг начин на финансови задължения за поделяне на загуби към централните контрагенти, борсите и други места на търговия; </w:t>
            </w:r>
          </w:p>
        </w:tc>
      </w:tr>
      <w:tr w:rsidR="001B665C" w:rsidRPr="009C4695" w14:paraId="3CE90F4C" w14:textId="77777777">
        <w:tc>
          <w:tcPr>
            <w:tcW w:w="1129" w:type="dxa"/>
          </w:tcPr>
          <w:p w14:paraId="101253F7"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0110</w:t>
            </w:r>
          </w:p>
        </w:tc>
        <w:tc>
          <w:tcPr>
            <w:tcW w:w="7620" w:type="dxa"/>
          </w:tcPr>
          <w:p w14:paraId="2A2BF702"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(−)Такси на обвързани агенти</w:t>
            </w:r>
          </w:p>
          <w:p w14:paraId="73AFDE1E"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rPr>
              <w:t>Член 13, параграф 4, буква д) от Регламент (ЕС) 2019/2033.</w:t>
            </w:r>
          </w:p>
        </w:tc>
      </w:tr>
      <w:tr w:rsidR="001B665C" w:rsidRPr="009C4695" w14:paraId="40043E8C" w14:textId="77777777">
        <w:tc>
          <w:tcPr>
            <w:tcW w:w="1129" w:type="dxa"/>
          </w:tcPr>
          <w:p w14:paraId="53FCADC0"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0120</w:t>
            </w:r>
          </w:p>
        </w:tc>
        <w:tc>
          <w:tcPr>
            <w:tcW w:w="7620" w:type="dxa"/>
          </w:tcPr>
          <w:p w14:paraId="1FA2821B"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(−)Лихва, платена на клиенти върху парични средства на клиенти по преценка на посредника</w:t>
            </w:r>
          </w:p>
          <w:p w14:paraId="38661A1B"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 xml:space="preserve">Лихва, платена на клиенти върху парични средства на клиенти, когато няма задължение за плащане на </w:t>
            </w:r>
            <w:r w:rsidRPr="009C4695">
              <w:rPr>
                <w:rFonts w:ascii="Times New Roman" w:hAnsi="Times New Roman"/>
                <w:bCs/>
                <w:color w:val="000000" w:themeColor="text1"/>
              </w:rPr>
              <w:t>такава лихва</w:t>
            </w:r>
            <w:r w:rsidRPr="009C4695">
              <w:t>;</w:t>
            </w:r>
          </w:p>
        </w:tc>
      </w:tr>
      <w:tr w:rsidR="001B665C" w:rsidRPr="009C4695" w14:paraId="4E6F9259" w14:textId="77777777">
        <w:tc>
          <w:tcPr>
            <w:tcW w:w="1129" w:type="dxa"/>
          </w:tcPr>
          <w:p w14:paraId="7DE0584C"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0130</w:t>
            </w:r>
          </w:p>
        </w:tc>
        <w:tc>
          <w:tcPr>
            <w:tcW w:w="7620" w:type="dxa"/>
          </w:tcPr>
          <w:p w14:paraId="22A85AD7"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(−)Еднократни разходи за дейности, които не са обичайни</w:t>
            </w:r>
          </w:p>
          <w:p w14:paraId="2FB1AE11"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rPr>
              <w:t>Член 13, параграф 4, буква е) от Регламент (ЕС) 2019/2033.</w:t>
            </w:r>
          </w:p>
        </w:tc>
      </w:tr>
      <w:tr w:rsidR="001B665C" w:rsidRPr="009C4695" w14:paraId="04729DC8" w14:textId="77777777">
        <w:tc>
          <w:tcPr>
            <w:tcW w:w="1129" w:type="dxa"/>
          </w:tcPr>
          <w:p w14:paraId="294E47CF"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0140</w:t>
            </w:r>
          </w:p>
          <w:p w14:paraId="3B25A41F" w14:textId="77777777" w:rsidR="001B665C" w:rsidRPr="009C4695" w:rsidRDefault="001B665C">
            <w:pPr>
              <w:spacing w:after="120" w:line="240" w:lineRule="auto"/>
              <w:jc w:val="both"/>
              <w:rPr>
                <w:rFonts w:ascii="Times New Roman" w:eastAsia="Times New Roman" w:hAnsi="Times New Roman" w:cs="Times New Roman"/>
                <w:bCs/>
                <w:color w:val="000000" w:themeColor="text1"/>
                <w:lang w:val="en-IE" w:eastAsia="de-DE"/>
              </w:rPr>
            </w:pPr>
          </w:p>
        </w:tc>
        <w:tc>
          <w:tcPr>
            <w:tcW w:w="7620" w:type="dxa"/>
          </w:tcPr>
          <w:p w14:paraId="2E15FD86" w14:textId="77777777" w:rsidR="001B665C" w:rsidRPr="009C4695" w:rsidRDefault="009C4695">
            <w:pPr>
              <w:spacing w:after="120" w:line="240" w:lineRule="auto"/>
              <w:jc w:val="both"/>
              <w:rPr>
                <w:rFonts w:ascii="Times New Roman" w:eastAsia="Times New Roman" w:hAnsi="Times New Roman" w:cs="Times New Roman"/>
                <w:bCs/>
                <w:color w:val="000000" w:themeColor="text1"/>
                <w:u w:val="single"/>
              </w:rPr>
            </w:pPr>
            <w:r w:rsidRPr="009C4695">
              <w:rPr>
                <w:rFonts w:ascii="Times New Roman" w:hAnsi="Times New Roman"/>
                <w:b/>
                <w:bCs/>
                <w:color w:val="000000" w:themeColor="text1"/>
                <w:u w:val="single"/>
              </w:rPr>
              <w:t>(−)Разходи за данъци</w:t>
            </w:r>
          </w:p>
          <w:p w14:paraId="1CABC35E" w14:textId="77777777" w:rsidR="001B665C" w:rsidRPr="009C4695" w:rsidRDefault="009C4695">
            <w:pPr>
              <w:spacing w:after="120" w:line="240" w:lineRule="auto"/>
              <w:jc w:val="both"/>
              <w:rPr>
                <w:rFonts w:ascii="Times New Roman" w:eastAsia="Times New Roman" w:hAnsi="Times New Roman" w:cs="Times New Roman"/>
                <w:color w:val="000000" w:themeColor="text1"/>
              </w:rPr>
            </w:pPr>
            <w:r w:rsidRPr="009C4695">
              <w:rPr>
                <w:rFonts w:ascii="Times New Roman" w:hAnsi="Times New Roman"/>
                <w:bCs/>
                <w:color w:val="000000" w:themeColor="text1"/>
              </w:rPr>
              <w:t xml:space="preserve">Разходи за данъци, когато те станат дължими във връзка с годишната печалба на </w:t>
            </w:r>
            <w:r w:rsidRPr="009C4695">
              <w:rPr>
                <w:rFonts w:ascii="Times New Roman" w:hAnsi="Times New Roman"/>
                <w:bCs/>
                <w:color w:val="000000" w:themeColor="text1"/>
              </w:rPr>
              <w:t>инвестиционния посредник.</w:t>
            </w:r>
          </w:p>
        </w:tc>
      </w:tr>
      <w:tr w:rsidR="001B665C" w:rsidRPr="009C4695" w14:paraId="48A9D94D" w14:textId="77777777">
        <w:tc>
          <w:tcPr>
            <w:tcW w:w="1129" w:type="dxa"/>
          </w:tcPr>
          <w:p w14:paraId="3C1BB0B6"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0150</w:t>
            </w:r>
          </w:p>
        </w:tc>
        <w:tc>
          <w:tcPr>
            <w:tcW w:w="7620" w:type="dxa"/>
          </w:tcPr>
          <w:p w14:paraId="0D5712A8"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(−)Загуби от търговия за собствена сметка с финансови инструменти</w:t>
            </w:r>
          </w:p>
          <w:p w14:paraId="60737705"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Загуби от търговия за собствена сметка с финансови инструменти.</w:t>
            </w:r>
          </w:p>
        </w:tc>
      </w:tr>
      <w:tr w:rsidR="001B665C" w:rsidRPr="009C4695" w14:paraId="0B7EACE3" w14:textId="77777777">
        <w:tc>
          <w:tcPr>
            <w:tcW w:w="1129" w:type="dxa"/>
          </w:tcPr>
          <w:p w14:paraId="37023AB0"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0160</w:t>
            </w:r>
          </w:p>
        </w:tc>
        <w:tc>
          <w:tcPr>
            <w:tcW w:w="7620" w:type="dxa"/>
          </w:tcPr>
          <w:p w14:paraId="6B923200"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(–)Договорни споразумения за прехвърляне на печалби и загуби</w:t>
            </w:r>
          </w:p>
          <w:p w14:paraId="62950F73"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Плащания, свързани с догово</w:t>
            </w:r>
            <w:r w:rsidRPr="009C4695">
              <w:rPr>
                <w:rFonts w:ascii="Times New Roman" w:hAnsi="Times New Roman"/>
                <w:bCs/>
                <w:color w:val="000000" w:themeColor="text1"/>
              </w:rPr>
              <w:t xml:space="preserve">рни споразумения за прехвърляне на печалби и загуби, съгласно които инвестиционният посредник е длъжен да прехвърли, след изготвянето на годишните си финансови отчети, годишния си резултат на предприятието майка. </w:t>
            </w:r>
          </w:p>
        </w:tc>
      </w:tr>
      <w:tr w:rsidR="001B665C" w:rsidRPr="009C4695" w14:paraId="26709849" w14:textId="77777777">
        <w:tc>
          <w:tcPr>
            <w:tcW w:w="1129" w:type="dxa"/>
          </w:tcPr>
          <w:p w14:paraId="15BB287B"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0170</w:t>
            </w:r>
          </w:p>
        </w:tc>
        <w:tc>
          <w:tcPr>
            <w:tcW w:w="7620" w:type="dxa"/>
          </w:tcPr>
          <w:p w14:paraId="480CAA02"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(−)Разходи за суровини</w:t>
            </w:r>
          </w:p>
          <w:p w14:paraId="28E2F8D4"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rPr>
              <w:t xml:space="preserve">Дилърите на стоки и квоти за емисии може да приспадат разходите за суровини във връзка с инвестиционен посредник, търгуващ с деривати на базовата стока. </w:t>
            </w:r>
          </w:p>
        </w:tc>
      </w:tr>
      <w:tr w:rsidR="001B665C" w:rsidRPr="009C4695" w14:paraId="1C7475F1" w14:textId="77777777">
        <w:tc>
          <w:tcPr>
            <w:tcW w:w="1129" w:type="dxa"/>
          </w:tcPr>
          <w:p w14:paraId="488EF5FF"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0180</w:t>
            </w:r>
          </w:p>
        </w:tc>
        <w:tc>
          <w:tcPr>
            <w:tcW w:w="7620" w:type="dxa"/>
          </w:tcPr>
          <w:p w14:paraId="2F800A6F"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(−)Плащания към фонд за покриване на общи банкови рискове</w:t>
            </w:r>
          </w:p>
          <w:p w14:paraId="5E1D1326" w14:textId="77777777" w:rsidR="001B665C" w:rsidRPr="009C4695" w:rsidRDefault="009C4695">
            <w:pPr>
              <w:pStyle w:val="Point1letter"/>
              <w:numPr>
                <w:ilvl w:val="0"/>
                <w:numId w:val="0"/>
              </w:numPr>
              <w:rPr>
                <w:rFonts w:eastAsia="Times New Roman"/>
                <w:b/>
                <w:bCs/>
                <w:color w:val="000000" w:themeColor="text1"/>
                <w:sz w:val="22"/>
                <w:u w:val="single"/>
              </w:rPr>
            </w:pPr>
            <w:r w:rsidRPr="009C4695">
              <w:t>Плащания към фонд за покриване на общи</w:t>
            </w:r>
            <w:r w:rsidRPr="009C4695">
              <w:t xml:space="preserve"> банкови рискове в съответствие с член 26, параграф 1, буква е) от Регламент (ЕС) № 575/2013.</w:t>
            </w:r>
          </w:p>
        </w:tc>
      </w:tr>
      <w:tr w:rsidR="001B665C" w:rsidRPr="009C4695" w14:paraId="784B4EA3" w14:textId="77777777">
        <w:tc>
          <w:tcPr>
            <w:tcW w:w="1129" w:type="dxa"/>
          </w:tcPr>
          <w:p w14:paraId="3ADD6FEC"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0190</w:t>
            </w:r>
          </w:p>
        </w:tc>
        <w:tc>
          <w:tcPr>
            <w:tcW w:w="7620" w:type="dxa"/>
          </w:tcPr>
          <w:p w14:paraId="5C1B949D"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(−)Разходи, свързани с елементи, които вече са приспаднати от собствения капитал</w:t>
            </w:r>
          </w:p>
          <w:p w14:paraId="292129BF"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Cs/>
              </w:rPr>
              <w:t xml:space="preserve">Разходи, свързани с елементи, които вече са приспаднати от собствения капитал в съответствие с член 36, параграф 1 от Регламент (ЕС) № 575/2013 </w:t>
            </w:r>
          </w:p>
        </w:tc>
      </w:tr>
      <w:tr w:rsidR="001B665C" w:rsidRPr="009C4695" w14:paraId="76E648F2" w14:textId="77777777">
        <w:tc>
          <w:tcPr>
            <w:tcW w:w="1129" w:type="dxa"/>
          </w:tcPr>
          <w:p w14:paraId="7C14C3A3"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0200</w:t>
            </w:r>
          </w:p>
        </w:tc>
        <w:tc>
          <w:tcPr>
            <w:tcW w:w="7620" w:type="dxa"/>
          </w:tcPr>
          <w:p w14:paraId="43A2514E"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Прогнозни постоянни общи разходи за текущата година</w:t>
            </w:r>
          </w:p>
          <w:p w14:paraId="4515F860"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Прогнозата за постоянните общи разходи за текущата го</w:t>
            </w:r>
            <w:r w:rsidRPr="009C4695">
              <w:rPr>
                <w:rFonts w:ascii="Times New Roman" w:hAnsi="Times New Roman"/>
                <w:bCs/>
                <w:color w:val="000000" w:themeColor="text1"/>
              </w:rPr>
              <w:t>дина след разпределянето на печалбата.</w:t>
            </w:r>
          </w:p>
        </w:tc>
      </w:tr>
      <w:tr w:rsidR="001B665C" w:rsidRPr="009C4695" w14:paraId="2D0C7835" w14:textId="77777777">
        <w:tc>
          <w:tcPr>
            <w:tcW w:w="1129" w:type="dxa"/>
          </w:tcPr>
          <w:p w14:paraId="7B897674"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0210</w:t>
            </w:r>
          </w:p>
        </w:tc>
        <w:tc>
          <w:tcPr>
            <w:tcW w:w="7620" w:type="dxa"/>
          </w:tcPr>
          <w:p w14:paraId="63923ACC"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Изменение на постоянните общи разходи (%)</w:t>
            </w:r>
          </w:p>
          <w:p w14:paraId="7BE68B48"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Докладва се като абсолютната стойност на:</w:t>
            </w:r>
          </w:p>
          <w:p w14:paraId="567A4DEE"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 xml:space="preserve">[(Прогнозните постоянни общи разходи за текущата година) – (Годишните постоянни общи разходи за предходната </w:t>
            </w:r>
            <w:r w:rsidRPr="009C4695">
              <w:rPr>
                <w:rFonts w:ascii="Times New Roman" w:hAnsi="Times New Roman"/>
                <w:bCs/>
                <w:color w:val="000000" w:themeColor="text1"/>
              </w:rPr>
              <w:t>година)]/(Годишните постоянни общи разходи за предходната година)</w:t>
            </w:r>
          </w:p>
        </w:tc>
      </w:tr>
    </w:tbl>
    <w:p w14:paraId="526C4D70" w14:textId="77777777" w:rsidR="001B665C" w:rsidRPr="009C4695" w:rsidRDefault="001B665C">
      <w:pPr>
        <w:spacing w:after="120" w:line="240" w:lineRule="auto"/>
        <w:jc w:val="both"/>
        <w:rPr>
          <w:rFonts w:ascii="Times New Roman" w:eastAsia="Times New Roman" w:hAnsi="Times New Roman" w:cs="Times New Roman"/>
          <w:sz w:val="24"/>
          <w:szCs w:val="24"/>
          <w:lang w:eastAsia="de-DE"/>
        </w:rPr>
      </w:pPr>
    </w:p>
    <w:p w14:paraId="1FE3A6C5" w14:textId="77777777" w:rsidR="001B665C" w:rsidRPr="009C4695" w:rsidRDefault="009C469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0" w:name="_Toc88218317"/>
      <w:r w:rsidRPr="009C4695">
        <w:rPr>
          <w:rFonts w:ascii="Times New Roman" w:hAnsi="Times New Roman"/>
          <w:sz w:val="24"/>
          <w:szCs w:val="24"/>
          <w:u w:val="single"/>
        </w:rPr>
        <w:t>1.6.</w:t>
      </w:r>
      <w:r w:rsidRPr="009C4695">
        <w:rPr>
          <w:rFonts w:ascii="Times New Roman" w:hAnsi="Times New Roman"/>
          <w:sz w:val="24"/>
          <w:szCs w:val="24"/>
          <w:u w:val="single"/>
        </w:rPr>
        <w:t xml:space="preserve"> I </w:t>
      </w:r>
      <w:r w:rsidRPr="009C4695">
        <w:rPr>
          <w:rFonts w:ascii="Times New Roman" w:hAnsi="Times New Roman"/>
          <w:sz w:val="24"/>
          <w:szCs w:val="24"/>
          <w:u w:val="single"/>
        </w:rPr>
        <w:t>04.00</w:t>
      </w:r>
      <w:r w:rsidRPr="009C4695">
        <w:rPr>
          <w:rFonts w:ascii="Times New Roman" w:hAnsi="Times New Roman"/>
          <w:sz w:val="24"/>
          <w:szCs w:val="24"/>
          <w:u w:val="single"/>
        </w:rPr>
        <w:t xml:space="preserve"> — ИЗЧИСЛЯВАНЕ НА ОБЩОТО ИЗИСКВАНЕ ВЪЗ ОСНОВА НА К-ФАКТОРИТЕ (I 4)</w:t>
      </w:r>
      <w:bookmarkEnd w:id="40"/>
    </w:p>
    <w:p w14:paraId="7B818850" w14:textId="77777777" w:rsidR="001B665C" w:rsidRPr="009C4695" w:rsidRDefault="009C469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1" w:name="_Toc88218318"/>
      <w:r w:rsidRPr="009C4695">
        <w:rPr>
          <w:rFonts w:ascii="Times New Roman" w:hAnsi="Times New Roman"/>
          <w:sz w:val="24"/>
          <w:szCs w:val="24"/>
        </w:rPr>
        <w:t>1.6.1.</w:t>
      </w:r>
      <w:r w:rsidRPr="009C4695">
        <w:rPr>
          <w:rFonts w:ascii="Times New Roman" w:hAnsi="Times New Roman"/>
          <w:sz w:val="24"/>
          <w:szCs w:val="24"/>
        </w:rPr>
        <w:tab/>
      </w:r>
      <w:r w:rsidRPr="009C4695">
        <w:rPr>
          <w:rFonts w:ascii="Times New Roman" w:hAnsi="Times New Roman"/>
          <w:sz w:val="24"/>
          <w:szCs w:val="24"/>
          <w:u w:val="single"/>
        </w:rPr>
        <w:t>Указания относно определени позиции</w:t>
      </w:r>
      <w:bookmarkEnd w:id="4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665C" w:rsidRPr="009C4695" w14:paraId="7B5AAA21" w14:textId="77777777">
        <w:tc>
          <w:tcPr>
            <w:tcW w:w="1129" w:type="dxa"/>
            <w:shd w:val="clear" w:color="auto" w:fill="D9D9D9"/>
          </w:tcPr>
          <w:p w14:paraId="33576078"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color w:val="000000" w:themeColor="text1"/>
              </w:rPr>
              <w:t>Ред</w:t>
            </w:r>
          </w:p>
        </w:tc>
        <w:tc>
          <w:tcPr>
            <w:tcW w:w="7620" w:type="dxa"/>
            <w:shd w:val="clear" w:color="auto" w:fill="D9D9D9"/>
          </w:tcPr>
          <w:p w14:paraId="3A1CBBBA"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color w:val="000000" w:themeColor="text1"/>
              </w:rPr>
              <w:t>Препратки към законодателни актове и указания</w:t>
            </w:r>
          </w:p>
        </w:tc>
      </w:tr>
      <w:tr w:rsidR="001B665C" w:rsidRPr="009C4695" w14:paraId="6F73CECC" w14:textId="77777777">
        <w:tc>
          <w:tcPr>
            <w:tcW w:w="1129" w:type="dxa"/>
          </w:tcPr>
          <w:p w14:paraId="603DB2D7"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0010</w:t>
            </w:r>
          </w:p>
        </w:tc>
        <w:tc>
          <w:tcPr>
            <w:tcW w:w="7620" w:type="dxa"/>
          </w:tcPr>
          <w:p w14:paraId="3A02CFE0"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 xml:space="preserve">ОБЩО </w:t>
            </w:r>
            <w:r w:rsidRPr="009C4695">
              <w:rPr>
                <w:rFonts w:ascii="Times New Roman" w:hAnsi="Times New Roman"/>
                <w:b/>
                <w:bCs/>
                <w:color w:val="000000" w:themeColor="text1"/>
                <w:u w:val="single"/>
              </w:rPr>
              <w:t>ИЗИСКВАНЕ ВЪЗ ОСНОВА НА К-ФАКТОРИТЕ</w:t>
            </w:r>
          </w:p>
          <w:p w14:paraId="18EDA230"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Cs/>
              </w:rPr>
              <w:t>Член 15, параграф 1 от Регламент (ЕС) 2019/2033.</w:t>
            </w:r>
          </w:p>
        </w:tc>
      </w:tr>
      <w:tr w:rsidR="001B665C" w:rsidRPr="009C4695" w14:paraId="340B9449" w14:textId="77777777">
        <w:tc>
          <w:tcPr>
            <w:tcW w:w="1129" w:type="dxa"/>
          </w:tcPr>
          <w:p w14:paraId="48D14D43"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0020</w:t>
            </w:r>
          </w:p>
        </w:tc>
        <w:tc>
          <w:tcPr>
            <w:tcW w:w="7620" w:type="dxa"/>
          </w:tcPr>
          <w:p w14:paraId="208DE593"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Риск за клиентите</w:t>
            </w:r>
          </w:p>
          <w:p w14:paraId="7EACF0E5"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rPr>
              <w:t>Член 16 от Регламент (ЕС) 2019/2033.</w:t>
            </w:r>
          </w:p>
          <w:p w14:paraId="4BA27FBF"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Cs/>
                <w:color w:val="000000" w:themeColor="text1"/>
              </w:rPr>
              <w:t>Докладваната стойност е сборът на редове 0030—0080.</w:t>
            </w:r>
          </w:p>
        </w:tc>
      </w:tr>
      <w:tr w:rsidR="001B665C" w:rsidRPr="009C4695" w14:paraId="01EA7A9F" w14:textId="77777777">
        <w:tc>
          <w:tcPr>
            <w:tcW w:w="1129" w:type="dxa"/>
          </w:tcPr>
          <w:p w14:paraId="3B447C74"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0030</w:t>
            </w:r>
          </w:p>
        </w:tc>
        <w:tc>
          <w:tcPr>
            <w:tcW w:w="7620" w:type="dxa"/>
          </w:tcPr>
          <w:p w14:paraId="4D673001"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
                <w:bCs/>
                <w:color w:val="000000" w:themeColor="text1"/>
                <w:u w:val="single"/>
              </w:rPr>
              <w:t>Управлявани активи</w:t>
            </w:r>
          </w:p>
          <w:p w14:paraId="0AA9633E"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rPr>
              <w:t xml:space="preserve">Член 15, параграф 2 и член 17 </w:t>
            </w:r>
            <w:r w:rsidRPr="009C4695">
              <w:rPr>
                <w:rFonts w:ascii="Times New Roman" w:hAnsi="Times New Roman"/>
                <w:bCs/>
              </w:rPr>
              <w:t>от Регламент (ЕС) 2019/2033.</w:t>
            </w:r>
          </w:p>
          <w:p w14:paraId="1F5102F0"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Управляваните активи включват управлението на активи в рамките на дискреционно управление на портфейл и недискреционни договорености за предоставяне на съвети.</w:t>
            </w:r>
          </w:p>
        </w:tc>
      </w:tr>
      <w:tr w:rsidR="001B665C" w:rsidRPr="009C4695" w14:paraId="72F9DAE6" w14:textId="77777777">
        <w:trPr>
          <w:trHeight w:val="883"/>
        </w:trPr>
        <w:tc>
          <w:tcPr>
            <w:tcW w:w="1129" w:type="dxa"/>
          </w:tcPr>
          <w:p w14:paraId="1B6ED98A"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0040</w:t>
            </w:r>
          </w:p>
        </w:tc>
        <w:tc>
          <w:tcPr>
            <w:tcW w:w="7620" w:type="dxa"/>
          </w:tcPr>
          <w:p w14:paraId="069C4A52"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Държани парични средства на клиенти — по обособени сметки</w:t>
            </w:r>
          </w:p>
          <w:p w14:paraId="34DBE556"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Cs/>
              </w:rPr>
              <w:t>Чле</w:t>
            </w:r>
            <w:r w:rsidRPr="009C4695">
              <w:rPr>
                <w:rFonts w:ascii="Times New Roman" w:hAnsi="Times New Roman"/>
                <w:bCs/>
              </w:rPr>
              <w:t>н 15, параграф 2 и член 18 от Регламент (ЕС) 2019/2033.</w:t>
            </w:r>
          </w:p>
        </w:tc>
      </w:tr>
      <w:tr w:rsidR="001B665C" w:rsidRPr="009C4695" w14:paraId="0E027609" w14:textId="77777777">
        <w:trPr>
          <w:trHeight w:val="982"/>
        </w:trPr>
        <w:tc>
          <w:tcPr>
            <w:tcW w:w="1129" w:type="dxa"/>
          </w:tcPr>
          <w:p w14:paraId="764F8E68"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0050</w:t>
            </w:r>
          </w:p>
        </w:tc>
        <w:tc>
          <w:tcPr>
            <w:tcW w:w="7620" w:type="dxa"/>
          </w:tcPr>
          <w:p w14:paraId="65171880"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Държани парични средства на клиенти — по необособени сметки</w:t>
            </w:r>
          </w:p>
          <w:p w14:paraId="4213D5EB"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Cs/>
              </w:rPr>
              <w:t>Член 15, параграф 2 и член 18 от Регламент (ЕС) 2019/2033.</w:t>
            </w:r>
          </w:p>
        </w:tc>
      </w:tr>
      <w:tr w:rsidR="001B665C" w:rsidRPr="009C4695" w14:paraId="50122E9A" w14:textId="77777777">
        <w:tc>
          <w:tcPr>
            <w:tcW w:w="1129" w:type="dxa"/>
          </w:tcPr>
          <w:p w14:paraId="0F76ECB2"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0060</w:t>
            </w:r>
          </w:p>
        </w:tc>
        <w:tc>
          <w:tcPr>
            <w:tcW w:w="7620" w:type="dxa"/>
          </w:tcPr>
          <w:p w14:paraId="60632FB2"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Съхранявани и администрирани активи</w:t>
            </w:r>
          </w:p>
          <w:p w14:paraId="5829A0FF"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rPr>
              <w:t xml:space="preserve">Член 15, параграф 2 и член 19 </w:t>
            </w:r>
            <w:r w:rsidRPr="009C4695">
              <w:rPr>
                <w:rFonts w:ascii="Times New Roman" w:hAnsi="Times New Roman"/>
                <w:bCs/>
              </w:rPr>
              <w:t>от Регламент (ЕС) 2019/2033.</w:t>
            </w:r>
          </w:p>
        </w:tc>
      </w:tr>
      <w:tr w:rsidR="001B665C" w:rsidRPr="009C4695" w14:paraId="6739F013" w14:textId="77777777">
        <w:tc>
          <w:tcPr>
            <w:tcW w:w="1129" w:type="dxa"/>
          </w:tcPr>
          <w:p w14:paraId="6492AD39"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0070</w:t>
            </w:r>
          </w:p>
        </w:tc>
        <w:tc>
          <w:tcPr>
            <w:tcW w:w="7620" w:type="dxa"/>
          </w:tcPr>
          <w:p w14:paraId="6A0C5765"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Изпълнени нареждания на клиенти — сделки с парични разплащания</w:t>
            </w:r>
          </w:p>
          <w:p w14:paraId="7681A8E9"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rPr>
              <w:t>Член 15, параграф 2, член 20, параграф 1 и член 20, параграф 2, буква а) от Регламент (ЕС) 2019/2033.</w:t>
            </w:r>
          </w:p>
        </w:tc>
      </w:tr>
      <w:tr w:rsidR="001B665C" w:rsidRPr="009C4695" w14:paraId="6852609C" w14:textId="77777777">
        <w:tc>
          <w:tcPr>
            <w:tcW w:w="1129" w:type="dxa"/>
          </w:tcPr>
          <w:p w14:paraId="34BBE571"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0080</w:t>
            </w:r>
          </w:p>
        </w:tc>
        <w:tc>
          <w:tcPr>
            <w:tcW w:w="7620" w:type="dxa"/>
          </w:tcPr>
          <w:p w14:paraId="275DE00B"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Изпълнени нареждания на клиенти — сделки с дериват</w:t>
            </w:r>
            <w:r w:rsidRPr="009C4695">
              <w:rPr>
                <w:rFonts w:ascii="Times New Roman" w:hAnsi="Times New Roman"/>
                <w:b/>
                <w:bCs/>
                <w:color w:val="000000" w:themeColor="text1"/>
                <w:u w:val="single"/>
              </w:rPr>
              <w:t>и</w:t>
            </w:r>
          </w:p>
          <w:p w14:paraId="5768BE1E"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rPr>
              <w:t>Член 15, параграф 2, член 20, параграф 1 и член 20, параграф 2, буква б) от Регламент (ЕС) 2019/2033.</w:t>
            </w:r>
          </w:p>
        </w:tc>
      </w:tr>
      <w:tr w:rsidR="001B665C" w:rsidRPr="009C4695" w14:paraId="62A2FEA3" w14:textId="77777777">
        <w:tc>
          <w:tcPr>
            <w:tcW w:w="1129" w:type="dxa"/>
          </w:tcPr>
          <w:p w14:paraId="3B512719"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0090</w:t>
            </w:r>
          </w:p>
        </w:tc>
        <w:tc>
          <w:tcPr>
            <w:tcW w:w="7620" w:type="dxa"/>
          </w:tcPr>
          <w:p w14:paraId="3355CF89"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Рискове за пазара</w:t>
            </w:r>
          </w:p>
          <w:p w14:paraId="7E07925B"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rPr>
              <w:t>Член 21, параграф 1 от Регламент (ЕС) 2019/2033.</w:t>
            </w:r>
          </w:p>
          <w:p w14:paraId="0386BA3A"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Cs/>
                <w:color w:val="000000" w:themeColor="text1"/>
              </w:rPr>
              <w:t>Докладваната стойност е сборът на редове 0100—0110.</w:t>
            </w:r>
          </w:p>
        </w:tc>
      </w:tr>
      <w:tr w:rsidR="001B665C" w:rsidRPr="009C4695" w14:paraId="3BECC6D9" w14:textId="77777777">
        <w:tc>
          <w:tcPr>
            <w:tcW w:w="1129" w:type="dxa"/>
          </w:tcPr>
          <w:p w14:paraId="220F9C91"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0100</w:t>
            </w:r>
          </w:p>
        </w:tc>
        <w:tc>
          <w:tcPr>
            <w:tcW w:w="7620" w:type="dxa"/>
          </w:tcPr>
          <w:p w14:paraId="4BF628FD"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 xml:space="preserve">Изискване въз </w:t>
            </w:r>
            <w:r w:rsidRPr="009C4695">
              <w:rPr>
                <w:rFonts w:ascii="Times New Roman" w:hAnsi="Times New Roman"/>
                <w:b/>
                <w:bCs/>
                <w:color w:val="000000" w:themeColor="text1"/>
                <w:u w:val="single"/>
              </w:rPr>
              <w:t>основа на K-фактора за риска във връзка с нетните позиции</w:t>
            </w:r>
          </w:p>
          <w:p w14:paraId="3D8F423C"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rPr>
              <w:t>Член 22 от Регламент (ЕС) 2019/2033.</w:t>
            </w:r>
          </w:p>
        </w:tc>
      </w:tr>
      <w:tr w:rsidR="001B665C" w:rsidRPr="009C4695" w14:paraId="686AE4A2" w14:textId="77777777">
        <w:tc>
          <w:tcPr>
            <w:tcW w:w="1129" w:type="dxa"/>
          </w:tcPr>
          <w:p w14:paraId="05953E83"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0110</w:t>
            </w:r>
          </w:p>
        </w:tc>
        <w:tc>
          <w:tcPr>
            <w:tcW w:w="7620" w:type="dxa"/>
          </w:tcPr>
          <w:p w14:paraId="498BEC99"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Предоставен клирингов маржин</w:t>
            </w:r>
          </w:p>
          <w:p w14:paraId="18008E97"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rPr>
              <w:t>Член 23, параграф 2 от Регламент (ЕС) 2019/2033.</w:t>
            </w:r>
          </w:p>
        </w:tc>
      </w:tr>
      <w:tr w:rsidR="001B665C" w:rsidRPr="009C4695" w14:paraId="68D78BCC" w14:textId="77777777">
        <w:tc>
          <w:tcPr>
            <w:tcW w:w="1129" w:type="dxa"/>
          </w:tcPr>
          <w:p w14:paraId="67D21A61"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0120</w:t>
            </w:r>
          </w:p>
        </w:tc>
        <w:tc>
          <w:tcPr>
            <w:tcW w:w="7620" w:type="dxa"/>
          </w:tcPr>
          <w:p w14:paraId="024ADAED"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Рискове за инвестиционния посредник</w:t>
            </w:r>
          </w:p>
          <w:p w14:paraId="0CBD67DA"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rPr>
              <w:t>Член 24 от Регламент (ЕС) 2019/2033</w:t>
            </w:r>
            <w:r w:rsidRPr="009C4695">
              <w:rPr>
                <w:rFonts w:ascii="Times New Roman" w:hAnsi="Times New Roman"/>
                <w:bCs/>
              </w:rPr>
              <w:t>.</w:t>
            </w:r>
          </w:p>
          <w:p w14:paraId="5945E10D"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Cs/>
                <w:color w:val="000000" w:themeColor="text1"/>
              </w:rPr>
              <w:t>Докладваната стойност е сборът на редове 0130—0160.</w:t>
            </w:r>
          </w:p>
        </w:tc>
      </w:tr>
      <w:tr w:rsidR="001B665C" w:rsidRPr="009C4695" w14:paraId="5F6D1155" w14:textId="77777777">
        <w:tc>
          <w:tcPr>
            <w:tcW w:w="1129" w:type="dxa"/>
          </w:tcPr>
          <w:p w14:paraId="301B0B18"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0130</w:t>
            </w:r>
          </w:p>
        </w:tc>
        <w:tc>
          <w:tcPr>
            <w:tcW w:w="7620" w:type="dxa"/>
          </w:tcPr>
          <w:p w14:paraId="18856679"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Неизпълнение на контрагент по сделка</w:t>
            </w:r>
          </w:p>
          <w:p w14:paraId="50B8DFC3"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rPr>
              <w:t>Член 26 и член 24 от Регламент (ЕС) 2019/2033.</w:t>
            </w:r>
          </w:p>
        </w:tc>
      </w:tr>
      <w:tr w:rsidR="001B665C" w:rsidRPr="009C4695" w14:paraId="2B164D7C" w14:textId="77777777">
        <w:tc>
          <w:tcPr>
            <w:tcW w:w="1129" w:type="dxa"/>
          </w:tcPr>
          <w:p w14:paraId="763ECD61"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0140</w:t>
            </w:r>
          </w:p>
        </w:tc>
        <w:tc>
          <w:tcPr>
            <w:tcW w:w="7620" w:type="dxa"/>
          </w:tcPr>
          <w:p w14:paraId="625A0AD5"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Дневен поток на трансакциите — сделки с парични разплащания</w:t>
            </w:r>
          </w:p>
          <w:p w14:paraId="335E6C50"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rPr>
              <w:t xml:space="preserve">За да изчислят изискването въз основа на </w:t>
            </w:r>
            <w:r w:rsidRPr="009C4695">
              <w:rPr>
                <w:rFonts w:ascii="Times New Roman" w:hAnsi="Times New Roman"/>
                <w:bCs/>
              </w:rPr>
              <w:t>К-факторите, при докладването инвестиционните посредници прилагат коефициента по член 15, параграф 2 от Регламент (ЕС) 2019/2033.</w:t>
            </w:r>
          </w:p>
          <w:p w14:paraId="486E1839"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rPr>
              <w:t>В случай на неблагоприятни пазарни условия в съответствие с член 15, параграф 5, буква в) от Регламент (ЕС) 2019/2033 инвестиц</w:t>
            </w:r>
            <w:r w:rsidRPr="009C4695">
              <w:rPr>
                <w:rFonts w:ascii="Times New Roman" w:hAnsi="Times New Roman"/>
                <w:bCs/>
              </w:rPr>
              <w:t>ионните посредници прилагат коригиран коефициент, както е посочено в член 1, параграф 1, буква а) от РТС, за да определят корекциите на коефициентите K за дневния поток на трансакциите.</w:t>
            </w:r>
          </w:p>
          <w:p w14:paraId="42A41068"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rPr>
              <w:t xml:space="preserve">Факторът за дневния поток на трансакциите се изчислява в съответствие </w:t>
            </w:r>
            <w:r w:rsidRPr="009C4695">
              <w:rPr>
                <w:rFonts w:ascii="Times New Roman" w:hAnsi="Times New Roman"/>
                <w:bCs/>
              </w:rPr>
              <w:t>с член 33, параграф 2, буква а) от Регламент (ЕС) 2019/2033.</w:t>
            </w:r>
          </w:p>
        </w:tc>
      </w:tr>
      <w:tr w:rsidR="001B665C" w:rsidRPr="009C4695" w14:paraId="284A4B59" w14:textId="77777777">
        <w:tc>
          <w:tcPr>
            <w:tcW w:w="1129" w:type="dxa"/>
          </w:tcPr>
          <w:p w14:paraId="11A75083"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0150</w:t>
            </w:r>
          </w:p>
        </w:tc>
        <w:tc>
          <w:tcPr>
            <w:tcW w:w="7620" w:type="dxa"/>
          </w:tcPr>
          <w:p w14:paraId="5AC8697C"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Дневен поток на трансакциите — сделки с деривати</w:t>
            </w:r>
          </w:p>
          <w:p w14:paraId="5583A737"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rPr>
              <w:t xml:space="preserve">За да изчислят изискването въз основа на К-факторите, при докладването инвестиционните посредници прилагат коефициента по член 15, параграф </w:t>
            </w:r>
            <w:r w:rsidRPr="009C4695">
              <w:rPr>
                <w:rFonts w:ascii="Times New Roman" w:hAnsi="Times New Roman"/>
                <w:bCs/>
              </w:rPr>
              <w:t>2 от Регламент (ЕС) 2019/2033.</w:t>
            </w:r>
          </w:p>
          <w:p w14:paraId="36B2DBC6"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rPr>
              <w:t>В случай на неблагоприятни пазарни условия в съответствие с член 15, параграф 5, буква в) от Регламент (ЕС) 2019/2033 инвестиционните посредници прилагат коригиран коефициент, както е посочено в член 1, параграф 1, буква б) о</w:t>
            </w:r>
            <w:r w:rsidRPr="009C4695">
              <w:rPr>
                <w:rFonts w:ascii="Times New Roman" w:hAnsi="Times New Roman"/>
                <w:bCs/>
              </w:rPr>
              <w:t>т РТС, за да определят корекциите на К-коефициентите за дневния поток на трансакциите.</w:t>
            </w:r>
          </w:p>
          <w:p w14:paraId="06A5F8E6"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rPr>
              <w:t>Факторът за дневния поток на трансакциите се изчислява в съответствие с член 33, параграф 2, буква б) от Регламент (ЕС) 2019/2033.</w:t>
            </w:r>
          </w:p>
        </w:tc>
      </w:tr>
      <w:tr w:rsidR="001B665C" w:rsidRPr="009C4695" w14:paraId="6AAAA22F" w14:textId="77777777">
        <w:tc>
          <w:tcPr>
            <w:tcW w:w="1129" w:type="dxa"/>
          </w:tcPr>
          <w:p w14:paraId="45396D39"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color w:val="000000" w:themeColor="text1"/>
              </w:rPr>
              <w:t>0160</w:t>
            </w:r>
          </w:p>
        </w:tc>
        <w:tc>
          <w:tcPr>
            <w:tcW w:w="7620" w:type="dxa"/>
          </w:tcPr>
          <w:p w14:paraId="47200005" w14:textId="77777777" w:rsidR="001B665C" w:rsidRPr="009C4695" w:rsidRDefault="009C4695">
            <w:pPr>
              <w:spacing w:after="120" w:line="240" w:lineRule="auto"/>
              <w:jc w:val="both"/>
              <w:rPr>
                <w:rFonts w:ascii="Times New Roman" w:eastAsia="Times New Roman" w:hAnsi="Times New Roman" w:cs="Times New Roman"/>
                <w:b/>
                <w:bCs/>
                <w:color w:val="000000" w:themeColor="text1"/>
                <w:u w:val="single"/>
              </w:rPr>
            </w:pPr>
            <w:r w:rsidRPr="009C4695">
              <w:rPr>
                <w:rFonts w:ascii="Times New Roman" w:hAnsi="Times New Roman"/>
                <w:b/>
                <w:bCs/>
                <w:color w:val="000000" w:themeColor="text1"/>
                <w:u w:val="single"/>
              </w:rPr>
              <w:t>Изискване въз основа на К-фактор</w:t>
            </w:r>
            <w:r w:rsidRPr="009C4695">
              <w:rPr>
                <w:rFonts w:ascii="Times New Roman" w:hAnsi="Times New Roman"/>
                <w:b/>
                <w:bCs/>
                <w:color w:val="000000" w:themeColor="text1"/>
                <w:u w:val="single"/>
              </w:rPr>
              <w:t>а за риска от концентрация</w:t>
            </w:r>
          </w:p>
          <w:p w14:paraId="31AD9144" w14:textId="77777777" w:rsidR="001B665C" w:rsidRPr="009C4695" w:rsidRDefault="009C4695">
            <w:pPr>
              <w:spacing w:after="120" w:line="240" w:lineRule="auto"/>
              <w:jc w:val="both"/>
              <w:rPr>
                <w:rFonts w:ascii="Times New Roman" w:eastAsia="Times New Roman" w:hAnsi="Times New Roman" w:cs="Times New Roman"/>
                <w:bCs/>
                <w:color w:val="000000" w:themeColor="text1"/>
              </w:rPr>
            </w:pPr>
            <w:r w:rsidRPr="009C4695">
              <w:rPr>
                <w:rFonts w:ascii="Times New Roman" w:hAnsi="Times New Roman"/>
                <w:bCs/>
              </w:rPr>
              <w:t>Член 37, параграф 2, член 39 и член 24 от Регламент (ЕС) 2019/2033.</w:t>
            </w:r>
          </w:p>
        </w:tc>
      </w:tr>
    </w:tbl>
    <w:p w14:paraId="2F1CE607" w14:textId="77777777" w:rsidR="001B665C" w:rsidRPr="009C4695" w:rsidRDefault="001B665C"/>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665C" w:rsidRPr="009C4695" w14:paraId="435D5004" w14:textId="77777777">
        <w:tc>
          <w:tcPr>
            <w:tcW w:w="1129" w:type="dxa"/>
            <w:shd w:val="clear" w:color="auto" w:fill="D9D9D9"/>
          </w:tcPr>
          <w:p w14:paraId="02B1652D" w14:textId="77777777" w:rsidR="001B665C" w:rsidRPr="009C4695" w:rsidRDefault="009C4695">
            <w:pPr>
              <w:spacing w:after="120" w:line="240" w:lineRule="auto"/>
              <w:jc w:val="both"/>
              <w:rPr>
                <w:rFonts w:ascii="Times New Roman" w:eastAsia="Times New Roman" w:hAnsi="Times New Roman" w:cs="Times New Roman"/>
                <w:bCs/>
                <w:sz w:val="24"/>
                <w:szCs w:val="24"/>
              </w:rPr>
            </w:pPr>
            <w:r w:rsidRPr="009C4695">
              <w:rPr>
                <w:rFonts w:ascii="Times New Roman" w:hAnsi="Times New Roman"/>
                <w:sz w:val="24"/>
                <w:szCs w:val="24"/>
              </w:rPr>
              <w:t>Колони</w:t>
            </w:r>
          </w:p>
        </w:tc>
        <w:tc>
          <w:tcPr>
            <w:tcW w:w="7620" w:type="dxa"/>
            <w:shd w:val="clear" w:color="auto" w:fill="D9D9D9"/>
          </w:tcPr>
          <w:p w14:paraId="6A831F86" w14:textId="77777777" w:rsidR="001B665C" w:rsidRPr="009C4695" w:rsidRDefault="009C4695">
            <w:pPr>
              <w:spacing w:after="120" w:line="240" w:lineRule="auto"/>
              <w:jc w:val="both"/>
              <w:rPr>
                <w:rFonts w:ascii="Times New Roman" w:eastAsia="Times New Roman" w:hAnsi="Times New Roman" w:cs="Times New Roman"/>
                <w:bCs/>
                <w:sz w:val="24"/>
                <w:szCs w:val="24"/>
              </w:rPr>
            </w:pPr>
            <w:r w:rsidRPr="009C4695">
              <w:rPr>
                <w:rFonts w:ascii="Times New Roman" w:hAnsi="Times New Roman"/>
                <w:sz w:val="24"/>
                <w:szCs w:val="24"/>
              </w:rPr>
              <w:t>Препратки към законодателни актове и указания</w:t>
            </w:r>
          </w:p>
        </w:tc>
      </w:tr>
      <w:tr w:rsidR="001B665C" w:rsidRPr="009C4695" w14:paraId="07B3B496" w14:textId="77777777">
        <w:tc>
          <w:tcPr>
            <w:tcW w:w="1129" w:type="dxa"/>
          </w:tcPr>
          <w:p w14:paraId="6DD38F5A" w14:textId="77777777" w:rsidR="001B665C" w:rsidRPr="009C4695" w:rsidRDefault="009C4695">
            <w:pPr>
              <w:spacing w:after="120" w:line="240" w:lineRule="auto"/>
              <w:jc w:val="both"/>
              <w:rPr>
                <w:rFonts w:ascii="Times New Roman" w:eastAsia="Times New Roman" w:hAnsi="Times New Roman" w:cs="Times New Roman"/>
                <w:bCs/>
                <w:sz w:val="24"/>
                <w:szCs w:val="24"/>
              </w:rPr>
            </w:pPr>
            <w:r w:rsidRPr="009C4695">
              <w:rPr>
                <w:rFonts w:ascii="Times New Roman" w:hAnsi="Times New Roman"/>
                <w:bCs/>
                <w:sz w:val="24"/>
                <w:szCs w:val="24"/>
              </w:rPr>
              <w:t>0010</w:t>
            </w:r>
          </w:p>
        </w:tc>
        <w:tc>
          <w:tcPr>
            <w:tcW w:w="7620" w:type="dxa"/>
          </w:tcPr>
          <w:p w14:paraId="682F7118" w14:textId="77777777" w:rsidR="001B665C" w:rsidRPr="009C4695" w:rsidRDefault="009C4695">
            <w:pPr>
              <w:spacing w:after="120" w:line="240" w:lineRule="auto"/>
              <w:jc w:val="both"/>
              <w:rPr>
                <w:rFonts w:ascii="Times New Roman" w:eastAsia="Times New Roman" w:hAnsi="Times New Roman" w:cs="Times New Roman"/>
                <w:b/>
                <w:bCs/>
                <w:color w:val="000000" w:themeColor="text1"/>
                <w:sz w:val="24"/>
                <w:szCs w:val="24"/>
                <w:u w:val="single"/>
              </w:rPr>
            </w:pPr>
            <w:r w:rsidRPr="009C4695">
              <w:rPr>
                <w:rFonts w:ascii="Times New Roman" w:hAnsi="Times New Roman"/>
                <w:b/>
                <w:bCs/>
                <w:color w:val="000000" w:themeColor="text1"/>
                <w:sz w:val="24"/>
                <w:szCs w:val="24"/>
                <w:u w:val="single"/>
              </w:rPr>
              <w:t>Стойност на фактора</w:t>
            </w:r>
          </w:p>
          <w:p w14:paraId="7F129A3B" w14:textId="77777777" w:rsidR="001B665C" w:rsidRPr="009C4695" w:rsidRDefault="009C4695">
            <w:pPr>
              <w:spacing w:after="120" w:line="240" w:lineRule="auto"/>
              <w:jc w:val="both"/>
              <w:rPr>
                <w:rFonts w:ascii="Times New Roman" w:eastAsia="Times New Roman" w:hAnsi="Times New Roman" w:cs="Times New Roman"/>
                <w:b/>
                <w:bCs/>
                <w:color w:val="000000" w:themeColor="text1"/>
                <w:sz w:val="24"/>
                <w:szCs w:val="24"/>
                <w:u w:val="single"/>
              </w:rPr>
            </w:pPr>
            <w:r w:rsidRPr="009C4695">
              <w:rPr>
                <w:rFonts w:ascii="Times New Roman" w:hAnsi="Times New Roman"/>
                <w:bCs/>
                <w:color w:val="000000" w:themeColor="text1"/>
                <w:sz w:val="24"/>
                <w:szCs w:val="24"/>
              </w:rPr>
              <w:t xml:space="preserve">Инвестиционните посредници докладват сумата, съответстваща на всеки от факторите, преди да умножат всеки фактор по съответния коефициент. </w:t>
            </w:r>
          </w:p>
        </w:tc>
      </w:tr>
      <w:tr w:rsidR="001B665C" w:rsidRPr="009C4695" w14:paraId="4E28BB7D" w14:textId="77777777">
        <w:tc>
          <w:tcPr>
            <w:tcW w:w="1129" w:type="dxa"/>
          </w:tcPr>
          <w:p w14:paraId="14238861" w14:textId="77777777" w:rsidR="001B665C" w:rsidRPr="009C4695" w:rsidRDefault="009C4695">
            <w:pPr>
              <w:spacing w:after="120" w:line="240" w:lineRule="auto"/>
              <w:jc w:val="both"/>
              <w:rPr>
                <w:rFonts w:ascii="Times New Roman" w:eastAsia="Times New Roman" w:hAnsi="Times New Roman" w:cs="Times New Roman"/>
                <w:bCs/>
                <w:sz w:val="24"/>
                <w:szCs w:val="24"/>
              </w:rPr>
            </w:pPr>
            <w:r w:rsidRPr="009C4695">
              <w:rPr>
                <w:rFonts w:ascii="Times New Roman" w:hAnsi="Times New Roman"/>
                <w:bCs/>
                <w:sz w:val="24"/>
                <w:szCs w:val="24"/>
              </w:rPr>
              <w:t>0020</w:t>
            </w:r>
          </w:p>
        </w:tc>
        <w:tc>
          <w:tcPr>
            <w:tcW w:w="7620" w:type="dxa"/>
          </w:tcPr>
          <w:p w14:paraId="3233B952" w14:textId="77777777" w:rsidR="001B665C" w:rsidRPr="009C4695" w:rsidRDefault="009C4695">
            <w:pPr>
              <w:tabs>
                <w:tab w:val="left" w:pos="720"/>
                <w:tab w:val="left" w:pos="1440"/>
                <w:tab w:val="left" w:pos="2160"/>
                <w:tab w:val="left" w:pos="2880"/>
                <w:tab w:val="left" w:pos="4973"/>
              </w:tabs>
              <w:spacing w:after="120" w:line="240" w:lineRule="auto"/>
              <w:jc w:val="both"/>
              <w:rPr>
                <w:rFonts w:ascii="Times New Roman" w:eastAsia="Times New Roman" w:hAnsi="Times New Roman" w:cs="Times New Roman"/>
                <w:b/>
                <w:bCs/>
                <w:sz w:val="24"/>
                <w:szCs w:val="24"/>
                <w:u w:val="single"/>
              </w:rPr>
            </w:pPr>
            <w:r w:rsidRPr="009C4695">
              <w:rPr>
                <w:rFonts w:ascii="Times New Roman" w:hAnsi="Times New Roman"/>
                <w:b/>
                <w:bCs/>
                <w:sz w:val="24"/>
                <w:szCs w:val="24"/>
                <w:u w:val="single"/>
              </w:rPr>
              <w:t>ИЗИСКВАНЕ ВЪЗ ОСНОВА НА К-ФАКТОРИТЕ</w:t>
            </w:r>
          </w:p>
          <w:p w14:paraId="05594E97" w14:textId="77777777" w:rsidR="001B665C" w:rsidRPr="009C4695" w:rsidRDefault="009C4695">
            <w:pPr>
              <w:tabs>
                <w:tab w:val="left" w:pos="720"/>
                <w:tab w:val="left" w:pos="1440"/>
                <w:tab w:val="left" w:pos="2160"/>
                <w:tab w:val="left" w:pos="2880"/>
              </w:tabs>
              <w:spacing w:after="120" w:line="240" w:lineRule="auto"/>
              <w:jc w:val="both"/>
              <w:rPr>
                <w:rFonts w:ascii="Times New Roman" w:eastAsia="Times New Roman" w:hAnsi="Times New Roman" w:cs="Times New Roman"/>
                <w:bCs/>
                <w:sz w:val="24"/>
                <w:szCs w:val="24"/>
              </w:rPr>
            </w:pPr>
            <w:r w:rsidRPr="009C4695">
              <w:rPr>
                <w:rFonts w:ascii="Times New Roman" w:hAnsi="Times New Roman"/>
                <w:bCs/>
                <w:sz w:val="24"/>
                <w:szCs w:val="24"/>
              </w:rPr>
              <w:t xml:space="preserve">Изчислява се в съответствие с членове 16, 21 и 24 от Делегиран </w:t>
            </w:r>
            <w:r w:rsidRPr="009C4695">
              <w:rPr>
                <w:rFonts w:ascii="Times New Roman" w:hAnsi="Times New Roman"/>
                <w:bCs/>
                <w:sz w:val="24"/>
                <w:szCs w:val="24"/>
              </w:rPr>
              <w:t>регламент (ЕС) 2019/2033.</w:t>
            </w:r>
          </w:p>
        </w:tc>
      </w:tr>
    </w:tbl>
    <w:p w14:paraId="0BAD92F0" w14:textId="77777777" w:rsidR="001B665C" w:rsidRPr="009C4695" w:rsidRDefault="001B665C">
      <w:pPr>
        <w:spacing w:after="120" w:line="240" w:lineRule="auto"/>
        <w:jc w:val="both"/>
        <w:rPr>
          <w:rFonts w:ascii="Times New Roman" w:eastAsia="Times New Roman" w:hAnsi="Times New Roman" w:cs="Times New Roman"/>
          <w:sz w:val="24"/>
          <w:szCs w:val="24"/>
          <w:lang w:eastAsia="de-DE"/>
        </w:rPr>
      </w:pPr>
    </w:p>
    <w:p w14:paraId="1CEAC394" w14:textId="77777777" w:rsidR="001B665C" w:rsidRPr="009C4695" w:rsidRDefault="009C4695">
      <w:pPr>
        <w:pStyle w:val="Instructionsberschrift2"/>
        <w:ind w:left="357" w:hanging="357"/>
      </w:pPr>
      <w:bookmarkStart w:id="42" w:name="_Toc35795022"/>
      <w:bookmarkStart w:id="43" w:name="_Toc88218319"/>
      <w:r w:rsidRPr="009C4695">
        <w:rPr>
          <w:rFonts w:ascii="Times New Roman" w:hAnsi="Times New Roman"/>
          <w:b/>
          <w:sz w:val="24"/>
        </w:rPr>
        <w:t>2. МАЛКИ И НЕВЗАИМОСВЪРЗАНИ ИНВЕСТИЦИОННИ ПОСРЕДНИЦИ</w:t>
      </w:r>
      <w:bookmarkEnd w:id="42"/>
      <w:bookmarkEnd w:id="43"/>
    </w:p>
    <w:p w14:paraId="755DB5B1" w14:textId="77777777" w:rsidR="001B665C" w:rsidRPr="009C4695" w:rsidRDefault="009C469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4" w:name="_Toc473560875"/>
      <w:bookmarkStart w:id="45" w:name="_Toc7084160"/>
      <w:bookmarkStart w:id="46" w:name="_Toc88218320"/>
      <w:bookmarkStart w:id="47" w:name="_Toc308175823"/>
      <w:bookmarkStart w:id="48" w:name="_Toc360188327"/>
      <w:r w:rsidRPr="009C4695">
        <w:rPr>
          <w:rFonts w:ascii="Times New Roman" w:hAnsi="Times New Roman"/>
          <w:sz w:val="24"/>
          <w:szCs w:val="24"/>
          <w:u w:val="single"/>
        </w:rPr>
        <w:t>2.1.</w:t>
      </w:r>
      <w:r w:rsidRPr="009C4695">
        <w:rPr>
          <w:rFonts w:ascii="Times New Roman" w:hAnsi="Times New Roman"/>
          <w:sz w:val="24"/>
          <w:szCs w:val="24"/>
          <w:u w:val="single"/>
        </w:rPr>
        <w:t xml:space="preserve"> I </w:t>
      </w:r>
      <w:r w:rsidRPr="009C4695">
        <w:rPr>
          <w:rFonts w:ascii="Times New Roman" w:hAnsi="Times New Roman"/>
          <w:sz w:val="24"/>
          <w:szCs w:val="24"/>
          <w:u w:val="single"/>
        </w:rPr>
        <w:t>05.00</w:t>
      </w:r>
      <w:r w:rsidRPr="009C4695">
        <w:rPr>
          <w:rFonts w:ascii="Times New Roman" w:hAnsi="Times New Roman"/>
          <w:sz w:val="24"/>
          <w:szCs w:val="24"/>
          <w:u w:val="single"/>
        </w:rPr>
        <w:t xml:space="preserve"> — РАЗМЕР НА ДЕЙНОСТТА — ПРЕГЛЕД НА ПРАГА (I 5)</w:t>
      </w:r>
      <w:bookmarkEnd w:id="44"/>
      <w:bookmarkEnd w:id="45"/>
      <w:bookmarkEnd w:id="46"/>
      <w:bookmarkEnd w:id="47"/>
      <w:bookmarkEnd w:id="48"/>
    </w:p>
    <w:p w14:paraId="27103898" w14:textId="77777777" w:rsidR="001B665C" w:rsidRPr="009C4695" w:rsidRDefault="009C4695">
      <w:pPr>
        <w:keepNext/>
        <w:spacing w:before="240" w:after="240" w:line="240" w:lineRule="auto"/>
        <w:ind w:left="357" w:hanging="357"/>
        <w:jc w:val="both"/>
        <w:outlineLvl w:val="1"/>
        <w:rPr>
          <w:rFonts w:ascii="Times New Roman" w:eastAsia="Times New Roman" w:hAnsi="Times New Roman" w:cs="Times New Roman"/>
          <w:b/>
        </w:rPr>
      </w:pPr>
      <w:bookmarkStart w:id="49" w:name="_Toc310414970"/>
      <w:bookmarkStart w:id="50" w:name="_Toc360188328"/>
      <w:bookmarkStart w:id="51" w:name="_Toc473560876"/>
      <w:bookmarkStart w:id="52" w:name="_Toc7084161"/>
      <w:bookmarkStart w:id="53" w:name="_Toc88218321"/>
      <w:r w:rsidRPr="009C4695">
        <w:rPr>
          <w:rFonts w:ascii="Times New Roman" w:hAnsi="Times New Roman"/>
          <w:sz w:val="24"/>
          <w:szCs w:val="24"/>
        </w:rPr>
        <w:t>2.1.1.</w:t>
      </w:r>
      <w:r w:rsidRPr="009C4695">
        <w:tab/>
      </w:r>
      <w:bookmarkStart w:id="54" w:name="_Toc308175824"/>
      <w:r w:rsidRPr="009C4695">
        <w:rPr>
          <w:rFonts w:ascii="Times New Roman" w:hAnsi="Times New Roman"/>
          <w:sz w:val="24"/>
          <w:szCs w:val="24"/>
          <w:u w:val="single"/>
        </w:rPr>
        <w:t>Указания относно определени</w:t>
      </w:r>
      <w:r w:rsidRPr="009C4695">
        <w:rPr>
          <w:rFonts w:ascii="Times New Roman" w:hAnsi="Times New Roman"/>
          <w:u w:val="single"/>
        </w:rPr>
        <w:t xml:space="preserve"> по</w:t>
      </w:r>
      <w:bookmarkEnd w:id="54"/>
      <w:bookmarkEnd w:id="49"/>
      <w:r w:rsidRPr="009C4695">
        <w:rPr>
          <w:rFonts w:ascii="Times New Roman" w:hAnsi="Times New Roman"/>
          <w:u w:val="single"/>
        </w:rPr>
        <w:t>зиции</w:t>
      </w:r>
      <w:bookmarkEnd w:id="50"/>
      <w:bookmarkEnd w:id="51"/>
      <w:bookmarkEnd w:id="52"/>
      <w:bookmarkEnd w:id="5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665C" w:rsidRPr="009C4695" w14:paraId="3C5C10C5" w14:textId="77777777">
        <w:tc>
          <w:tcPr>
            <w:tcW w:w="1129" w:type="dxa"/>
            <w:shd w:val="clear" w:color="auto" w:fill="D9D9D9"/>
          </w:tcPr>
          <w:p w14:paraId="3457EB4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Ред</w:t>
            </w:r>
          </w:p>
        </w:tc>
        <w:tc>
          <w:tcPr>
            <w:tcW w:w="7620" w:type="dxa"/>
            <w:shd w:val="clear" w:color="auto" w:fill="D9D9D9"/>
          </w:tcPr>
          <w:p w14:paraId="2BE99DEB"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Препратки към законодателни актове и указания</w:t>
            </w:r>
          </w:p>
        </w:tc>
      </w:tr>
      <w:tr w:rsidR="001B665C" w:rsidRPr="009C4695" w14:paraId="77244B6A" w14:textId="77777777">
        <w:tc>
          <w:tcPr>
            <w:tcW w:w="1129" w:type="dxa"/>
          </w:tcPr>
          <w:p w14:paraId="32FC2B9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w:t>
            </w:r>
          </w:p>
        </w:tc>
        <w:tc>
          <w:tcPr>
            <w:tcW w:w="7620" w:type="dxa"/>
          </w:tcPr>
          <w:p w14:paraId="0F20E10D"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
                <w:bCs/>
                <w:u w:val="single"/>
              </w:rPr>
              <w:t>Управлявани активи (комбинирано)</w:t>
            </w:r>
          </w:p>
          <w:p w14:paraId="7B66751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12, параграф 1, буква а) от Регламент (ЕС) 2019/2033.</w:t>
            </w:r>
          </w:p>
          <w:p w14:paraId="24A76E4B"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Когато докладващият инвестиционен посредник е част от група, докладваната стойност се определя комбинирано за всички инвестиционни посредници, които са част от груп</w:t>
            </w:r>
            <w:r w:rsidRPr="009C4695">
              <w:rPr>
                <w:rFonts w:ascii="Times New Roman" w:hAnsi="Times New Roman"/>
                <w:bCs/>
              </w:rPr>
              <w:t>а съгласно член 12, параграф 2 от Регламент (ЕС) 2019/2033.</w:t>
            </w:r>
          </w:p>
          <w:p w14:paraId="463EF2D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Инвестиционните посредници включват активите, управлявани дискреционно, както и активите, управлявани в рамките на недискреционни договорености.</w:t>
            </w:r>
          </w:p>
          <w:p w14:paraId="77F7C3ED"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Докладваната стойност е сумата, която би била изпол</w:t>
            </w:r>
            <w:r w:rsidRPr="009C4695">
              <w:rPr>
                <w:rFonts w:ascii="Times New Roman" w:hAnsi="Times New Roman"/>
                <w:bCs/>
              </w:rPr>
              <w:t xml:space="preserve">звана за изчисляване на К-факторите преди прилагането на съответните коефициенти. </w:t>
            </w:r>
          </w:p>
        </w:tc>
      </w:tr>
      <w:tr w:rsidR="001B665C" w:rsidRPr="009C4695" w14:paraId="05677C4D" w14:textId="77777777">
        <w:tc>
          <w:tcPr>
            <w:tcW w:w="1129" w:type="dxa"/>
          </w:tcPr>
          <w:p w14:paraId="466E062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0020</w:t>
            </w:r>
          </w:p>
        </w:tc>
        <w:tc>
          <w:tcPr>
            <w:tcW w:w="7620" w:type="dxa"/>
          </w:tcPr>
          <w:p w14:paraId="05EE447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
                <w:bCs/>
                <w:u w:val="single"/>
              </w:rPr>
              <w:t>Изпълнени нареждания на клиенти (комбинирано) — сделки с парични разплащания</w:t>
            </w:r>
          </w:p>
          <w:p w14:paraId="20C50AE2"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12, параграф 1, буква б), подточка i) от Регламент (ЕС) 2019/2033.</w:t>
            </w:r>
          </w:p>
          <w:p w14:paraId="423F336D"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Когато </w:t>
            </w:r>
            <w:r w:rsidRPr="009C4695">
              <w:rPr>
                <w:rFonts w:ascii="Times New Roman" w:hAnsi="Times New Roman"/>
                <w:bCs/>
              </w:rPr>
              <w:t>докладващият инвестиционен посредник е част от група, докладваната стойност се определя комбинирано за всички инвестиционни посредници, които са част от група съгласно член 12, параграф 2 от Регламент (ЕС) 2019/2033.</w:t>
            </w:r>
          </w:p>
          <w:p w14:paraId="0DA4C6B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Докладваната стойност е сумата, която б</w:t>
            </w:r>
            <w:r w:rsidRPr="009C4695">
              <w:rPr>
                <w:rFonts w:ascii="Times New Roman" w:hAnsi="Times New Roman"/>
                <w:bCs/>
              </w:rPr>
              <w:t>и била използвана за изчисляване на К-факторите преди прилагането на съответните коефициенти.</w:t>
            </w:r>
          </w:p>
        </w:tc>
      </w:tr>
      <w:tr w:rsidR="001B665C" w:rsidRPr="009C4695" w14:paraId="1855991D" w14:textId="77777777">
        <w:tc>
          <w:tcPr>
            <w:tcW w:w="1129" w:type="dxa"/>
          </w:tcPr>
          <w:p w14:paraId="6E183D1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0030</w:t>
            </w:r>
          </w:p>
        </w:tc>
        <w:tc>
          <w:tcPr>
            <w:tcW w:w="7620" w:type="dxa"/>
          </w:tcPr>
          <w:p w14:paraId="32EC47C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
                <w:bCs/>
                <w:u w:val="single"/>
              </w:rPr>
              <w:t>Изпълнени нареждания на клиенти (комбинирано) — сделки с деривати</w:t>
            </w:r>
          </w:p>
          <w:p w14:paraId="2D8ADF4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12, параграф 1, буква б), подточка ii) от Регламент (ЕС) 2019/2033.</w:t>
            </w:r>
          </w:p>
          <w:p w14:paraId="43A4B14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Когато докладващи</w:t>
            </w:r>
            <w:r w:rsidRPr="009C4695">
              <w:rPr>
                <w:rFonts w:ascii="Times New Roman" w:hAnsi="Times New Roman"/>
                <w:bCs/>
              </w:rPr>
              <w:t>ят инвестиционен посредник е част от група, докладваната стойност се определя комбинирано за всички инвестиционни посредници, които са част от група съгласно член 12, параграф 2 от Регламент (ЕС) 2019/2033.</w:t>
            </w:r>
          </w:p>
          <w:p w14:paraId="2031249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Докладваната стойност е сумата, която би била изп</w:t>
            </w:r>
            <w:r w:rsidRPr="009C4695">
              <w:rPr>
                <w:rFonts w:ascii="Times New Roman" w:hAnsi="Times New Roman"/>
                <w:bCs/>
              </w:rPr>
              <w:t>олзвана за изчисляване на К-факторите преди прилагането на съответните коефициенти.</w:t>
            </w:r>
          </w:p>
        </w:tc>
      </w:tr>
      <w:tr w:rsidR="001B665C" w:rsidRPr="009C4695" w14:paraId="37E0FBA9" w14:textId="77777777">
        <w:tc>
          <w:tcPr>
            <w:tcW w:w="1129" w:type="dxa"/>
          </w:tcPr>
          <w:p w14:paraId="26DFA25D"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0040</w:t>
            </w:r>
          </w:p>
        </w:tc>
        <w:tc>
          <w:tcPr>
            <w:tcW w:w="7620" w:type="dxa"/>
          </w:tcPr>
          <w:p w14:paraId="6C647F6E"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Съхранявани и администрирани активи</w:t>
            </w:r>
          </w:p>
          <w:p w14:paraId="6679A142"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12, параграф 1, буква в) от Регламент (ЕС) 2019/2033.</w:t>
            </w:r>
          </w:p>
          <w:p w14:paraId="632C5C62"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Докладваната стойност е сумата, която би била използвана за изчисляване</w:t>
            </w:r>
            <w:r w:rsidRPr="009C4695">
              <w:rPr>
                <w:rFonts w:ascii="Times New Roman" w:hAnsi="Times New Roman"/>
                <w:bCs/>
              </w:rPr>
              <w:t xml:space="preserve"> на К-факторите преди прилагането на съответните коефициенти.</w:t>
            </w:r>
          </w:p>
        </w:tc>
      </w:tr>
      <w:tr w:rsidR="001B665C" w:rsidRPr="009C4695" w14:paraId="49D3DBDA" w14:textId="77777777">
        <w:tc>
          <w:tcPr>
            <w:tcW w:w="1129" w:type="dxa"/>
          </w:tcPr>
          <w:p w14:paraId="4D2356FD"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0050</w:t>
            </w:r>
          </w:p>
        </w:tc>
        <w:tc>
          <w:tcPr>
            <w:tcW w:w="7620" w:type="dxa"/>
          </w:tcPr>
          <w:p w14:paraId="5FCD0485"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Държани парични средства на клиенти</w:t>
            </w:r>
          </w:p>
          <w:p w14:paraId="57334FA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12, параграф 1, буква г) от Регламент (ЕС) 2019/2033.</w:t>
            </w:r>
          </w:p>
          <w:p w14:paraId="6682FA94"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Докладваната стойност е сумата, която би била използвана за изчисляване на К-факторите преди </w:t>
            </w:r>
            <w:r w:rsidRPr="009C4695">
              <w:rPr>
                <w:rFonts w:ascii="Times New Roman" w:hAnsi="Times New Roman"/>
                <w:bCs/>
              </w:rPr>
              <w:t>прилагането на съответните коефициенти.</w:t>
            </w:r>
          </w:p>
        </w:tc>
      </w:tr>
      <w:tr w:rsidR="001B665C" w:rsidRPr="009C4695" w14:paraId="08A02BB3" w14:textId="77777777">
        <w:tc>
          <w:tcPr>
            <w:tcW w:w="1129" w:type="dxa"/>
          </w:tcPr>
          <w:p w14:paraId="5FA61D1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0060</w:t>
            </w:r>
          </w:p>
        </w:tc>
        <w:tc>
          <w:tcPr>
            <w:tcW w:w="7620" w:type="dxa"/>
          </w:tcPr>
          <w:p w14:paraId="02B73F4C"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Дневен поток на трансакциите — сделки с парични разплащания и сделки с деривати</w:t>
            </w:r>
          </w:p>
          <w:p w14:paraId="4B03F9B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12, параграф 1, буква д) от Регламент (ЕС) 2019/2033.</w:t>
            </w:r>
          </w:p>
          <w:p w14:paraId="728F904F"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Докладваната стойност е сумата, която би била използвана за </w:t>
            </w:r>
            <w:r w:rsidRPr="009C4695">
              <w:rPr>
                <w:rFonts w:ascii="Times New Roman" w:hAnsi="Times New Roman"/>
                <w:bCs/>
              </w:rPr>
              <w:t>изчисляване на К-факторите преди прилагането на съответните коефициенти.</w:t>
            </w:r>
          </w:p>
        </w:tc>
      </w:tr>
      <w:tr w:rsidR="001B665C" w:rsidRPr="009C4695" w14:paraId="2E680E1D" w14:textId="77777777">
        <w:tc>
          <w:tcPr>
            <w:tcW w:w="1129" w:type="dxa"/>
          </w:tcPr>
          <w:p w14:paraId="03B93564"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0070</w:t>
            </w:r>
          </w:p>
        </w:tc>
        <w:tc>
          <w:tcPr>
            <w:tcW w:w="7620" w:type="dxa"/>
          </w:tcPr>
          <w:p w14:paraId="7341FC1D"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Риск във връзка с нетните позиции</w:t>
            </w:r>
          </w:p>
          <w:p w14:paraId="4571ECFB"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12, параграф 1, буква е) от Регламент (ЕС) 2019/2033.</w:t>
            </w:r>
          </w:p>
          <w:p w14:paraId="3E9D2A2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Докладваната стойност е сумата, която би била използвана за изчисляване на К-фактори</w:t>
            </w:r>
            <w:r w:rsidRPr="009C4695">
              <w:rPr>
                <w:rFonts w:ascii="Times New Roman" w:hAnsi="Times New Roman"/>
                <w:bCs/>
              </w:rPr>
              <w:t>те преди прилагането на съответните коефициенти.</w:t>
            </w:r>
          </w:p>
        </w:tc>
      </w:tr>
      <w:tr w:rsidR="001B665C" w:rsidRPr="009C4695" w14:paraId="112F519C" w14:textId="77777777">
        <w:tc>
          <w:tcPr>
            <w:tcW w:w="1129" w:type="dxa"/>
          </w:tcPr>
          <w:p w14:paraId="68F23B7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0080</w:t>
            </w:r>
          </w:p>
        </w:tc>
        <w:tc>
          <w:tcPr>
            <w:tcW w:w="7620" w:type="dxa"/>
          </w:tcPr>
          <w:p w14:paraId="2FE0F2CB"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Предоставен клирингов маржин</w:t>
            </w:r>
          </w:p>
          <w:p w14:paraId="63CF1B0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12, параграф 1, буква е) от Регламент (ЕС) 2019/2033.</w:t>
            </w:r>
          </w:p>
          <w:p w14:paraId="1B4DC29A" w14:textId="77777777" w:rsidR="001B665C" w:rsidRPr="009C4695" w:rsidRDefault="009C4695">
            <w:pPr>
              <w:spacing w:after="120" w:line="240" w:lineRule="auto"/>
              <w:jc w:val="both"/>
              <w:rPr>
                <w:rFonts w:ascii="Times New Roman" w:eastAsia="Times New Roman" w:hAnsi="Times New Roman" w:cs="Times New Roman"/>
                <w:b/>
                <w:bCs/>
              </w:rPr>
            </w:pPr>
            <w:r w:rsidRPr="009C4695">
              <w:rPr>
                <w:rFonts w:ascii="Times New Roman" w:hAnsi="Times New Roman"/>
                <w:bCs/>
              </w:rPr>
              <w:t>Докладваната стойност е сумата, която би била използвана за изчисляване на К-факторите преди прилагането на съотв</w:t>
            </w:r>
            <w:r w:rsidRPr="009C4695">
              <w:rPr>
                <w:rFonts w:ascii="Times New Roman" w:hAnsi="Times New Roman"/>
                <w:bCs/>
              </w:rPr>
              <w:t>етните коефициенти.</w:t>
            </w:r>
          </w:p>
        </w:tc>
      </w:tr>
      <w:tr w:rsidR="001B665C" w:rsidRPr="009C4695" w14:paraId="73D749C7" w14:textId="77777777">
        <w:tc>
          <w:tcPr>
            <w:tcW w:w="1129" w:type="dxa"/>
          </w:tcPr>
          <w:p w14:paraId="5F5A81F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0090</w:t>
            </w:r>
          </w:p>
        </w:tc>
        <w:tc>
          <w:tcPr>
            <w:tcW w:w="7620" w:type="dxa"/>
          </w:tcPr>
          <w:p w14:paraId="2E38FF0E"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Неизпълнение на контрагент по сделка</w:t>
            </w:r>
          </w:p>
          <w:p w14:paraId="5B9D8E81"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12, параграф 1, буква ж) от Регламент (ЕС) 2019/2033.</w:t>
            </w:r>
          </w:p>
          <w:p w14:paraId="4670E39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Докладваната стойност е сумата, която би била използвана за изчисляване на К-факторите преди прилагането на съответните коефициенти.</w:t>
            </w:r>
          </w:p>
        </w:tc>
      </w:tr>
      <w:tr w:rsidR="001B665C" w:rsidRPr="009C4695" w14:paraId="66DE0DBC" w14:textId="77777777">
        <w:tc>
          <w:tcPr>
            <w:tcW w:w="1129" w:type="dxa"/>
          </w:tcPr>
          <w:p w14:paraId="25364D2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0100</w:t>
            </w:r>
          </w:p>
        </w:tc>
        <w:tc>
          <w:tcPr>
            <w:tcW w:w="7620" w:type="dxa"/>
          </w:tcPr>
          <w:p w14:paraId="2F3AC6BB"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
                <w:bCs/>
                <w:u w:val="single"/>
              </w:rPr>
              <w:t>Общо балансови и задбалансови активи (комбинирано)</w:t>
            </w:r>
          </w:p>
          <w:p w14:paraId="7CE6CD8B"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12, параграф 1, буква з) от Регламент (ЕС) 2019/2033.</w:t>
            </w:r>
          </w:p>
          <w:p w14:paraId="3D6856FD"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Когато докладващият инвестиционен посредник е част от група, докладваната стойност се определя комбинирано за всички инвестиционни посредници</w:t>
            </w:r>
            <w:r w:rsidRPr="009C4695">
              <w:rPr>
                <w:rFonts w:ascii="Times New Roman" w:hAnsi="Times New Roman"/>
                <w:bCs/>
              </w:rPr>
              <w:t>, които са част от група съгласно член 12, параграф 2 от Регламент (ЕС) 2019/2033.</w:t>
            </w:r>
          </w:p>
        </w:tc>
      </w:tr>
      <w:tr w:rsidR="001B665C" w:rsidRPr="009C4695" w14:paraId="40DFAE8C" w14:textId="77777777">
        <w:tc>
          <w:tcPr>
            <w:tcW w:w="1129" w:type="dxa"/>
          </w:tcPr>
          <w:p w14:paraId="6FC1DFB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0110</w:t>
            </w:r>
          </w:p>
        </w:tc>
        <w:tc>
          <w:tcPr>
            <w:tcW w:w="7620" w:type="dxa"/>
          </w:tcPr>
          <w:p w14:paraId="7BB0DB20"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
                <w:bCs/>
                <w:u w:val="single"/>
              </w:rPr>
              <w:t>Общо годишни брутни приходи (комбинирано)</w:t>
            </w:r>
          </w:p>
          <w:p w14:paraId="4AD364D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12, параграф 1, подточка i) от Регламент (ЕС) 2019/2033.</w:t>
            </w:r>
          </w:p>
          <w:p w14:paraId="2AD1776F"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Когато докладващият инвестиционен посредник е част от група, до</w:t>
            </w:r>
            <w:r w:rsidRPr="009C4695">
              <w:rPr>
                <w:rFonts w:ascii="Times New Roman" w:hAnsi="Times New Roman"/>
                <w:bCs/>
              </w:rPr>
              <w:t>кладваната стойност се определя комбинирано за всички инвестиционни посредници, които са част от група съгласно член 12, параграф 2 от Регламент (ЕС) 2019/2033.</w:t>
            </w:r>
          </w:p>
        </w:tc>
      </w:tr>
      <w:tr w:rsidR="001B665C" w:rsidRPr="009C4695" w14:paraId="09A9FE8E" w14:textId="77777777">
        <w:tc>
          <w:tcPr>
            <w:tcW w:w="1129" w:type="dxa"/>
          </w:tcPr>
          <w:p w14:paraId="603806CD"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0120</w:t>
            </w:r>
          </w:p>
        </w:tc>
        <w:tc>
          <w:tcPr>
            <w:tcW w:w="7620" w:type="dxa"/>
          </w:tcPr>
          <w:p w14:paraId="6069CD6C"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Общо годишни брутни приходи</w:t>
            </w:r>
          </w:p>
          <w:p w14:paraId="55FA981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Размерът на общите годишни брутни приходи, с изключение на бр</w:t>
            </w:r>
            <w:r w:rsidRPr="009C4695">
              <w:rPr>
                <w:rFonts w:ascii="Times New Roman" w:hAnsi="Times New Roman"/>
                <w:bCs/>
              </w:rPr>
              <w:t xml:space="preserve">утните приходи, генерирани в рамките на групата съгласно член 12, параграф 2 от Регламент (ЕС) 2019/2033. </w:t>
            </w:r>
          </w:p>
        </w:tc>
      </w:tr>
      <w:tr w:rsidR="001B665C" w:rsidRPr="009C4695" w14:paraId="4F272B16" w14:textId="77777777">
        <w:tc>
          <w:tcPr>
            <w:tcW w:w="1129" w:type="dxa"/>
          </w:tcPr>
          <w:p w14:paraId="599750A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0130</w:t>
            </w:r>
          </w:p>
        </w:tc>
        <w:tc>
          <w:tcPr>
            <w:tcW w:w="7620" w:type="dxa"/>
          </w:tcPr>
          <w:p w14:paraId="1CFDB996"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 Вътрешногрупова част от годишните брутни приходи</w:t>
            </w:r>
          </w:p>
          <w:p w14:paraId="4CC57BB2"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Размерът на брутните приходи, генерирани в рамките на групата от инвестиционни посредници </w:t>
            </w:r>
            <w:r w:rsidRPr="009C4695">
              <w:rPr>
                <w:rFonts w:ascii="Times New Roman" w:hAnsi="Times New Roman"/>
                <w:bCs/>
              </w:rPr>
              <w:t xml:space="preserve">съгласно член 12, параграф 2 от Регламент (ЕС) 2019/2033. </w:t>
            </w:r>
          </w:p>
        </w:tc>
      </w:tr>
      <w:tr w:rsidR="001B665C" w:rsidRPr="009C4695" w14:paraId="3F1DC54E" w14:textId="77777777">
        <w:tc>
          <w:tcPr>
            <w:tcW w:w="1129" w:type="dxa"/>
          </w:tcPr>
          <w:p w14:paraId="2CACD98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0140</w:t>
            </w:r>
          </w:p>
        </w:tc>
        <w:tc>
          <w:tcPr>
            <w:tcW w:w="7620" w:type="dxa"/>
          </w:tcPr>
          <w:p w14:paraId="7E214D5A"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от които: приходи от приемане и предаване на нареждания</w:t>
            </w:r>
          </w:p>
          <w:p w14:paraId="5EA182EF"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54, параграф 1, буква г) от Регламент (ЕС) 2019/2033.</w:t>
            </w:r>
          </w:p>
          <w:p w14:paraId="7528F3C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4, параграф 1, точка 2 от Директива 2014/65/ЕС.</w:t>
            </w:r>
          </w:p>
        </w:tc>
      </w:tr>
      <w:tr w:rsidR="001B665C" w:rsidRPr="009C4695" w14:paraId="15D9EFD5" w14:textId="77777777">
        <w:tc>
          <w:tcPr>
            <w:tcW w:w="1129" w:type="dxa"/>
          </w:tcPr>
          <w:p w14:paraId="7427264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0150</w:t>
            </w:r>
          </w:p>
        </w:tc>
        <w:tc>
          <w:tcPr>
            <w:tcW w:w="7620" w:type="dxa"/>
          </w:tcPr>
          <w:p w14:paraId="1CF3CBE2"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 xml:space="preserve">от които: </w:t>
            </w:r>
            <w:r w:rsidRPr="009C4695">
              <w:rPr>
                <w:rFonts w:ascii="Times New Roman" w:hAnsi="Times New Roman"/>
                <w:b/>
                <w:bCs/>
                <w:u w:val="single"/>
              </w:rPr>
              <w:t>приходи от изпълнение на нареждания от името на клиенти</w:t>
            </w:r>
          </w:p>
          <w:p w14:paraId="4FE1542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54, параграф 1, буква г) от Регламент (ЕС) 2019/2033.</w:t>
            </w:r>
          </w:p>
          <w:p w14:paraId="1267093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4, параграф 1, точка 2 от Директива 2014/65/ЕС.</w:t>
            </w:r>
          </w:p>
        </w:tc>
      </w:tr>
      <w:tr w:rsidR="001B665C" w:rsidRPr="009C4695" w14:paraId="003FA19A" w14:textId="77777777">
        <w:tc>
          <w:tcPr>
            <w:tcW w:w="1129" w:type="dxa"/>
          </w:tcPr>
          <w:p w14:paraId="64D2783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95B053C"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от които: приходи от търговия за собствена сметка</w:t>
            </w:r>
          </w:p>
          <w:p w14:paraId="33E4C98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54, параграф 1, буква г) от</w:t>
            </w:r>
            <w:r w:rsidRPr="009C4695">
              <w:rPr>
                <w:rFonts w:ascii="Times New Roman" w:hAnsi="Times New Roman"/>
                <w:bCs/>
              </w:rPr>
              <w:t xml:space="preserve"> Регламент (ЕС) 2019/2033.</w:t>
            </w:r>
          </w:p>
          <w:p w14:paraId="6B142E43"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Член 4, параграф 1, точка 2 от Директива 2014/65/ЕС.</w:t>
            </w:r>
          </w:p>
        </w:tc>
      </w:tr>
      <w:tr w:rsidR="001B665C" w:rsidRPr="009C4695" w14:paraId="08587314" w14:textId="77777777">
        <w:tc>
          <w:tcPr>
            <w:tcW w:w="1129" w:type="dxa"/>
          </w:tcPr>
          <w:p w14:paraId="24273BBB"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02B43EA"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от които: приходи от управление на портфейл</w:t>
            </w:r>
          </w:p>
          <w:p w14:paraId="66D914BD"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54, параграф 1, буква г) от Регламент (ЕС) 2019/2033.</w:t>
            </w:r>
          </w:p>
          <w:p w14:paraId="30FD815C"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Член 4, параграф 1, точка 2 от Директива 2014/65/ЕС.</w:t>
            </w:r>
          </w:p>
        </w:tc>
      </w:tr>
      <w:tr w:rsidR="001B665C" w:rsidRPr="009C4695" w14:paraId="7FB7E77F" w14:textId="77777777">
        <w:tc>
          <w:tcPr>
            <w:tcW w:w="1129" w:type="dxa"/>
          </w:tcPr>
          <w:p w14:paraId="444372C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A96EBB8"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 xml:space="preserve">от </w:t>
            </w:r>
            <w:r w:rsidRPr="009C4695">
              <w:rPr>
                <w:rFonts w:ascii="Times New Roman" w:hAnsi="Times New Roman"/>
                <w:b/>
                <w:bCs/>
                <w:u w:val="single"/>
              </w:rPr>
              <w:t>които: приходи от инвестиционни съвети</w:t>
            </w:r>
          </w:p>
          <w:p w14:paraId="3ADDF13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54, параграф 1, буква г) от Регламент (ЕС) 2019/2033.</w:t>
            </w:r>
          </w:p>
          <w:p w14:paraId="6F7BE974"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Член 4, параграф 1, точка 2 от Директива 2014/65/ЕС.</w:t>
            </w:r>
          </w:p>
        </w:tc>
      </w:tr>
      <w:tr w:rsidR="001B665C" w:rsidRPr="009C4695" w14:paraId="74B84D2D" w14:textId="77777777">
        <w:tc>
          <w:tcPr>
            <w:tcW w:w="1129" w:type="dxa"/>
          </w:tcPr>
          <w:p w14:paraId="4D38E3C1"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A863D41"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от които: приходи от поемане на емисията на финансови инструменти и/или пласиране на финансови инст</w:t>
            </w:r>
            <w:r w:rsidRPr="009C4695">
              <w:rPr>
                <w:rFonts w:ascii="Times New Roman" w:hAnsi="Times New Roman"/>
                <w:b/>
                <w:bCs/>
                <w:u w:val="single"/>
              </w:rPr>
              <w:t>рументи на базата на твърд ангажимент</w:t>
            </w:r>
          </w:p>
          <w:p w14:paraId="2AE8ADC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54, параграф 1, буква г) от Регламент (ЕС) 2019/2033.</w:t>
            </w:r>
          </w:p>
          <w:p w14:paraId="3B603404"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Член 4, параграф 1, точка 2 от Директива 2014/65/ЕС.</w:t>
            </w:r>
          </w:p>
        </w:tc>
      </w:tr>
      <w:tr w:rsidR="001B665C" w:rsidRPr="009C4695" w14:paraId="0178E147" w14:textId="77777777">
        <w:tc>
          <w:tcPr>
            <w:tcW w:w="1129" w:type="dxa"/>
          </w:tcPr>
          <w:p w14:paraId="5D759B60"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3D69E9A"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от които: приходи от пласиране на финансови инструменти без твърд ангажимент</w:t>
            </w:r>
          </w:p>
          <w:p w14:paraId="5B8F1C90"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54, параграф 1, бу</w:t>
            </w:r>
            <w:r w:rsidRPr="009C4695">
              <w:rPr>
                <w:rFonts w:ascii="Times New Roman" w:hAnsi="Times New Roman"/>
                <w:bCs/>
              </w:rPr>
              <w:t>ква г) от Регламент (ЕС) 2019/2033.</w:t>
            </w:r>
          </w:p>
          <w:p w14:paraId="1C479702"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Член 4, параграф 1, точка 2 от Директива 2014/65/ЕС.</w:t>
            </w:r>
          </w:p>
        </w:tc>
      </w:tr>
      <w:tr w:rsidR="001B665C" w:rsidRPr="009C4695" w14:paraId="3424BDD3" w14:textId="77777777">
        <w:tc>
          <w:tcPr>
            <w:tcW w:w="1129" w:type="dxa"/>
          </w:tcPr>
          <w:p w14:paraId="15670117"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BA18DD9"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от които: приходи от организиране на МСТ</w:t>
            </w:r>
          </w:p>
          <w:p w14:paraId="6FCB8F8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54, параграф 1, буква г) от Регламент (ЕС) 2019/2033.</w:t>
            </w:r>
          </w:p>
          <w:p w14:paraId="6F4E912F"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 xml:space="preserve">Член 4, параграф 1, точка 2 от Директива </w:t>
            </w:r>
            <w:r w:rsidRPr="009C4695">
              <w:rPr>
                <w:rFonts w:ascii="Times New Roman" w:hAnsi="Times New Roman"/>
                <w:bCs/>
              </w:rPr>
              <w:t>2014/65/ЕС.</w:t>
            </w:r>
          </w:p>
        </w:tc>
      </w:tr>
      <w:tr w:rsidR="001B665C" w:rsidRPr="009C4695" w14:paraId="57DA1D54" w14:textId="77777777">
        <w:tc>
          <w:tcPr>
            <w:tcW w:w="1129" w:type="dxa"/>
          </w:tcPr>
          <w:p w14:paraId="009303F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30C2367"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от които: приходи от организиране на ОСТ</w:t>
            </w:r>
          </w:p>
          <w:p w14:paraId="23B6E5E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54, параграф 1, буква г) от Регламент (ЕС) 2019/2033.</w:t>
            </w:r>
          </w:p>
          <w:p w14:paraId="3A9DEEAC"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Член 4, параграф 1, точка 2 от Директива 2014/65/ЕС.</w:t>
            </w:r>
          </w:p>
        </w:tc>
      </w:tr>
      <w:tr w:rsidR="001B665C" w:rsidRPr="009C4695" w14:paraId="0EBB6F49" w14:textId="77777777">
        <w:tc>
          <w:tcPr>
            <w:tcW w:w="1129" w:type="dxa"/>
          </w:tcPr>
          <w:p w14:paraId="65A403C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03177C1"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от които: приходи от съхранение и администриране на финансови инструменти</w:t>
            </w:r>
          </w:p>
          <w:p w14:paraId="64CC0320"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Член </w:t>
            </w:r>
            <w:r w:rsidRPr="009C4695">
              <w:rPr>
                <w:rFonts w:ascii="Times New Roman" w:hAnsi="Times New Roman"/>
                <w:bCs/>
              </w:rPr>
              <w:t>54, параграф 1, буква г) от Регламент (ЕС) 2019/2033.</w:t>
            </w:r>
          </w:p>
          <w:p w14:paraId="01A0BE91"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Член 4, параграф 1, точка 3 от Директива 2014/65/ЕС.</w:t>
            </w:r>
          </w:p>
        </w:tc>
      </w:tr>
      <w:tr w:rsidR="001B665C" w:rsidRPr="009C4695" w14:paraId="24DD065F" w14:textId="77777777">
        <w:tc>
          <w:tcPr>
            <w:tcW w:w="1129" w:type="dxa"/>
          </w:tcPr>
          <w:p w14:paraId="47A8F63F"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7FBB31B"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от които: приходи от предоставяне на кредити или заеми на инвеститор</w:t>
            </w:r>
          </w:p>
          <w:p w14:paraId="4E12D74B"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54, параграф 1, буква г) от Регламент (ЕС) 2019/2033.</w:t>
            </w:r>
          </w:p>
          <w:p w14:paraId="43DA32D6"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 xml:space="preserve">Член 4, </w:t>
            </w:r>
            <w:r w:rsidRPr="009C4695">
              <w:rPr>
                <w:rFonts w:ascii="Times New Roman" w:hAnsi="Times New Roman"/>
                <w:bCs/>
              </w:rPr>
              <w:t>параграф 1, точка 3 от Директива 2014/65/ЕС.</w:t>
            </w:r>
          </w:p>
        </w:tc>
      </w:tr>
      <w:tr w:rsidR="001B665C" w:rsidRPr="009C4695" w14:paraId="71114DF0" w14:textId="77777777">
        <w:tc>
          <w:tcPr>
            <w:tcW w:w="1129" w:type="dxa"/>
          </w:tcPr>
          <w:p w14:paraId="4E4A410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1AE8810"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от които: приходи от съвети за предприятия относно капиталовата структура, индустриалната стратегия и свързаните с това въпроси и съвети, както и услуги, които се отнасят до сливания и купуване на предприя</w:t>
            </w:r>
            <w:r w:rsidRPr="009C4695">
              <w:rPr>
                <w:rFonts w:ascii="Times New Roman" w:hAnsi="Times New Roman"/>
                <w:b/>
                <w:bCs/>
                <w:u w:val="single"/>
              </w:rPr>
              <w:t>тия</w:t>
            </w:r>
          </w:p>
          <w:p w14:paraId="6FA6765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54, параграф 1, буква г) от Регламент (ЕС) 2019/2033.</w:t>
            </w:r>
          </w:p>
          <w:p w14:paraId="6017186F"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Член 4, параграф 1, точка 3 от Директива 2014/65/ЕС.</w:t>
            </w:r>
          </w:p>
        </w:tc>
      </w:tr>
      <w:tr w:rsidR="001B665C" w:rsidRPr="009C4695" w14:paraId="1B26A01C" w14:textId="77777777">
        <w:tc>
          <w:tcPr>
            <w:tcW w:w="1129" w:type="dxa"/>
          </w:tcPr>
          <w:p w14:paraId="3FE7D471"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BCDCE64"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от които: приходи от услуги, свързани с валута</w:t>
            </w:r>
          </w:p>
          <w:p w14:paraId="617395E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54, параграф 1, буква г) от Регламент (ЕС) 2019/2033.</w:t>
            </w:r>
          </w:p>
          <w:p w14:paraId="2A4B05B4"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 xml:space="preserve">Член 4, параграф 1, точка 3 </w:t>
            </w:r>
            <w:r w:rsidRPr="009C4695">
              <w:rPr>
                <w:rFonts w:ascii="Times New Roman" w:hAnsi="Times New Roman"/>
                <w:bCs/>
              </w:rPr>
              <w:t>от Директива 2014/65/ЕС.</w:t>
            </w:r>
          </w:p>
        </w:tc>
      </w:tr>
      <w:tr w:rsidR="001B665C" w:rsidRPr="009C4695" w14:paraId="6DDEF3C5" w14:textId="77777777">
        <w:tc>
          <w:tcPr>
            <w:tcW w:w="1129" w:type="dxa"/>
          </w:tcPr>
          <w:p w14:paraId="33D9243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C4F4E37"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от които: приходи от инвестиционно проучване и финансов анализ</w:t>
            </w:r>
          </w:p>
          <w:p w14:paraId="79784D9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54, параграф 1, буква г) от Регламент (ЕС) 2019/2033.</w:t>
            </w:r>
          </w:p>
          <w:p w14:paraId="1745DA93"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Член 4, параграф 1, точка 3 от Директива 2014/65/ЕС.</w:t>
            </w:r>
          </w:p>
        </w:tc>
      </w:tr>
      <w:tr w:rsidR="001B665C" w:rsidRPr="009C4695" w14:paraId="77FEE8D7" w14:textId="77777777">
        <w:tc>
          <w:tcPr>
            <w:tcW w:w="1129" w:type="dxa"/>
          </w:tcPr>
          <w:p w14:paraId="1D3AB984"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0EBB49F"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 xml:space="preserve">от които: приходи от услуги, </w:t>
            </w:r>
            <w:r w:rsidRPr="009C4695">
              <w:rPr>
                <w:rFonts w:ascii="Times New Roman" w:hAnsi="Times New Roman"/>
                <w:b/>
                <w:bCs/>
                <w:u w:val="single"/>
              </w:rPr>
              <w:t>свързани с поемане на емисии</w:t>
            </w:r>
          </w:p>
          <w:p w14:paraId="1D7D366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54, параграф 1, буква г) от Регламент (ЕС) 2019/2033.</w:t>
            </w:r>
          </w:p>
          <w:p w14:paraId="679C7344"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Член 4, параграф 1, точка 3 от Директива 2014/65/ЕС.</w:t>
            </w:r>
          </w:p>
        </w:tc>
      </w:tr>
      <w:tr w:rsidR="001B665C" w:rsidRPr="009C4695" w14:paraId="45279EDE" w14:textId="77777777">
        <w:tc>
          <w:tcPr>
            <w:tcW w:w="1129" w:type="dxa"/>
          </w:tcPr>
          <w:p w14:paraId="09378AF4"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2DA561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
                <w:bCs/>
                <w:u w:val="single"/>
              </w:rPr>
              <w:t>от които: инвестиционни услуги и допълнителни дейности, свързани с базовите инструменти на дериватите</w:t>
            </w:r>
          </w:p>
          <w:p w14:paraId="7D253A3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54</w:t>
            </w:r>
            <w:r w:rsidRPr="009C4695">
              <w:rPr>
                <w:rFonts w:ascii="Times New Roman" w:hAnsi="Times New Roman"/>
                <w:bCs/>
              </w:rPr>
              <w:t>, параграф 1, буква г) от Регламент (ЕС) 2019/2033.</w:t>
            </w:r>
          </w:p>
          <w:p w14:paraId="18385BD4"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 xml:space="preserve">Член 4, параграф 1, точка 3 от Директива 2014/65/ЕС. </w:t>
            </w:r>
          </w:p>
        </w:tc>
      </w:tr>
    </w:tbl>
    <w:p w14:paraId="1C069619" w14:textId="77777777" w:rsidR="001B665C" w:rsidRPr="009C4695" w:rsidRDefault="009C4695">
      <w:pPr>
        <w:pStyle w:val="Instructionsberschrift2"/>
        <w:ind w:left="357" w:hanging="357"/>
        <w:rPr>
          <w:b/>
          <w:sz w:val="22"/>
          <w:szCs w:val="22"/>
          <w:u w:val="none"/>
        </w:rPr>
      </w:pPr>
      <w:bookmarkStart w:id="55" w:name="_Toc88218322"/>
      <w:r w:rsidRPr="009C4695">
        <w:rPr>
          <w:rFonts w:ascii="Times New Roman" w:hAnsi="Times New Roman"/>
          <w:b/>
          <w:sz w:val="24"/>
          <w:u w:val="none"/>
        </w:rPr>
        <w:t xml:space="preserve">3. </w:t>
      </w:r>
      <w:r w:rsidRPr="009C4695">
        <w:rPr>
          <w:rFonts w:ascii="Times New Roman" w:hAnsi="Times New Roman"/>
          <w:b/>
          <w:sz w:val="22"/>
          <w:szCs w:val="22"/>
          <w:u w:val="none"/>
        </w:rPr>
        <w:t>ИЗИСКВАНИЯ ВЪЗ ОСНОВА НА К-ФАКТОРИТЕ — ДОПЪЛНИТЕЛНА ИНФОРМАЦИЯ</w:t>
      </w:r>
      <w:bookmarkEnd w:id="55"/>
    </w:p>
    <w:p w14:paraId="43B902B1" w14:textId="77777777" w:rsidR="001B665C" w:rsidRPr="009C4695" w:rsidRDefault="009C4695">
      <w:pPr>
        <w:pStyle w:val="CommentText"/>
        <w:jc w:val="both"/>
        <w:rPr>
          <w:rFonts w:ascii="Times New Roman" w:eastAsia="Arial" w:hAnsi="Times New Roman" w:cs="Times New Roman"/>
          <w:sz w:val="22"/>
          <w:szCs w:val="22"/>
          <w:u w:val="single"/>
        </w:rPr>
      </w:pPr>
      <w:r w:rsidRPr="009C4695">
        <w:rPr>
          <w:rFonts w:ascii="Times New Roman" w:hAnsi="Times New Roman"/>
          <w:sz w:val="22"/>
          <w:szCs w:val="22"/>
          <w:u w:val="single"/>
        </w:rPr>
        <w:t>3.1.</w:t>
      </w:r>
      <w:r w:rsidRPr="009C4695">
        <w:rPr>
          <w:rFonts w:ascii="Times New Roman" w:hAnsi="Times New Roman"/>
          <w:sz w:val="22"/>
          <w:szCs w:val="22"/>
          <w:u w:val="single"/>
        </w:rPr>
        <w:t xml:space="preserve"> Общи положения</w:t>
      </w:r>
    </w:p>
    <w:p w14:paraId="2BA91053" w14:textId="77777777" w:rsidR="001B665C" w:rsidRPr="009C4695" w:rsidRDefault="009C4695">
      <w:pPr>
        <w:spacing w:line="256" w:lineRule="auto"/>
        <w:ind w:left="993" w:hanging="567"/>
        <w:jc w:val="both"/>
        <w:rPr>
          <w:rFonts w:ascii="Times New Roman" w:hAnsi="Times New Roman" w:cs="Times New Roman"/>
        </w:rPr>
      </w:pPr>
      <w:r w:rsidRPr="009C4695">
        <w:rPr>
          <w:rFonts w:ascii="Times New Roman" w:hAnsi="Times New Roman" w:cs="Times New Roman"/>
        </w:rPr>
        <w:t>12.</w:t>
      </w:r>
      <w:r w:rsidRPr="009C4695">
        <w:rPr>
          <w:rFonts w:ascii="Times New Roman" w:hAnsi="Times New Roman" w:cs="Times New Roman"/>
        </w:rPr>
        <w:tab/>
      </w:r>
      <w:r w:rsidRPr="009C4695">
        <w:rPr>
          <w:rFonts w:ascii="Times New Roman" w:hAnsi="Times New Roman"/>
        </w:rPr>
        <w:t xml:space="preserve">В I </w:t>
      </w:r>
      <w:r w:rsidRPr="009C4695">
        <w:rPr>
          <w:rFonts w:ascii="Times New Roman" w:hAnsi="Times New Roman"/>
        </w:rPr>
        <w:t>06.00</w:t>
      </w:r>
      <w:r w:rsidRPr="009C4695">
        <w:rPr>
          <w:rFonts w:ascii="Times New Roman" w:hAnsi="Times New Roman"/>
        </w:rPr>
        <w:t xml:space="preserve"> за всеки от К-факторите за управлявани активи, съхранявани и администрирани активи, държани парични средства на клиенти, изпълнени нареждания на клиенти и дневен поток на трансакциите са определени по две таблици.</w:t>
      </w:r>
    </w:p>
    <w:p w14:paraId="0FE419B2" w14:textId="77777777" w:rsidR="001B665C" w:rsidRPr="009C4695" w:rsidRDefault="009C4695">
      <w:pPr>
        <w:spacing w:line="256" w:lineRule="auto"/>
        <w:ind w:left="993" w:hanging="567"/>
        <w:jc w:val="both"/>
        <w:rPr>
          <w:rFonts w:ascii="Times New Roman" w:hAnsi="Times New Roman" w:cs="Times New Roman"/>
        </w:rPr>
      </w:pPr>
      <w:r w:rsidRPr="009C4695">
        <w:rPr>
          <w:rFonts w:ascii="Times New Roman" w:hAnsi="Times New Roman" w:cs="Times New Roman"/>
        </w:rPr>
        <w:t>13.</w:t>
      </w:r>
      <w:r w:rsidRPr="009C4695">
        <w:rPr>
          <w:rFonts w:ascii="Times New Roman" w:hAnsi="Times New Roman" w:cs="Times New Roman"/>
        </w:rPr>
        <w:tab/>
      </w:r>
      <w:r w:rsidRPr="009C4695">
        <w:rPr>
          <w:rFonts w:ascii="Times New Roman" w:hAnsi="Times New Roman"/>
        </w:rPr>
        <w:t>Първата таблица съдържа колони с инфо</w:t>
      </w:r>
      <w:r w:rsidRPr="009C4695">
        <w:rPr>
          <w:rFonts w:ascii="Times New Roman" w:hAnsi="Times New Roman"/>
        </w:rPr>
        <w:t>рмация, отнасяща се до „Стойност на фактора“ за всеки месец от тримесечието за докладване. Стойността на фактора е стойността, която се използва за изчисляване на всеки К-фактор преди прилагането на коефициента от таблица 1 от член 15, параграф 2 от Реглам</w:t>
      </w:r>
      <w:r w:rsidRPr="009C4695">
        <w:rPr>
          <w:rFonts w:ascii="Times New Roman" w:hAnsi="Times New Roman"/>
        </w:rPr>
        <w:t>ент (ЕС) 2019/2033.</w:t>
      </w:r>
    </w:p>
    <w:p w14:paraId="3CBA7777" w14:textId="77777777" w:rsidR="001B665C" w:rsidRPr="009C4695" w:rsidRDefault="009C4695">
      <w:pPr>
        <w:spacing w:line="256" w:lineRule="auto"/>
        <w:ind w:left="993" w:hanging="567"/>
        <w:jc w:val="both"/>
        <w:rPr>
          <w:rFonts w:ascii="Times New Roman" w:hAnsi="Times New Roman" w:cs="Times New Roman"/>
        </w:rPr>
      </w:pPr>
      <w:r w:rsidRPr="009C4695">
        <w:rPr>
          <w:rFonts w:ascii="Times New Roman" w:hAnsi="Times New Roman" w:cs="Times New Roman"/>
        </w:rPr>
        <w:t>14.</w:t>
      </w:r>
      <w:r w:rsidRPr="009C4695">
        <w:rPr>
          <w:rFonts w:ascii="Times New Roman" w:hAnsi="Times New Roman" w:cs="Times New Roman"/>
        </w:rPr>
        <w:tab/>
      </w:r>
      <w:r w:rsidRPr="009C4695">
        <w:rPr>
          <w:rFonts w:ascii="Times New Roman" w:hAnsi="Times New Roman"/>
        </w:rPr>
        <w:t>Втората таблица съдържа подробна информация, необходима за изчисляване на стойността на фактора.</w:t>
      </w:r>
    </w:p>
    <w:p w14:paraId="5885D3BD" w14:textId="77777777" w:rsidR="001B665C" w:rsidRPr="009C4695" w:rsidRDefault="009C4695">
      <w:pPr>
        <w:spacing w:line="256" w:lineRule="auto"/>
        <w:ind w:left="993"/>
        <w:jc w:val="both"/>
        <w:rPr>
          <w:rFonts w:ascii="Times New Roman" w:hAnsi="Times New Roman" w:cs="Times New Roman"/>
        </w:rPr>
      </w:pPr>
      <w:r w:rsidRPr="009C4695">
        <w:rPr>
          <w:rFonts w:ascii="Times New Roman" w:hAnsi="Times New Roman"/>
        </w:rPr>
        <w:t>Що се отнася до управляваните активи, това съответства на стойността на управляваните активи към последния ден на месеца, както е посоч</w:t>
      </w:r>
      <w:r w:rsidRPr="009C4695">
        <w:rPr>
          <w:rFonts w:ascii="Times New Roman" w:hAnsi="Times New Roman"/>
        </w:rPr>
        <w:t>ено в член 17 от Регламент (ЕС) 2019/2033.</w:t>
      </w:r>
    </w:p>
    <w:p w14:paraId="2118ECC1" w14:textId="77777777" w:rsidR="001B665C" w:rsidRPr="009C4695" w:rsidRDefault="009C4695">
      <w:pPr>
        <w:spacing w:line="256" w:lineRule="auto"/>
        <w:ind w:left="993"/>
        <w:jc w:val="both"/>
        <w:rPr>
          <w:rFonts w:ascii="Times New Roman" w:hAnsi="Times New Roman" w:cs="Times New Roman"/>
        </w:rPr>
      </w:pPr>
      <w:r w:rsidRPr="009C4695">
        <w:rPr>
          <w:rFonts w:ascii="Times New Roman" w:hAnsi="Times New Roman"/>
        </w:rPr>
        <w:t>Що се отнася до държаните парични средства на клиенти, съхраняваните и администрираните активи, изпълнените нареждания на клиенти и дневния поток на трансакциите, докладваната стойност съответства на средната днев</w:t>
      </w:r>
      <w:r w:rsidRPr="009C4695">
        <w:rPr>
          <w:rFonts w:ascii="Times New Roman" w:hAnsi="Times New Roman"/>
        </w:rPr>
        <w:t>на стойност на съответния показател през месеца.</w:t>
      </w:r>
    </w:p>
    <w:p w14:paraId="543F5B97" w14:textId="77777777" w:rsidR="001B665C" w:rsidRPr="009C4695" w:rsidRDefault="009C4695">
      <w:pPr>
        <w:keepNext/>
        <w:spacing w:before="240" w:after="240" w:line="240" w:lineRule="auto"/>
        <w:ind w:left="357" w:hanging="357"/>
        <w:jc w:val="both"/>
        <w:outlineLvl w:val="1"/>
        <w:rPr>
          <w:rFonts w:ascii="Times New Roman" w:eastAsia="Arial" w:hAnsi="Times New Roman" w:cs="Times New Roman"/>
          <w:u w:val="single"/>
        </w:rPr>
      </w:pPr>
      <w:bookmarkStart w:id="56" w:name="_Toc88218323"/>
      <w:r w:rsidRPr="009C4695">
        <w:rPr>
          <w:rFonts w:ascii="Times New Roman" w:hAnsi="Times New Roman"/>
          <w:u w:val="single"/>
        </w:rPr>
        <w:t>3.2.</w:t>
      </w:r>
      <w:r w:rsidRPr="009C4695">
        <w:rPr>
          <w:rFonts w:ascii="Times New Roman" w:hAnsi="Times New Roman"/>
          <w:u w:val="single"/>
        </w:rPr>
        <w:t xml:space="preserve"> I </w:t>
      </w:r>
      <w:r w:rsidRPr="009C4695">
        <w:rPr>
          <w:rFonts w:ascii="Times New Roman" w:hAnsi="Times New Roman"/>
          <w:u w:val="single"/>
        </w:rPr>
        <w:t>06.01</w:t>
      </w:r>
      <w:r w:rsidRPr="009C4695">
        <w:rPr>
          <w:rFonts w:ascii="Times New Roman" w:hAnsi="Times New Roman"/>
          <w:u w:val="single"/>
        </w:rPr>
        <w:t xml:space="preserve"> –—УПРАВЛЯВАНИ АКТИВИ — ДОПЪЛНИТЕЛНА ИНФОРМАЦИЯ (I </w:t>
      </w:r>
      <w:r w:rsidRPr="009C4695">
        <w:rPr>
          <w:rFonts w:ascii="Times New Roman" w:hAnsi="Times New Roman"/>
          <w:u w:val="single"/>
        </w:rPr>
        <w:t>6.1</w:t>
      </w:r>
      <w:r w:rsidRPr="009C4695">
        <w:rPr>
          <w:rFonts w:ascii="Times New Roman" w:hAnsi="Times New Roman"/>
          <w:u w:val="single"/>
        </w:rPr>
        <w:t>)</w:t>
      </w:r>
      <w:bookmarkEnd w:id="56"/>
    </w:p>
    <w:p w14:paraId="1DA98188" w14:textId="77777777" w:rsidR="001B665C" w:rsidRPr="009C4695" w:rsidRDefault="009C4695">
      <w:pPr>
        <w:keepNext/>
        <w:spacing w:before="240" w:after="240" w:line="240" w:lineRule="auto"/>
        <w:ind w:left="357" w:hanging="357"/>
        <w:jc w:val="both"/>
        <w:outlineLvl w:val="1"/>
      </w:pPr>
      <w:bookmarkStart w:id="57" w:name="_Toc88218324"/>
      <w:r w:rsidRPr="009C4695">
        <w:rPr>
          <w:rFonts w:ascii="Times New Roman" w:hAnsi="Times New Roman"/>
        </w:rPr>
        <w:t>3.2.1.</w:t>
      </w:r>
      <w:r w:rsidRPr="009C4695">
        <w:rPr>
          <w:rFonts w:ascii="Times New Roman" w:hAnsi="Times New Roman"/>
        </w:rPr>
        <w:tab/>
      </w:r>
      <w:r w:rsidRPr="009C4695">
        <w:rPr>
          <w:rFonts w:ascii="Times New Roman" w:hAnsi="Times New Roman"/>
          <w:u w:val="single"/>
        </w:rPr>
        <w:t>Указания относно определени позиции</w:t>
      </w:r>
      <w:bookmarkEnd w:id="5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665C" w:rsidRPr="009C4695" w14:paraId="4C47D5FA" w14:textId="77777777">
        <w:tc>
          <w:tcPr>
            <w:tcW w:w="1129" w:type="dxa"/>
            <w:shd w:val="clear" w:color="auto" w:fill="D9D9D9"/>
          </w:tcPr>
          <w:p w14:paraId="0ADAF170"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Ред</w:t>
            </w:r>
          </w:p>
        </w:tc>
        <w:tc>
          <w:tcPr>
            <w:tcW w:w="7620" w:type="dxa"/>
            <w:shd w:val="clear" w:color="auto" w:fill="D9D9D9"/>
          </w:tcPr>
          <w:p w14:paraId="0C6CFD8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Препратки към законодателни актове и указания</w:t>
            </w:r>
          </w:p>
        </w:tc>
      </w:tr>
      <w:tr w:rsidR="001B665C" w:rsidRPr="009C4695" w14:paraId="1D731F4D" w14:textId="77777777">
        <w:tc>
          <w:tcPr>
            <w:tcW w:w="1129" w:type="dxa"/>
          </w:tcPr>
          <w:p w14:paraId="7AE8A3CB"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9E0A9F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
                <w:bCs/>
                <w:u w:val="single"/>
              </w:rPr>
              <w:t>Общо управлявани активи (средни стойност</w:t>
            </w:r>
            <w:r w:rsidRPr="009C4695">
              <w:rPr>
                <w:rFonts w:ascii="Times New Roman" w:hAnsi="Times New Roman"/>
                <w:b/>
                <w:bCs/>
                <w:u w:val="single"/>
              </w:rPr>
              <w:t>и)</w:t>
            </w:r>
          </w:p>
          <w:p w14:paraId="4AE649D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4, параграф 1, точка 27 от Регламент (ЕС) 2019/2033.</w:t>
            </w:r>
          </w:p>
          <w:p w14:paraId="7FACA642"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Обща стойност на управляваните активи като средноаритметична стойност в съответствие с член 17, параграф 1, първа алинея от Регламент (ЕС) 2019/2033. Докладваната стойност е сборът на </w:t>
            </w:r>
            <w:r w:rsidRPr="009C4695">
              <w:rPr>
                <w:rFonts w:ascii="Times New Roman" w:hAnsi="Times New Roman"/>
                <w:bCs/>
              </w:rPr>
              <w:t>редове 0020 и 0040.</w:t>
            </w:r>
          </w:p>
        </w:tc>
      </w:tr>
      <w:tr w:rsidR="001B665C" w:rsidRPr="009C4695" w14:paraId="2E491778" w14:textId="77777777">
        <w:tc>
          <w:tcPr>
            <w:tcW w:w="1129" w:type="dxa"/>
          </w:tcPr>
          <w:p w14:paraId="6484810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A578C6A"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от които: управлявани активи — в рамките на дискреционно управление на портфейл</w:t>
            </w:r>
          </w:p>
          <w:p w14:paraId="1BB29D4B"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Общ размер на активите, по отношение на които инвестиционният посредник извършва услуга по управление на портфейл съгласно определението в член 4, пар</w:t>
            </w:r>
            <w:r w:rsidRPr="009C4695">
              <w:rPr>
                <w:rFonts w:ascii="Times New Roman" w:hAnsi="Times New Roman"/>
                <w:bCs/>
              </w:rPr>
              <w:t>аграф 1, точка 8 от Директива 2014/65/ЕС, изчислен в съответствие с член 17, параграф 1 от Регламент (ЕС) 2019/2033.</w:t>
            </w:r>
          </w:p>
        </w:tc>
      </w:tr>
      <w:tr w:rsidR="001B665C" w:rsidRPr="009C4695" w14:paraId="796F9B4C" w14:textId="77777777">
        <w:tc>
          <w:tcPr>
            <w:tcW w:w="1129" w:type="dxa"/>
          </w:tcPr>
          <w:p w14:paraId="45162C8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EB76AB8"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от които: управлявани активи, чието управление е официално делегирано на друг субект</w:t>
            </w:r>
          </w:p>
          <w:p w14:paraId="5D8604B6"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 xml:space="preserve">Член 17, параграф 2 от Регламент (ЕС) </w:t>
            </w:r>
            <w:r w:rsidRPr="009C4695">
              <w:rPr>
                <w:rFonts w:ascii="Times New Roman" w:hAnsi="Times New Roman"/>
                <w:bCs/>
              </w:rPr>
              <w:t>2019/2033.</w:t>
            </w:r>
          </w:p>
        </w:tc>
      </w:tr>
      <w:tr w:rsidR="001B665C" w:rsidRPr="009C4695" w14:paraId="23A61F08" w14:textId="77777777">
        <w:tc>
          <w:tcPr>
            <w:tcW w:w="1129" w:type="dxa"/>
          </w:tcPr>
          <w:p w14:paraId="49A5A300"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26B2285"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Управлявани активи — в рамките на недискреционни договорености за текущо предоставяне на съвети</w:t>
            </w:r>
          </w:p>
          <w:p w14:paraId="13183B42"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Общ размер на активите, по отношение на които инвестиционният посредник извършва в рамките на недискреционни договорености услуга по текущо пре</w:t>
            </w:r>
            <w:r w:rsidRPr="009C4695">
              <w:rPr>
                <w:rFonts w:ascii="Times New Roman" w:hAnsi="Times New Roman"/>
                <w:bCs/>
              </w:rPr>
              <w:t>доставяне на инвестиционни съвети съгласно определението в член 4, параграф 1, точка 4 от Директива 2014/65/ЕС.</w:t>
            </w:r>
          </w:p>
        </w:tc>
      </w:tr>
    </w:tbl>
    <w:p w14:paraId="37013765" w14:textId="77777777" w:rsidR="001B665C" w:rsidRPr="009C4695" w:rsidRDefault="001B665C"/>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665C" w:rsidRPr="009C4695" w14:paraId="6E0C306E" w14:textId="77777777">
        <w:tc>
          <w:tcPr>
            <w:tcW w:w="1129" w:type="dxa"/>
            <w:shd w:val="clear" w:color="auto" w:fill="D9D9D9"/>
          </w:tcPr>
          <w:p w14:paraId="44B6EE17"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Колони</w:t>
            </w:r>
          </w:p>
        </w:tc>
        <w:tc>
          <w:tcPr>
            <w:tcW w:w="7620" w:type="dxa"/>
            <w:shd w:val="clear" w:color="auto" w:fill="D9D9D9"/>
          </w:tcPr>
          <w:p w14:paraId="38D8BE60"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Препратки към законодателни актове и указания</w:t>
            </w:r>
          </w:p>
        </w:tc>
      </w:tr>
      <w:tr w:rsidR="001B665C" w:rsidRPr="009C4695" w14:paraId="4CCDF4D9" w14:textId="77777777">
        <w:tc>
          <w:tcPr>
            <w:tcW w:w="1129" w:type="dxa"/>
          </w:tcPr>
          <w:p w14:paraId="64AAD7B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w:t>
            </w:r>
          </w:p>
        </w:tc>
        <w:tc>
          <w:tcPr>
            <w:tcW w:w="7620" w:type="dxa"/>
          </w:tcPr>
          <w:p w14:paraId="09221C64"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Стойност на фактора — месец t</w:t>
            </w:r>
          </w:p>
          <w:p w14:paraId="7CA7CF70"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Управлявани активи към края на третия месец (т.е. последния) на тримесечието, за което се отнася докладът. </w:t>
            </w:r>
          </w:p>
        </w:tc>
      </w:tr>
      <w:tr w:rsidR="001B665C" w:rsidRPr="009C4695" w14:paraId="1794EB5C" w14:textId="77777777">
        <w:tc>
          <w:tcPr>
            <w:tcW w:w="1129" w:type="dxa"/>
          </w:tcPr>
          <w:p w14:paraId="1436F7B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0020</w:t>
            </w:r>
          </w:p>
        </w:tc>
        <w:tc>
          <w:tcPr>
            <w:tcW w:w="7620" w:type="dxa"/>
          </w:tcPr>
          <w:p w14:paraId="1BCAA50A"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Стойност на фактора — месец t-1</w:t>
            </w:r>
          </w:p>
          <w:p w14:paraId="482A3DE2"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Управлявани активи към втория месец на тримесечието, за което се отнася докладът.</w:t>
            </w:r>
          </w:p>
        </w:tc>
      </w:tr>
      <w:tr w:rsidR="001B665C" w:rsidRPr="009C4695" w14:paraId="0F55DABF" w14:textId="77777777">
        <w:tc>
          <w:tcPr>
            <w:tcW w:w="1129" w:type="dxa"/>
          </w:tcPr>
          <w:p w14:paraId="4715DD3F"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0030</w:t>
            </w:r>
          </w:p>
        </w:tc>
        <w:tc>
          <w:tcPr>
            <w:tcW w:w="7620" w:type="dxa"/>
          </w:tcPr>
          <w:p w14:paraId="2CD595E6"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 xml:space="preserve">Стойност на фактора — </w:t>
            </w:r>
            <w:r w:rsidRPr="009C4695">
              <w:rPr>
                <w:rFonts w:ascii="Times New Roman" w:hAnsi="Times New Roman"/>
                <w:b/>
                <w:bCs/>
                <w:u w:val="single"/>
              </w:rPr>
              <w:t>месец t-2</w:t>
            </w:r>
          </w:p>
          <w:p w14:paraId="18E4747F"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Управлявани активи към първия месец на тримесечието, за което се отнася докладът.</w:t>
            </w:r>
          </w:p>
        </w:tc>
      </w:tr>
    </w:tbl>
    <w:p w14:paraId="6BB5841C" w14:textId="77777777" w:rsidR="001B665C" w:rsidRPr="009C4695" w:rsidRDefault="009C4695">
      <w:pPr>
        <w:keepNext/>
        <w:spacing w:before="240" w:after="240" w:line="240" w:lineRule="auto"/>
        <w:ind w:left="357" w:hanging="357"/>
        <w:jc w:val="both"/>
        <w:outlineLvl w:val="1"/>
        <w:rPr>
          <w:rFonts w:ascii="Times New Roman" w:eastAsia="Arial" w:hAnsi="Times New Roman" w:cs="Times New Roman"/>
          <w:u w:val="single"/>
        </w:rPr>
      </w:pPr>
      <w:bookmarkStart w:id="58" w:name="_Toc88218325"/>
      <w:r w:rsidRPr="009C4695">
        <w:rPr>
          <w:rFonts w:ascii="Times New Roman" w:hAnsi="Times New Roman"/>
          <w:u w:val="single"/>
        </w:rPr>
        <w:t>3.3.</w:t>
      </w:r>
      <w:r w:rsidRPr="009C4695">
        <w:rPr>
          <w:rFonts w:ascii="Times New Roman" w:hAnsi="Times New Roman"/>
          <w:u w:val="single"/>
        </w:rPr>
        <w:t xml:space="preserve"> I </w:t>
      </w:r>
      <w:r w:rsidRPr="009C4695">
        <w:rPr>
          <w:rFonts w:ascii="Times New Roman" w:hAnsi="Times New Roman"/>
          <w:u w:val="single"/>
        </w:rPr>
        <w:t>06.02</w:t>
      </w:r>
      <w:r w:rsidRPr="009C4695">
        <w:rPr>
          <w:rFonts w:ascii="Times New Roman" w:hAnsi="Times New Roman"/>
          <w:u w:val="single"/>
        </w:rPr>
        <w:t xml:space="preserve"> – МЕСЕЧНА СТОЙНОСТ НА УПРАВЛЯВАНИТЕ АКТИВИ (I </w:t>
      </w:r>
      <w:r w:rsidRPr="009C4695">
        <w:rPr>
          <w:rFonts w:ascii="Times New Roman" w:hAnsi="Times New Roman"/>
          <w:u w:val="single"/>
        </w:rPr>
        <w:t>6.2</w:t>
      </w:r>
      <w:r w:rsidRPr="009C4695">
        <w:rPr>
          <w:rFonts w:ascii="Times New Roman" w:hAnsi="Times New Roman"/>
          <w:u w:val="single"/>
        </w:rPr>
        <w:t>)</w:t>
      </w:r>
      <w:bookmarkEnd w:id="58"/>
    </w:p>
    <w:p w14:paraId="2D9A2540" w14:textId="77777777" w:rsidR="001B665C" w:rsidRPr="009C4695" w:rsidRDefault="009C4695">
      <w:pPr>
        <w:keepNext/>
        <w:spacing w:before="240" w:after="240" w:line="240" w:lineRule="auto"/>
        <w:ind w:left="357" w:hanging="357"/>
        <w:jc w:val="both"/>
        <w:outlineLvl w:val="1"/>
        <w:rPr>
          <w:rFonts w:ascii="Times New Roman" w:eastAsia="Arial" w:hAnsi="Times New Roman" w:cs="Times New Roman"/>
        </w:rPr>
      </w:pPr>
      <w:bookmarkStart w:id="59" w:name="_Toc88218326"/>
      <w:r w:rsidRPr="009C4695">
        <w:rPr>
          <w:rFonts w:ascii="Times New Roman" w:hAnsi="Times New Roman"/>
        </w:rPr>
        <w:t>3.3.1.</w:t>
      </w:r>
      <w:r w:rsidRPr="009C4695">
        <w:tab/>
      </w:r>
      <w:r w:rsidRPr="009C4695">
        <w:rPr>
          <w:rFonts w:ascii="Times New Roman" w:hAnsi="Times New Roman"/>
          <w:u w:val="single"/>
        </w:rPr>
        <w:t>Указания относно определени позиции</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665C" w:rsidRPr="009C4695" w14:paraId="17D24870" w14:textId="77777777">
        <w:tc>
          <w:tcPr>
            <w:tcW w:w="1129" w:type="dxa"/>
            <w:shd w:val="clear" w:color="auto" w:fill="D9D9D9"/>
          </w:tcPr>
          <w:p w14:paraId="0D93E47D"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Ред</w:t>
            </w:r>
          </w:p>
        </w:tc>
        <w:tc>
          <w:tcPr>
            <w:tcW w:w="7620" w:type="dxa"/>
            <w:shd w:val="clear" w:color="auto" w:fill="D9D9D9"/>
          </w:tcPr>
          <w:p w14:paraId="7DB159E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 xml:space="preserve">Препратки към законодателни актове и </w:t>
            </w:r>
            <w:r w:rsidRPr="009C4695">
              <w:rPr>
                <w:rFonts w:ascii="Times New Roman" w:hAnsi="Times New Roman"/>
              </w:rPr>
              <w:t>указания</w:t>
            </w:r>
          </w:p>
        </w:tc>
      </w:tr>
      <w:tr w:rsidR="001B665C" w:rsidRPr="009C4695" w14:paraId="778A9582" w14:textId="77777777">
        <w:tc>
          <w:tcPr>
            <w:tcW w:w="1129" w:type="dxa"/>
          </w:tcPr>
          <w:p w14:paraId="7931A49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084F028"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Обща месечна стойност на управляваните активи</w:t>
            </w:r>
          </w:p>
          <w:p w14:paraId="06FDEF3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4, параграф 1, точка 27 от Регламент (ЕС) 2019/2033.</w:t>
            </w:r>
          </w:p>
          <w:p w14:paraId="56CE21A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Обща месечна стойност на управляваните активи към последния работен ден на съответния месец съгласно посоченото в член 17, </w:t>
            </w:r>
            <w:r w:rsidRPr="009C4695">
              <w:rPr>
                <w:rFonts w:ascii="Times New Roman" w:hAnsi="Times New Roman"/>
                <w:bCs/>
              </w:rPr>
              <w:t>параграф 1 от Регламент (ЕС) 2019/2033.</w:t>
            </w:r>
          </w:p>
          <w:p w14:paraId="3CED52B4"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Сумата, докладвана в този ред, е сборът на редове 0020 и 0040.</w:t>
            </w:r>
          </w:p>
        </w:tc>
      </w:tr>
      <w:tr w:rsidR="001B665C" w:rsidRPr="009C4695" w14:paraId="0E312BC1" w14:textId="77777777">
        <w:tc>
          <w:tcPr>
            <w:tcW w:w="1129" w:type="dxa"/>
          </w:tcPr>
          <w:p w14:paraId="1A969F6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F6EF48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
                <w:bCs/>
                <w:u w:val="single"/>
              </w:rPr>
              <w:t>Месечна стойност на управляваните активи — в рамките на дискреционно управление на портфейл</w:t>
            </w:r>
          </w:p>
          <w:p w14:paraId="7EA800B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Докладваната стойност представлява месечната </w:t>
            </w:r>
            <w:r w:rsidRPr="009C4695">
              <w:rPr>
                <w:rFonts w:ascii="Times New Roman" w:hAnsi="Times New Roman"/>
                <w:bCs/>
              </w:rPr>
              <w:t xml:space="preserve">стойност на активите, по отношение на които инвестиционният посредник извършва услуга по управление на портфейл съгласно определението в член 4, параграф 1, точка 8 от Директива 2014/65/ЕС, към последния работен ден на съответния месец съгласно посоченото </w:t>
            </w:r>
            <w:r w:rsidRPr="009C4695">
              <w:rPr>
                <w:rFonts w:ascii="Times New Roman" w:hAnsi="Times New Roman"/>
                <w:bCs/>
              </w:rPr>
              <w:t>в член 17, параграф 1 от Регламент (ЕС) 2019/2033.</w:t>
            </w:r>
          </w:p>
        </w:tc>
      </w:tr>
      <w:tr w:rsidR="001B665C" w:rsidRPr="009C4695" w14:paraId="0F3261D1" w14:textId="77777777">
        <w:tc>
          <w:tcPr>
            <w:tcW w:w="1129" w:type="dxa"/>
          </w:tcPr>
          <w:p w14:paraId="0F683D8B"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D0DBA57"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
                <w:bCs/>
                <w:u w:val="single"/>
              </w:rPr>
              <w:t>от които: активи, чието управление е официално делегирано на друг субект</w:t>
            </w:r>
          </w:p>
          <w:p w14:paraId="02B261F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17, параграф 2 от Регламент (ЕС) 2019/2033.</w:t>
            </w:r>
          </w:p>
          <w:p w14:paraId="106509B7"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 xml:space="preserve">Месечна стойност на активите, чието управление е официално делегирано на друг субект, докладвана към последния работен ден на съответния месец. </w:t>
            </w:r>
          </w:p>
        </w:tc>
      </w:tr>
      <w:tr w:rsidR="001B665C" w:rsidRPr="009C4695" w14:paraId="3E582678" w14:textId="77777777">
        <w:tc>
          <w:tcPr>
            <w:tcW w:w="1129" w:type="dxa"/>
          </w:tcPr>
          <w:p w14:paraId="1ADF391D"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09ECB21"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
                <w:bCs/>
                <w:u w:val="single"/>
              </w:rPr>
              <w:t>Месечна стойност на управляваните активи — в рамките на недискреционни договорености за текущо предоставя</w:t>
            </w:r>
            <w:r w:rsidRPr="009C4695">
              <w:rPr>
                <w:rFonts w:ascii="Times New Roman" w:hAnsi="Times New Roman"/>
                <w:b/>
                <w:bCs/>
                <w:u w:val="single"/>
              </w:rPr>
              <w:t>не на съвети</w:t>
            </w:r>
          </w:p>
          <w:p w14:paraId="66E3704D"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 xml:space="preserve">Общ размер на активите, по отношение на които инвестиционният посредник извършва в рамките на недискреционни договорености услуга по текущо предоставяне на инвестиционни съвети съгласно определението в член 4, параграф 1, точка 4 от Директива </w:t>
            </w:r>
            <w:r w:rsidRPr="009C4695">
              <w:rPr>
                <w:rFonts w:ascii="Times New Roman" w:hAnsi="Times New Roman"/>
                <w:bCs/>
              </w:rPr>
              <w:t>2014/65/ЕС, докладван към края на последния работен ден от съответния месец.</w:t>
            </w:r>
          </w:p>
        </w:tc>
      </w:tr>
    </w:tbl>
    <w:p w14:paraId="56C8AF7F" w14:textId="77777777" w:rsidR="001B665C" w:rsidRPr="009C4695" w:rsidRDefault="001B665C">
      <w:pPr>
        <w:keepNext/>
        <w:spacing w:before="240" w:after="240" w:line="240" w:lineRule="auto"/>
        <w:jc w:val="both"/>
        <w:outlineLvl w:val="1"/>
        <w:rPr>
          <w:rFonts w:ascii="Times New Roman" w:eastAsia="Arial" w:hAnsi="Times New Roman" w:cs="Times New Roman"/>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665C" w:rsidRPr="009C4695" w14:paraId="43429590" w14:textId="77777777">
        <w:tc>
          <w:tcPr>
            <w:tcW w:w="1129" w:type="dxa"/>
            <w:shd w:val="clear" w:color="auto" w:fill="D9D9D9"/>
          </w:tcPr>
          <w:p w14:paraId="6C01762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Колони</w:t>
            </w:r>
          </w:p>
        </w:tc>
        <w:tc>
          <w:tcPr>
            <w:tcW w:w="7620" w:type="dxa"/>
            <w:shd w:val="clear" w:color="auto" w:fill="D9D9D9"/>
          </w:tcPr>
          <w:p w14:paraId="0F1F6A6D"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Препратки към законодателни актове и указания</w:t>
            </w:r>
          </w:p>
        </w:tc>
      </w:tr>
      <w:tr w:rsidR="001B665C" w:rsidRPr="009C4695" w14:paraId="237525BE" w14:textId="77777777">
        <w:tc>
          <w:tcPr>
            <w:tcW w:w="1129" w:type="dxa"/>
          </w:tcPr>
          <w:p w14:paraId="6C709777"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0010-0140</w:t>
            </w:r>
          </w:p>
        </w:tc>
        <w:tc>
          <w:tcPr>
            <w:tcW w:w="7620" w:type="dxa"/>
          </w:tcPr>
          <w:p w14:paraId="366FAE7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
                <w:bCs/>
                <w:u w:val="single"/>
              </w:rPr>
              <w:t>Стойности към края на месеца</w:t>
            </w:r>
          </w:p>
          <w:p w14:paraId="7585A76E"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 xml:space="preserve">Докладват се стойностите към последния работен ден на съответния месец </w:t>
            </w:r>
            <w:r w:rsidRPr="009C4695">
              <w:rPr>
                <w:rFonts w:ascii="Times New Roman" w:hAnsi="Times New Roman"/>
                <w:bCs/>
              </w:rPr>
              <w:t>съгласно посоченото в член 17, параграф 1 от Регламент (ЕС) 2019/2033.</w:t>
            </w:r>
          </w:p>
        </w:tc>
      </w:tr>
    </w:tbl>
    <w:p w14:paraId="6035AA63" w14:textId="77777777" w:rsidR="001B665C" w:rsidRPr="009C4695" w:rsidRDefault="009C4695">
      <w:pPr>
        <w:keepNext/>
        <w:spacing w:before="240" w:after="240" w:line="240" w:lineRule="auto"/>
        <w:ind w:left="357" w:hanging="357"/>
        <w:jc w:val="both"/>
        <w:outlineLvl w:val="1"/>
        <w:rPr>
          <w:rFonts w:ascii="Times New Roman" w:eastAsia="Arial" w:hAnsi="Times New Roman" w:cs="Times New Roman"/>
          <w:u w:val="single"/>
        </w:rPr>
      </w:pPr>
      <w:bookmarkStart w:id="60" w:name="_Toc88218327"/>
      <w:r w:rsidRPr="009C4695">
        <w:rPr>
          <w:rFonts w:ascii="Times New Roman" w:hAnsi="Times New Roman"/>
          <w:u w:val="single"/>
        </w:rPr>
        <w:t>3.4.</w:t>
      </w:r>
      <w:r w:rsidRPr="009C4695">
        <w:rPr>
          <w:rFonts w:ascii="Times New Roman" w:hAnsi="Times New Roman"/>
          <w:u w:val="single"/>
        </w:rPr>
        <w:t xml:space="preserve"> I </w:t>
      </w:r>
      <w:r w:rsidRPr="009C4695">
        <w:rPr>
          <w:rFonts w:ascii="Times New Roman" w:hAnsi="Times New Roman"/>
          <w:u w:val="single"/>
        </w:rPr>
        <w:t>06.03</w:t>
      </w:r>
      <w:r w:rsidRPr="009C4695">
        <w:rPr>
          <w:rFonts w:ascii="Times New Roman" w:hAnsi="Times New Roman"/>
          <w:u w:val="single"/>
        </w:rPr>
        <w:t xml:space="preserve"> – ДЪРЖАНИ ПАРИЧНИ СРЕДСТВА НА КЛИЕНТИ – ДОПЪЛНИТЕЛНА ИНФОРМАЦИЯ (I </w:t>
      </w:r>
      <w:r w:rsidRPr="009C4695">
        <w:rPr>
          <w:rFonts w:ascii="Times New Roman" w:hAnsi="Times New Roman"/>
          <w:u w:val="single"/>
        </w:rPr>
        <w:t>6.3</w:t>
      </w:r>
      <w:r w:rsidRPr="009C4695">
        <w:rPr>
          <w:rFonts w:ascii="Times New Roman" w:hAnsi="Times New Roman"/>
          <w:u w:val="single"/>
        </w:rPr>
        <w:t>)</w:t>
      </w:r>
      <w:bookmarkEnd w:id="60"/>
    </w:p>
    <w:p w14:paraId="05D672EF" w14:textId="77777777" w:rsidR="001B665C" w:rsidRPr="009C4695" w:rsidRDefault="009C4695">
      <w:pPr>
        <w:keepNext/>
        <w:spacing w:before="240" w:after="240" w:line="240" w:lineRule="auto"/>
        <w:ind w:left="357" w:hanging="357"/>
        <w:jc w:val="both"/>
        <w:outlineLvl w:val="1"/>
      </w:pPr>
      <w:bookmarkStart w:id="61" w:name="_Toc88218328"/>
      <w:r w:rsidRPr="009C4695">
        <w:rPr>
          <w:rFonts w:ascii="Times New Roman" w:hAnsi="Times New Roman"/>
        </w:rPr>
        <w:t>3.4.1.</w:t>
      </w:r>
      <w:r w:rsidRPr="009C4695">
        <w:tab/>
      </w:r>
      <w:r w:rsidRPr="009C4695">
        <w:rPr>
          <w:rFonts w:ascii="Times New Roman" w:hAnsi="Times New Roman"/>
          <w:u w:val="single"/>
        </w:rPr>
        <w:t>Указания относно определени позиции</w:t>
      </w:r>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665C" w:rsidRPr="009C4695" w14:paraId="228917AB" w14:textId="77777777">
        <w:tc>
          <w:tcPr>
            <w:tcW w:w="1129" w:type="dxa"/>
            <w:shd w:val="clear" w:color="auto" w:fill="D9D9D9"/>
          </w:tcPr>
          <w:p w14:paraId="0F03DB92"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Ред</w:t>
            </w:r>
          </w:p>
        </w:tc>
        <w:tc>
          <w:tcPr>
            <w:tcW w:w="7620" w:type="dxa"/>
            <w:shd w:val="clear" w:color="auto" w:fill="D9D9D9"/>
          </w:tcPr>
          <w:p w14:paraId="220B31F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 xml:space="preserve">Препратки към законодателни актове и </w:t>
            </w:r>
            <w:r w:rsidRPr="009C4695">
              <w:rPr>
                <w:rFonts w:ascii="Times New Roman" w:hAnsi="Times New Roman"/>
              </w:rPr>
              <w:t>указания</w:t>
            </w:r>
          </w:p>
        </w:tc>
      </w:tr>
      <w:tr w:rsidR="001B665C" w:rsidRPr="009C4695" w14:paraId="7C258530" w14:textId="77777777">
        <w:tc>
          <w:tcPr>
            <w:tcW w:w="1129" w:type="dxa"/>
            <w:tcBorders>
              <w:bottom w:val="single" w:sz="4" w:space="0" w:color="auto"/>
            </w:tcBorders>
          </w:tcPr>
          <w:p w14:paraId="005DB86B"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6788450"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Държани парични средства на клиенти — по обособени сметки (средни стойности)</w:t>
            </w:r>
          </w:p>
          <w:p w14:paraId="7878C7A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4, параграф 1, точки 28 и 49 от Регламент (ЕС) 2019/2033 и член 1 от РТС относно определението на понятието „обособена сметка“ (член 15, параграф 5, буква б) о</w:t>
            </w:r>
            <w:r w:rsidRPr="009C4695">
              <w:rPr>
                <w:rFonts w:ascii="Times New Roman" w:hAnsi="Times New Roman"/>
                <w:bCs/>
              </w:rPr>
              <w:t>т Регламент (ЕС) 2019/2033).</w:t>
            </w:r>
          </w:p>
          <w:p w14:paraId="4C91458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Докладваната стойност е средноаритметичната стойност на дневните стойности на държаните парични средства на клиенти, когато тези средства </w:t>
            </w:r>
            <w:r w:rsidRPr="009C4695">
              <w:rPr>
                <w:rFonts w:ascii="Times New Roman" w:hAnsi="Times New Roman"/>
                <w:bCs/>
                <w:u w:val="single"/>
              </w:rPr>
              <w:t>се държат</w:t>
            </w:r>
            <w:r w:rsidRPr="009C4695">
              <w:rPr>
                <w:rFonts w:ascii="Times New Roman" w:hAnsi="Times New Roman"/>
                <w:bCs/>
              </w:rPr>
              <w:t xml:space="preserve"> по обособени сметки в съответствие с член 18, параграф 1, първа алинея от Регламент (ЕС) 2019/2033.</w:t>
            </w:r>
          </w:p>
        </w:tc>
      </w:tr>
      <w:tr w:rsidR="001B665C" w:rsidRPr="009C4695" w14:paraId="77E310B4" w14:textId="77777777">
        <w:tc>
          <w:tcPr>
            <w:tcW w:w="1129" w:type="dxa"/>
            <w:tcBorders>
              <w:top w:val="single" w:sz="4" w:space="0" w:color="auto"/>
              <w:bottom w:val="single" w:sz="4" w:space="0" w:color="auto"/>
            </w:tcBorders>
          </w:tcPr>
          <w:p w14:paraId="46737C4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7734A64"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Държани парични средства на клиенти — по необособени сметки (средни стойности)</w:t>
            </w:r>
          </w:p>
          <w:p w14:paraId="7CF9CAA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Член 4, параграф 1, точки 28 и 49 от Регламент (ЕС) </w:t>
            </w:r>
            <w:r w:rsidRPr="009C4695">
              <w:rPr>
                <w:rFonts w:ascii="Times New Roman" w:hAnsi="Times New Roman"/>
                <w:bCs/>
              </w:rPr>
              <w:t>2019/2033.</w:t>
            </w:r>
          </w:p>
          <w:p w14:paraId="15E11B5A"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 xml:space="preserve">Докладваната стойност е средноаритметичната стойност на дневните стойности на държаните парични средства на клиенти, когато тези средства </w:t>
            </w:r>
            <w:r w:rsidRPr="009C4695">
              <w:rPr>
                <w:rFonts w:ascii="Times New Roman" w:hAnsi="Times New Roman"/>
                <w:bCs/>
                <w:u w:val="single"/>
              </w:rPr>
              <w:t>не се държат</w:t>
            </w:r>
            <w:r w:rsidRPr="009C4695">
              <w:rPr>
                <w:rFonts w:ascii="Times New Roman" w:hAnsi="Times New Roman"/>
                <w:bCs/>
              </w:rPr>
              <w:t xml:space="preserve"> по обособени сметки в съответствие с член 18, параграф 1, първа алинея от Регламент (ЕС) 2019/</w:t>
            </w:r>
            <w:r w:rsidRPr="009C4695">
              <w:rPr>
                <w:rFonts w:ascii="Times New Roman" w:hAnsi="Times New Roman"/>
                <w:bCs/>
              </w:rPr>
              <w:t>2033.</w:t>
            </w:r>
          </w:p>
        </w:tc>
      </w:tr>
    </w:tbl>
    <w:p w14:paraId="5D04AE64" w14:textId="77777777" w:rsidR="001B665C" w:rsidRPr="009C4695" w:rsidRDefault="001B665C"/>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665C" w:rsidRPr="009C4695" w14:paraId="7FD631F6" w14:textId="77777777">
        <w:tc>
          <w:tcPr>
            <w:tcW w:w="1129" w:type="dxa"/>
            <w:shd w:val="clear" w:color="auto" w:fill="D9D9D9"/>
          </w:tcPr>
          <w:p w14:paraId="17A32CD7"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Колони</w:t>
            </w:r>
          </w:p>
        </w:tc>
        <w:tc>
          <w:tcPr>
            <w:tcW w:w="7620" w:type="dxa"/>
            <w:shd w:val="clear" w:color="auto" w:fill="D9D9D9"/>
          </w:tcPr>
          <w:p w14:paraId="69FBE6E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Препратки към законодателни актове и указания</w:t>
            </w:r>
          </w:p>
        </w:tc>
      </w:tr>
      <w:tr w:rsidR="001B665C" w:rsidRPr="009C4695" w14:paraId="6A49B438" w14:textId="77777777">
        <w:tc>
          <w:tcPr>
            <w:tcW w:w="1129" w:type="dxa"/>
          </w:tcPr>
          <w:p w14:paraId="5747A8D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w:t>
            </w:r>
          </w:p>
        </w:tc>
        <w:tc>
          <w:tcPr>
            <w:tcW w:w="7620" w:type="dxa"/>
          </w:tcPr>
          <w:p w14:paraId="732557AF"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Стойност на фактора — месец t</w:t>
            </w:r>
          </w:p>
          <w:p w14:paraId="7AA1C00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Държани парични средства на клиенти към края на третия месец (т.е. последния) на тримесечието, за което се отнася докладът.</w:t>
            </w:r>
          </w:p>
          <w:p w14:paraId="2A506BF1"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Изчислява се като </w:t>
            </w:r>
            <w:r w:rsidRPr="009C4695">
              <w:rPr>
                <w:rFonts w:ascii="Times New Roman" w:hAnsi="Times New Roman"/>
                <w:bCs/>
              </w:rPr>
              <w:t>средноаритметична стойност на дневните стойности в рамките на периода, посочен в член 18, параграф 1 от Регламент (ЕС) 2019/2033.</w:t>
            </w:r>
          </w:p>
        </w:tc>
      </w:tr>
      <w:tr w:rsidR="001B665C" w:rsidRPr="009C4695" w14:paraId="22F9B23F" w14:textId="77777777">
        <w:tc>
          <w:tcPr>
            <w:tcW w:w="1129" w:type="dxa"/>
          </w:tcPr>
          <w:p w14:paraId="2893C6F9" w14:textId="77777777" w:rsidR="001B665C" w:rsidRPr="009C4695" w:rsidRDefault="009C4695">
            <w:pPr>
              <w:spacing w:after="120" w:line="240" w:lineRule="auto"/>
              <w:jc w:val="both"/>
              <w:rPr>
                <w:rFonts w:ascii="Times New Roman" w:eastAsia="Times New Roman" w:hAnsi="Times New Roman" w:cs="Times New Roman"/>
                <w:bCs/>
                <w:sz w:val="24"/>
                <w:szCs w:val="24"/>
              </w:rPr>
            </w:pPr>
            <w:r w:rsidRPr="009C4695">
              <w:rPr>
                <w:rFonts w:ascii="Times New Roman" w:hAnsi="Times New Roman"/>
                <w:bCs/>
                <w:sz w:val="24"/>
                <w:szCs w:val="24"/>
              </w:rPr>
              <w:t>0020</w:t>
            </w:r>
          </w:p>
        </w:tc>
        <w:tc>
          <w:tcPr>
            <w:tcW w:w="7620" w:type="dxa"/>
          </w:tcPr>
          <w:p w14:paraId="4845173F" w14:textId="77777777" w:rsidR="001B665C" w:rsidRPr="009C4695" w:rsidRDefault="009C4695">
            <w:pPr>
              <w:spacing w:after="120" w:line="240" w:lineRule="auto"/>
              <w:jc w:val="both"/>
              <w:rPr>
                <w:rFonts w:ascii="Times New Roman" w:eastAsia="Times New Roman" w:hAnsi="Times New Roman" w:cs="Times New Roman"/>
                <w:b/>
                <w:bCs/>
                <w:sz w:val="24"/>
                <w:szCs w:val="24"/>
                <w:u w:val="single"/>
              </w:rPr>
            </w:pPr>
            <w:r w:rsidRPr="009C4695">
              <w:rPr>
                <w:rFonts w:ascii="Times New Roman" w:hAnsi="Times New Roman"/>
                <w:b/>
                <w:bCs/>
                <w:sz w:val="24"/>
                <w:szCs w:val="24"/>
                <w:u w:val="single"/>
              </w:rPr>
              <w:t>Стойност на фактора — месец t-1</w:t>
            </w:r>
          </w:p>
          <w:p w14:paraId="1D99AF18" w14:textId="77777777" w:rsidR="001B665C" w:rsidRPr="009C4695" w:rsidRDefault="009C4695">
            <w:pPr>
              <w:spacing w:after="120" w:line="240" w:lineRule="auto"/>
              <w:jc w:val="both"/>
              <w:rPr>
                <w:rFonts w:ascii="Times New Roman" w:eastAsia="Times New Roman" w:hAnsi="Times New Roman" w:cs="Times New Roman"/>
                <w:bCs/>
                <w:sz w:val="24"/>
                <w:szCs w:val="24"/>
              </w:rPr>
            </w:pPr>
            <w:r w:rsidRPr="009C4695">
              <w:rPr>
                <w:rFonts w:ascii="Times New Roman" w:hAnsi="Times New Roman"/>
                <w:bCs/>
                <w:sz w:val="24"/>
                <w:szCs w:val="24"/>
              </w:rPr>
              <w:t>Държани парични средства на клиенти към края на втория месец от тримесечието, за което с</w:t>
            </w:r>
            <w:r w:rsidRPr="009C4695">
              <w:rPr>
                <w:rFonts w:ascii="Times New Roman" w:hAnsi="Times New Roman"/>
                <w:bCs/>
                <w:sz w:val="24"/>
                <w:szCs w:val="24"/>
              </w:rPr>
              <w:t>е отнася докладът.</w:t>
            </w:r>
          </w:p>
          <w:p w14:paraId="2BDEF214" w14:textId="77777777" w:rsidR="001B665C" w:rsidRPr="009C4695" w:rsidRDefault="009C4695">
            <w:pPr>
              <w:spacing w:after="120" w:line="240" w:lineRule="auto"/>
              <w:jc w:val="both"/>
              <w:rPr>
                <w:rFonts w:ascii="Times New Roman" w:eastAsia="Times New Roman" w:hAnsi="Times New Roman" w:cs="Times New Roman"/>
                <w:b/>
                <w:bCs/>
                <w:sz w:val="24"/>
                <w:szCs w:val="24"/>
                <w:u w:val="single"/>
              </w:rPr>
            </w:pPr>
            <w:r w:rsidRPr="009C4695">
              <w:rPr>
                <w:rFonts w:ascii="Times New Roman" w:hAnsi="Times New Roman"/>
                <w:bCs/>
              </w:rPr>
              <w:t>Изчислява се като средноаритметична стойност на дневните стойности в рамките на периода, посочен в член 18, параграф 1 от Регламент (ЕС) 2019/2033.</w:t>
            </w:r>
          </w:p>
        </w:tc>
      </w:tr>
      <w:tr w:rsidR="001B665C" w:rsidRPr="009C4695" w14:paraId="7F569B0C" w14:textId="77777777">
        <w:tc>
          <w:tcPr>
            <w:tcW w:w="1129" w:type="dxa"/>
          </w:tcPr>
          <w:p w14:paraId="6037F194" w14:textId="77777777" w:rsidR="001B665C" w:rsidRPr="009C4695" w:rsidRDefault="009C4695">
            <w:pPr>
              <w:spacing w:after="120" w:line="240" w:lineRule="auto"/>
              <w:jc w:val="both"/>
              <w:rPr>
                <w:rFonts w:ascii="Times New Roman" w:eastAsia="Times New Roman" w:hAnsi="Times New Roman" w:cs="Times New Roman"/>
                <w:bCs/>
                <w:sz w:val="24"/>
                <w:szCs w:val="24"/>
              </w:rPr>
            </w:pPr>
            <w:r w:rsidRPr="009C4695">
              <w:rPr>
                <w:rFonts w:ascii="Times New Roman" w:hAnsi="Times New Roman"/>
                <w:bCs/>
                <w:sz w:val="24"/>
                <w:szCs w:val="24"/>
              </w:rPr>
              <w:t>0030</w:t>
            </w:r>
          </w:p>
        </w:tc>
        <w:tc>
          <w:tcPr>
            <w:tcW w:w="7620" w:type="dxa"/>
          </w:tcPr>
          <w:p w14:paraId="5D3B9AAC" w14:textId="77777777" w:rsidR="001B665C" w:rsidRPr="009C4695" w:rsidRDefault="009C4695">
            <w:pPr>
              <w:spacing w:after="120" w:line="240" w:lineRule="auto"/>
              <w:jc w:val="both"/>
              <w:rPr>
                <w:rFonts w:ascii="Times New Roman" w:eastAsia="Times New Roman" w:hAnsi="Times New Roman" w:cs="Times New Roman"/>
                <w:b/>
                <w:bCs/>
                <w:sz w:val="24"/>
                <w:szCs w:val="24"/>
                <w:u w:val="single"/>
              </w:rPr>
            </w:pPr>
            <w:r w:rsidRPr="009C4695">
              <w:rPr>
                <w:rFonts w:ascii="Times New Roman" w:hAnsi="Times New Roman"/>
                <w:b/>
                <w:bCs/>
                <w:sz w:val="24"/>
                <w:szCs w:val="24"/>
                <w:u w:val="single"/>
              </w:rPr>
              <w:t>Стойност на фактора — месец t-2</w:t>
            </w:r>
          </w:p>
          <w:p w14:paraId="52A9A581" w14:textId="77777777" w:rsidR="001B665C" w:rsidRPr="009C4695" w:rsidRDefault="009C4695">
            <w:pPr>
              <w:spacing w:after="120" w:line="240" w:lineRule="auto"/>
              <w:jc w:val="both"/>
              <w:rPr>
                <w:rFonts w:ascii="Times New Roman" w:eastAsia="Times New Roman" w:hAnsi="Times New Roman" w:cs="Times New Roman"/>
                <w:bCs/>
                <w:sz w:val="24"/>
                <w:szCs w:val="24"/>
              </w:rPr>
            </w:pPr>
            <w:r w:rsidRPr="009C4695">
              <w:rPr>
                <w:rFonts w:ascii="Times New Roman" w:hAnsi="Times New Roman"/>
                <w:bCs/>
                <w:sz w:val="24"/>
                <w:szCs w:val="24"/>
              </w:rPr>
              <w:t xml:space="preserve">Държани парични средства на клиенти към края на </w:t>
            </w:r>
            <w:r w:rsidRPr="009C4695">
              <w:rPr>
                <w:rFonts w:ascii="Times New Roman" w:hAnsi="Times New Roman"/>
                <w:bCs/>
                <w:sz w:val="24"/>
                <w:szCs w:val="24"/>
              </w:rPr>
              <w:t>първия месец от тримесечието, за което се отнася докладът.</w:t>
            </w:r>
          </w:p>
          <w:p w14:paraId="513F2AB7" w14:textId="77777777" w:rsidR="001B665C" w:rsidRPr="009C4695" w:rsidRDefault="009C4695">
            <w:pPr>
              <w:spacing w:after="120" w:line="240" w:lineRule="auto"/>
              <w:jc w:val="both"/>
              <w:rPr>
                <w:rFonts w:ascii="Times New Roman" w:eastAsia="Times New Roman" w:hAnsi="Times New Roman" w:cs="Times New Roman"/>
                <w:b/>
                <w:bCs/>
                <w:sz w:val="24"/>
                <w:szCs w:val="24"/>
                <w:u w:val="single"/>
              </w:rPr>
            </w:pPr>
            <w:r w:rsidRPr="009C4695">
              <w:rPr>
                <w:rFonts w:ascii="Times New Roman" w:hAnsi="Times New Roman"/>
                <w:bCs/>
              </w:rPr>
              <w:t>Изчислява се като средноаритметична дневна стойност в рамките на периода, посочен в член 18, параграф 1 от Регламент (ЕС) 2019/2033.</w:t>
            </w:r>
          </w:p>
        </w:tc>
      </w:tr>
    </w:tbl>
    <w:p w14:paraId="38872321" w14:textId="77777777" w:rsidR="001B665C" w:rsidRPr="009C4695" w:rsidRDefault="009C4695">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2" w:name="_Toc88218329"/>
      <w:r w:rsidRPr="009C4695">
        <w:rPr>
          <w:rFonts w:ascii="Times New Roman" w:hAnsi="Times New Roman"/>
          <w:sz w:val="24"/>
          <w:szCs w:val="24"/>
          <w:u w:val="single"/>
        </w:rPr>
        <w:t>3.5.</w:t>
      </w:r>
      <w:r w:rsidRPr="009C4695">
        <w:rPr>
          <w:rFonts w:ascii="Times New Roman" w:hAnsi="Times New Roman"/>
          <w:sz w:val="24"/>
          <w:szCs w:val="24"/>
          <w:u w:val="single"/>
        </w:rPr>
        <w:t xml:space="preserve"> I </w:t>
      </w:r>
      <w:r w:rsidRPr="009C4695">
        <w:rPr>
          <w:rFonts w:ascii="Times New Roman" w:hAnsi="Times New Roman"/>
          <w:sz w:val="24"/>
          <w:szCs w:val="24"/>
          <w:u w:val="single"/>
        </w:rPr>
        <w:t>06.04</w:t>
      </w:r>
      <w:r w:rsidRPr="009C4695">
        <w:rPr>
          <w:rFonts w:ascii="Times New Roman" w:hAnsi="Times New Roman"/>
          <w:sz w:val="24"/>
          <w:szCs w:val="24"/>
          <w:u w:val="single"/>
        </w:rPr>
        <w:t xml:space="preserve"> — СРЕДЕН ОБЩ ДНЕВЕН РАЗМЕР НА ДЪРЖАНИТЕ ПАРИЧНИ СРЕДСТВА НА КЛИЕНТИ (I </w:t>
      </w:r>
      <w:r w:rsidRPr="009C4695">
        <w:rPr>
          <w:rFonts w:ascii="Times New Roman" w:hAnsi="Times New Roman"/>
          <w:sz w:val="24"/>
          <w:szCs w:val="24"/>
          <w:u w:val="single"/>
        </w:rPr>
        <w:t>6.4</w:t>
      </w:r>
      <w:r w:rsidRPr="009C4695">
        <w:rPr>
          <w:rFonts w:ascii="Times New Roman" w:hAnsi="Times New Roman"/>
          <w:sz w:val="24"/>
          <w:szCs w:val="24"/>
          <w:u w:val="single"/>
        </w:rPr>
        <w:t>)</w:t>
      </w:r>
      <w:bookmarkEnd w:id="62"/>
    </w:p>
    <w:p w14:paraId="335B87EC" w14:textId="77777777" w:rsidR="001B665C" w:rsidRPr="009C4695" w:rsidRDefault="009C4695">
      <w:pPr>
        <w:keepNext/>
        <w:spacing w:before="240" w:after="240" w:line="240" w:lineRule="auto"/>
        <w:ind w:left="357" w:hanging="215"/>
        <w:jc w:val="both"/>
        <w:outlineLvl w:val="1"/>
        <w:rPr>
          <w:rFonts w:ascii="Times New Roman" w:eastAsia="Arial" w:hAnsi="Times New Roman" w:cs="Times New Roman"/>
          <w:u w:val="single"/>
        </w:rPr>
      </w:pPr>
      <w:bookmarkStart w:id="63" w:name="_Toc88218330"/>
      <w:r w:rsidRPr="009C4695">
        <w:rPr>
          <w:rFonts w:ascii="Times New Roman" w:hAnsi="Times New Roman"/>
          <w:sz w:val="24"/>
          <w:szCs w:val="24"/>
        </w:rPr>
        <w:t>3.5.1.</w:t>
      </w:r>
      <w:r w:rsidRPr="009C4695">
        <w:rPr>
          <w:rFonts w:ascii="Times New Roman" w:hAnsi="Times New Roman"/>
          <w:sz w:val="24"/>
          <w:szCs w:val="24"/>
        </w:rPr>
        <w:tab/>
      </w:r>
      <w:r w:rsidRPr="009C4695">
        <w:rPr>
          <w:rFonts w:ascii="Times New Roman" w:hAnsi="Times New Roman"/>
          <w:u w:val="single"/>
        </w:rPr>
        <w:t>Указания относно определени позиции</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665C" w:rsidRPr="009C4695" w14:paraId="7A2DB787" w14:textId="77777777">
        <w:tc>
          <w:tcPr>
            <w:tcW w:w="1129" w:type="dxa"/>
            <w:shd w:val="clear" w:color="auto" w:fill="D9D9D9"/>
          </w:tcPr>
          <w:p w14:paraId="597A47E4"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Ред</w:t>
            </w:r>
          </w:p>
        </w:tc>
        <w:tc>
          <w:tcPr>
            <w:tcW w:w="7620" w:type="dxa"/>
            <w:shd w:val="clear" w:color="auto" w:fill="D9D9D9"/>
          </w:tcPr>
          <w:p w14:paraId="4324E9E4"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Препратки към законодателни актове и указания</w:t>
            </w:r>
          </w:p>
        </w:tc>
      </w:tr>
      <w:tr w:rsidR="001B665C" w:rsidRPr="009C4695" w14:paraId="14A84636" w14:textId="77777777">
        <w:tc>
          <w:tcPr>
            <w:tcW w:w="1129" w:type="dxa"/>
            <w:tcBorders>
              <w:bottom w:val="single" w:sz="4" w:space="0" w:color="auto"/>
            </w:tcBorders>
          </w:tcPr>
          <w:p w14:paraId="46E69ED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86988F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
                <w:bCs/>
                <w:u w:val="single"/>
              </w:rPr>
              <w:t xml:space="preserve">Среден общ дневен размер на държаните парични средства на клиенти — по </w:t>
            </w:r>
            <w:r w:rsidRPr="009C4695">
              <w:rPr>
                <w:rFonts w:ascii="Times New Roman" w:hAnsi="Times New Roman"/>
                <w:b/>
                <w:bCs/>
                <w:u w:val="single"/>
              </w:rPr>
              <w:t>обособени сметки</w:t>
            </w:r>
          </w:p>
          <w:p w14:paraId="23B8F95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4, параграф 1, точки 28 и 49 от Регламент (ЕС) 2019/2033 и РТС относно определението на понятието „обособена сметка“ (член 15, параграф 5, буква б) от Регламент (ЕС) 2019/2033).</w:t>
            </w:r>
          </w:p>
          <w:p w14:paraId="0A41AD7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Докладваната стойност е средномесечният общ дневен разме</w:t>
            </w:r>
            <w:r w:rsidRPr="009C4695">
              <w:rPr>
                <w:rFonts w:ascii="Times New Roman" w:hAnsi="Times New Roman"/>
                <w:bCs/>
              </w:rPr>
              <w:t xml:space="preserve">р на държаните парични средства на клиенти, когато паричните средства на клиентите </w:t>
            </w:r>
            <w:r w:rsidRPr="009C4695">
              <w:rPr>
                <w:rFonts w:ascii="Times New Roman" w:hAnsi="Times New Roman"/>
                <w:bCs/>
                <w:u w:val="single"/>
              </w:rPr>
              <w:t>се държат</w:t>
            </w:r>
            <w:r w:rsidRPr="009C4695">
              <w:rPr>
                <w:rFonts w:ascii="Times New Roman" w:hAnsi="Times New Roman"/>
                <w:bCs/>
              </w:rPr>
              <w:t xml:space="preserve"> по обособени сметки в съответствие с член 18, параграф 1 от Регламент (ЕС) 2019/2033.</w:t>
            </w:r>
          </w:p>
        </w:tc>
      </w:tr>
      <w:tr w:rsidR="001B665C" w:rsidRPr="009C4695" w14:paraId="386B6AE8" w14:textId="77777777">
        <w:tc>
          <w:tcPr>
            <w:tcW w:w="1129" w:type="dxa"/>
            <w:tcBorders>
              <w:top w:val="single" w:sz="4" w:space="0" w:color="auto"/>
              <w:bottom w:val="single" w:sz="4" w:space="0" w:color="auto"/>
            </w:tcBorders>
          </w:tcPr>
          <w:p w14:paraId="169A3DE4"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645171D"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 xml:space="preserve">Общ дневен размер на държаните парични средства на клиенти — по </w:t>
            </w:r>
            <w:r w:rsidRPr="009C4695">
              <w:rPr>
                <w:rFonts w:ascii="Times New Roman" w:hAnsi="Times New Roman"/>
                <w:b/>
                <w:bCs/>
                <w:u w:val="single"/>
              </w:rPr>
              <w:t>необособени сметки</w:t>
            </w:r>
          </w:p>
          <w:p w14:paraId="139491B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4, параграф 1, точки 28 и 49 от Регламент (ЕС) 2019/2033.</w:t>
            </w:r>
          </w:p>
          <w:p w14:paraId="45A7260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Докладваната стойност е средномесечният общ дневен размер на държаните парични средства на клиенти, когато паричните средства на клиентите </w:t>
            </w:r>
            <w:r w:rsidRPr="009C4695">
              <w:rPr>
                <w:rFonts w:ascii="Times New Roman" w:hAnsi="Times New Roman"/>
                <w:bCs/>
                <w:u w:val="single"/>
              </w:rPr>
              <w:t>не се държат</w:t>
            </w:r>
            <w:r w:rsidRPr="009C4695">
              <w:rPr>
                <w:rFonts w:ascii="Times New Roman" w:hAnsi="Times New Roman"/>
                <w:bCs/>
              </w:rPr>
              <w:t xml:space="preserve"> по обособени сметки в </w:t>
            </w:r>
            <w:r w:rsidRPr="009C4695">
              <w:rPr>
                <w:rFonts w:ascii="Times New Roman" w:hAnsi="Times New Roman"/>
                <w:bCs/>
              </w:rPr>
              <w:t>съответствие с член 18, параграф 1 от Регламент (ЕС) 2019/2033.</w:t>
            </w:r>
          </w:p>
        </w:tc>
      </w:tr>
    </w:tbl>
    <w:p w14:paraId="0BF12A3D" w14:textId="77777777" w:rsidR="001B665C" w:rsidRPr="009C4695" w:rsidRDefault="001B665C">
      <w:pPr>
        <w:keepNext/>
        <w:spacing w:before="240" w:after="240" w:line="240" w:lineRule="auto"/>
        <w:jc w:val="both"/>
        <w:outlineLvl w:val="1"/>
        <w:rPr>
          <w:rFonts w:ascii="Times New Roman" w:eastAsia="Arial" w:hAnsi="Times New Roman" w:cs="Times New Roman"/>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665C" w:rsidRPr="009C4695" w14:paraId="1DC65F95" w14:textId="77777777">
        <w:tc>
          <w:tcPr>
            <w:tcW w:w="1129" w:type="dxa"/>
            <w:shd w:val="clear" w:color="auto" w:fill="D9D9D9"/>
          </w:tcPr>
          <w:p w14:paraId="3DEE257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Колони</w:t>
            </w:r>
          </w:p>
        </w:tc>
        <w:tc>
          <w:tcPr>
            <w:tcW w:w="7620" w:type="dxa"/>
            <w:shd w:val="clear" w:color="auto" w:fill="D9D9D9"/>
          </w:tcPr>
          <w:p w14:paraId="74207F7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Препратки към законодателни актове и указания</w:t>
            </w:r>
          </w:p>
        </w:tc>
      </w:tr>
      <w:tr w:rsidR="001B665C" w:rsidRPr="009C4695" w14:paraId="5CB1E1C5" w14:textId="77777777">
        <w:tc>
          <w:tcPr>
            <w:tcW w:w="1129" w:type="dxa"/>
          </w:tcPr>
          <w:p w14:paraId="5E4D93E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0010-0080</w:t>
            </w:r>
          </w:p>
        </w:tc>
        <w:tc>
          <w:tcPr>
            <w:tcW w:w="7620" w:type="dxa"/>
          </w:tcPr>
          <w:p w14:paraId="612F9DF1"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
                <w:bCs/>
                <w:u w:val="single"/>
              </w:rPr>
              <w:t>Средномесечни общи дневни размери на държаните парични средства на клиенти</w:t>
            </w:r>
          </w:p>
          <w:p w14:paraId="7ACB1A03"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 xml:space="preserve">Инвестиционните посредници докладват </w:t>
            </w:r>
            <w:r w:rsidRPr="009C4695">
              <w:rPr>
                <w:rFonts w:ascii="Times New Roman" w:hAnsi="Times New Roman"/>
                <w:bCs/>
              </w:rPr>
              <w:t>ежемесечно средномесечния общ дневен размер на държаните парични средства на клиенти в края на всеки работен ден съгласно член 18, параграф 1 от Регламент (ЕС) 2019/2033.</w:t>
            </w:r>
          </w:p>
        </w:tc>
      </w:tr>
    </w:tbl>
    <w:p w14:paraId="2F2F25FF" w14:textId="77777777" w:rsidR="001B665C" w:rsidRPr="009C4695" w:rsidRDefault="001B665C">
      <w:pPr>
        <w:keepNext/>
        <w:spacing w:before="240" w:after="240" w:line="240" w:lineRule="auto"/>
        <w:jc w:val="both"/>
        <w:outlineLvl w:val="1"/>
        <w:rPr>
          <w:rFonts w:ascii="Times New Roman" w:eastAsia="Arial" w:hAnsi="Times New Roman" w:cs="Times New Roman"/>
          <w:u w:val="single"/>
        </w:rPr>
      </w:pPr>
    </w:p>
    <w:p w14:paraId="3ED182E6" w14:textId="77777777" w:rsidR="001B665C" w:rsidRPr="009C4695" w:rsidRDefault="009C4695">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4" w:name="_Toc88218331"/>
      <w:r w:rsidRPr="009C4695">
        <w:rPr>
          <w:rFonts w:ascii="Times New Roman" w:hAnsi="Times New Roman"/>
          <w:sz w:val="24"/>
          <w:szCs w:val="24"/>
          <w:u w:val="single"/>
        </w:rPr>
        <w:t>3.6.</w:t>
      </w:r>
      <w:r w:rsidRPr="009C4695">
        <w:rPr>
          <w:rFonts w:ascii="Times New Roman" w:hAnsi="Times New Roman"/>
          <w:sz w:val="24"/>
          <w:szCs w:val="24"/>
          <w:u w:val="single"/>
        </w:rPr>
        <w:t xml:space="preserve"> I </w:t>
      </w:r>
      <w:r w:rsidRPr="009C4695">
        <w:rPr>
          <w:rFonts w:ascii="Times New Roman" w:hAnsi="Times New Roman"/>
          <w:sz w:val="24"/>
          <w:szCs w:val="24"/>
          <w:u w:val="single"/>
        </w:rPr>
        <w:t>06.05</w:t>
      </w:r>
      <w:r w:rsidRPr="009C4695">
        <w:rPr>
          <w:rFonts w:ascii="Times New Roman" w:hAnsi="Times New Roman"/>
          <w:sz w:val="24"/>
          <w:szCs w:val="24"/>
          <w:u w:val="single"/>
        </w:rPr>
        <w:t xml:space="preserve"> — СЪХРАНЯВАНИ И АДМИНИСТРИРАНИ АКТИВИ — ДОПЪЛНИТЕЛНА ИНФОРМАЦИЯ (I </w:t>
      </w:r>
      <w:r w:rsidRPr="009C4695">
        <w:rPr>
          <w:rFonts w:ascii="Times New Roman" w:hAnsi="Times New Roman"/>
          <w:sz w:val="24"/>
          <w:szCs w:val="24"/>
          <w:u w:val="single"/>
        </w:rPr>
        <w:t>6.5</w:t>
      </w:r>
      <w:r w:rsidRPr="009C4695">
        <w:rPr>
          <w:rFonts w:ascii="Times New Roman" w:hAnsi="Times New Roman"/>
          <w:sz w:val="24"/>
          <w:szCs w:val="24"/>
          <w:u w:val="single"/>
        </w:rPr>
        <w:t>)</w:t>
      </w:r>
      <w:bookmarkEnd w:id="64"/>
    </w:p>
    <w:p w14:paraId="0697948A" w14:textId="77777777" w:rsidR="001B665C" w:rsidRPr="009C4695" w:rsidRDefault="009C4695">
      <w:pPr>
        <w:keepNext/>
        <w:spacing w:before="240" w:after="240" w:line="240" w:lineRule="auto"/>
        <w:ind w:left="357" w:hanging="357"/>
        <w:jc w:val="both"/>
        <w:outlineLvl w:val="1"/>
      </w:pPr>
      <w:bookmarkStart w:id="65" w:name="_Toc88218332"/>
      <w:r w:rsidRPr="009C4695">
        <w:rPr>
          <w:rFonts w:ascii="Times New Roman" w:hAnsi="Times New Roman"/>
          <w:sz w:val="24"/>
          <w:szCs w:val="24"/>
        </w:rPr>
        <w:t>3.6.1.</w:t>
      </w:r>
      <w:r w:rsidRPr="009C4695">
        <w:rPr>
          <w:rFonts w:ascii="Times New Roman" w:hAnsi="Times New Roman"/>
          <w:sz w:val="24"/>
          <w:szCs w:val="24"/>
        </w:rPr>
        <w:tab/>
      </w:r>
      <w:r w:rsidRPr="009C4695">
        <w:rPr>
          <w:rFonts w:ascii="Times New Roman" w:hAnsi="Times New Roman"/>
        </w:rPr>
        <w:t>Указания относно определени позиции</w:t>
      </w:r>
      <w:bookmarkEnd w:id="6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665C" w:rsidRPr="009C4695" w14:paraId="0EA71551" w14:textId="77777777">
        <w:tc>
          <w:tcPr>
            <w:tcW w:w="1129" w:type="dxa"/>
            <w:shd w:val="clear" w:color="auto" w:fill="D9D9D9"/>
          </w:tcPr>
          <w:p w14:paraId="002A2397"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Ред</w:t>
            </w:r>
          </w:p>
        </w:tc>
        <w:tc>
          <w:tcPr>
            <w:tcW w:w="7620" w:type="dxa"/>
            <w:shd w:val="clear" w:color="auto" w:fill="D9D9D9"/>
          </w:tcPr>
          <w:p w14:paraId="6BA406D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Препратки към законодателни актове и указания</w:t>
            </w:r>
          </w:p>
        </w:tc>
      </w:tr>
      <w:tr w:rsidR="001B665C" w:rsidRPr="009C4695" w14:paraId="4A69FD07" w14:textId="77777777">
        <w:tc>
          <w:tcPr>
            <w:tcW w:w="1129" w:type="dxa"/>
          </w:tcPr>
          <w:p w14:paraId="3AE9708F"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88FF744"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Общо съхранявани и администрирани активи (средни стойности)</w:t>
            </w:r>
          </w:p>
          <w:p w14:paraId="360DB2F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4, параграф 1, точк</w:t>
            </w:r>
            <w:r w:rsidRPr="009C4695">
              <w:rPr>
                <w:rFonts w:ascii="Times New Roman" w:hAnsi="Times New Roman"/>
                <w:bCs/>
              </w:rPr>
              <w:t>а 29 от Регламент (ЕС) 2019/2033.</w:t>
            </w:r>
          </w:p>
          <w:p w14:paraId="4697573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5, параграф 1 от РТС за определяне на методите за измерване на К-факторите (член 15, параграф 5, буква а) от Регламент (ЕС) 2019/2033).</w:t>
            </w:r>
          </w:p>
          <w:p w14:paraId="36FAB121"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Общата стойност на съхраняваните и администрираните активи като пълзяща средна на</w:t>
            </w:r>
            <w:r w:rsidRPr="009C4695">
              <w:rPr>
                <w:rFonts w:ascii="Times New Roman" w:hAnsi="Times New Roman"/>
                <w:bCs/>
              </w:rPr>
              <w:t xml:space="preserve"> общата дневна стойност на съхраняваните и администрирани активи в края на всеки работен ден за предходните девет месеца, като се изключват последните три месеца, в съответствие с член 19, параграф 1, първа алинея от Регламент (ЕС) 2019/2033. </w:t>
            </w:r>
          </w:p>
        </w:tc>
      </w:tr>
      <w:tr w:rsidR="001B665C" w:rsidRPr="009C4695" w14:paraId="73B88AD9" w14:textId="77777777">
        <w:tc>
          <w:tcPr>
            <w:tcW w:w="1129" w:type="dxa"/>
            <w:tcBorders>
              <w:bottom w:val="single" w:sz="4" w:space="0" w:color="auto"/>
            </w:tcBorders>
          </w:tcPr>
          <w:p w14:paraId="5F1CDEA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19719E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
                <w:bCs/>
                <w:u w:val="single"/>
              </w:rPr>
              <w:t xml:space="preserve">от </w:t>
            </w:r>
            <w:r w:rsidRPr="009C4695">
              <w:rPr>
                <w:rFonts w:ascii="Times New Roman" w:hAnsi="Times New Roman"/>
                <w:b/>
                <w:bCs/>
                <w:u w:val="single"/>
              </w:rPr>
              <w:t>които: справедлива стойност на финансовите инструменти (ниво 2)</w:t>
            </w:r>
          </w:p>
          <w:p w14:paraId="4CC91C84"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5, параграф 1, буква а) от РТС за определяне на методите за измерване на К-факторите (член 15, параграф 5, буква а) от Регламент (ЕС) 2019/2033).</w:t>
            </w:r>
          </w:p>
          <w:p w14:paraId="5A57C1F4" w14:textId="77777777" w:rsidR="001B665C" w:rsidRPr="009C4695" w:rsidRDefault="009C4695">
            <w:pPr>
              <w:autoSpaceDE w:val="0"/>
              <w:autoSpaceDN w:val="0"/>
              <w:spacing w:after="0" w:line="240" w:lineRule="auto"/>
              <w:rPr>
                <w:rFonts w:ascii="Times New Roman" w:eastAsia="Times New Roman" w:hAnsi="Times New Roman" w:cs="Times New Roman"/>
                <w:bCs/>
                <w:i/>
              </w:rPr>
            </w:pPr>
            <w:r w:rsidRPr="009C4695">
              <w:rPr>
                <w:rFonts w:ascii="Times New Roman" w:hAnsi="Times New Roman"/>
                <w:bCs/>
              </w:rPr>
              <w:t>Финансови инструменти от ниво 2, остойнос</w:t>
            </w:r>
            <w:r w:rsidRPr="009C4695">
              <w:rPr>
                <w:rFonts w:ascii="Times New Roman" w:hAnsi="Times New Roman"/>
                <w:bCs/>
              </w:rPr>
              <w:t>тени съгласно МСФО 13, параграф 81.</w:t>
            </w:r>
          </w:p>
        </w:tc>
      </w:tr>
      <w:tr w:rsidR="001B665C" w:rsidRPr="009C4695" w14:paraId="108FC8DF" w14:textId="77777777">
        <w:tc>
          <w:tcPr>
            <w:tcW w:w="1129" w:type="dxa"/>
            <w:tcBorders>
              <w:bottom w:val="single" w:sz="4" w:space="0" w:color="auto"/>
            </w:tcBorders>
          </w:tcPr>
          <w:p w14:paraId="09B3A58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BE2589A"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от които: справедлива стойност на финансовите инструменти (ниво 3)</w:t>
            </w:r>
          </w:p>
          <w:p w14:paraId="456DF1FF"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Член 5, параграф 1, буква а) от РТС за определяне на методите за измерване на К-факторите (член 15, параграф 5, буква а) от Регламент (ЕС) </w:t>
            </w:r>
            <w:r w:rsidRPr="009C4695">
              <w:rPr>
                <w:rFonts w:ascii="Times New Roman" w:hAnsi="Times New Roman"/>
                <w:bCs/>
              </w:rPr>
              <w:t>2019/2033).</w:t>
            </w:r>
          </w:p>
          <w:p w14:paraId="25E9AC9D" w14:textId="77777777" w:rsidR="001B665C" w:rsidRPr="009C4695" w:rsidRDefault="009C4695">
            <w:pPr>
              <w:autoSpaceDE w:val="0"/>
              <w:autoSpaceDN w:val="0"/>
              <w:spacing w:after="0" w:line="240" w:lineRule="auto"/>
            </w:pPr>
            <w:r w:rsidRPr="009C4695">
              <w:rPr>
                <w:rFonts w:ascii="Times New Roman" w:hAnsi="Times New Roman"/>
                <w:bCs/>
              </w:rPr>
              <w:t>Оценка въз основа на ненаблюдаеми входящи данни, като се използва най-точната достъпна информация IFR</w:t>
            </w:r>
            <w:r w:rsidRPr="009C4695">
              <w:rPr>
                <w:rFonts w:ascii="Times New Roman" w:hAnsi="Times New Roman"/>
              </w:rPr>
              <w:t xml:space="preserve">S </w:t>
            </w:r>
            <w:r w:rsidRPr="009C4695">
              <w:rPr>
                <w:rFonts w:ascii="Times New Roman" w:hAnsi="Times New Roman"/>
              </w:rPr>
              <w:t>13.86.</w:t>
            </w:r>
          </w:p>
        </w:tc>
      </w:tr>
      <w:tr w:rsidR="001B665C" w:rsidRPr="009C4695" w14:paraId="32E4FC24" w14:textId="77777777">
        <w:tc>
          <w:tcPr>
            <w:tcW w:w="1129" w:type="dxa"/>
            <w:tcBorders>
              <w:top w:val="single" w:sz="4" w:space="0" w:color="auto"/>
              <w:bottom w:val="single" w:sz="4" w:space="0" w:color="auto"/>
            </w:tcBorders>
          </w:tcPr>
          <w:p w14:paraId="7719D19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3489E7F1"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от които: активи, чиито съхраняване и администриране са официално делегирани на друг финансов субект</w:t>
            </w:r>
          </w:p>
          <w:p w14:paraId="2993E5FD"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19, параграф 2 от Регл</w:t>
            </w:r>
            <w:r w:rsidRPr="009C4695">
              <w:rPr>
                <w:rFonts w:ascii="Times New Roman" w:hAnsi="Times New Roman"/>
                <w:bCs/>
              </w:rPr>
              <w:t>амент (ЕС) 2019/2033.</w:t>
            </w:r>
          </w:p>
          <w:p w14:paraId="29EAE1CB"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Стойност на активите, чиито съхраняване и администриране са официално делегирани на друг финансов субект, изразена като средноаритметична стойност в съответствие с член 19, параграф 1, първа алинея от Регламент (ЕС) 2019/2033.</w:t>
            </w:r>
          </w:p>
        </w:tc>
      </w:tr>
      <w:tr w:rsidR="001B665C" w:rsidRPr="009C4695" w14:paraId="2EDF07EB" w14:textId="77777777">
        <w:tc>
          <w:tcPr>
            <w:tcW w:w="1129" w:type="dxa"/>
            <w:tcBorders>
              <w:top w:val="single" w:sz="4" w:space="0" w:color="auto"/>
            </w:tcBorders>
          </w:tcPr>
          <w:p w14:paraId="15A9D14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2ECEC00D"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от които: активи на друг финансов субект, който официално е делегирал на инвестиционния посредник задачите по съхраняване и администриране</w:t>
            </w:r>
          </w:p>
          <w:p w14:paraId="4CAA8717"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19, параграф 2 от Регламент (ЕС) 2019/2033.</w:t>
            </w:r>
          </w:p>
          <w:p w14:paraId="450D6B6D"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Стойност на активите на друг финансов субект, който официално е</w:t>
            </w:r>
            <w:r w:rsidRPr="009C4695">
              <w:rPr>
                <w:rFonts w:ascii="Times New Roman" w:hAnsi="Times New Roman"/>
                <w:bCs/>
              </w:rPr>
              <w:t xml:space="preserve"> делегирал на инвестиционния посредник задачите по съхраняване и администриране, изразена като средноаритметична стойност в съответствие с член 19, параграф 1, първа алинея от Регламент (ЕС) 2019/2033.</w:t>
            </w:r>
          </w:p>
        </w:tc>
      </w:tr>
    </w:tbl>
    <w:p w14:paraId="3D3F9B9C" w14:textId="77777777" w:rsidR="001B665C" w:rsidRPr="009C4695" w:rsidRDefault="001B665C"/>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665C" w:rsidRPr="009C4695" w14:paraId="6894F708" w14:textId="77777777">
        <w:tc>
          <w:tcPr>
            <w:tcW w:w="1129" w:type="dxa"/>
            <w:shd w:val="clear" w:color="auto" w:fill="D9D9D9"/>
          </w:tcPr>
          <w:p w14:paraId="4C41965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Колони</w:t>
            </w:r>
          </w:p>
        </w:tc>
        <w:tc>
          <w:tcPr>
            <w:tcW w:w="7620" w:type="dxa"/>
            <w:shd w:val="clear" w:color="auto" w:fill="D9D9D9"/>
          </w:tcPr>
          <w:p w14:paraId="0B30C227"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 xml:space="preserve">Препратки към законодателни актове и </w:t>
            </w:r>
            <w:r w:rsidRPr="009C4695">
              <w:rPr>
                <w:rFonts w:ascii="Times New Roman" w:hAnsi="Times New Roman"/>
              </w:rPr>
              <w:t>указания</w:t>
            </w:r>
          </w:p>
        </w:tc>
      </w:tr>
      <w:tr w:rsidR="001B665C" w:rsidRPr="009C4695" w14:paraId="69DF4073" w14:textId="77777777">
        <w:tc>
          <w:tcPr>
            <w:tcW w:w="1129" w:type="dxa"/>
          </w:tcPr>
          <w:p w14:paraId="35D5D5D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w:t>
            </w:r>
          </w:p>
        </w:tc>
        <w:tc>
          <w:tcPr>
            <w:tcW w:w="7620" w:type="dxa"/>
          </w:tcPr>
          <w:p w14:paraId="677923BE"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Стойност на фактора — месец t</w:t>
            </w:r>
          </w:p>
          <w:p w14:paraId="2D5D284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Съхранявани и администрирани активи към края на третия месец (т.е. последния) на тримесечието, за което се отнася докладът.</w:t>
            </w:r>
          </w:p>
        </w:tc>
      </w:tr>
      <w:tr w:rsidR="001B665C" w:rsidRPr="009C4695" w14:paraId="53207E9E" w14:textId="77777777">
        <w:tc>
          <w:tcPr>
            <w:tcW w:w="1129" w:type="dxa"/>
          </w:tcPr>
          <w:p w14:paraId="34B86401"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0020</w:t>
            </w:r>
          </w:p>
        </w:tc>
        <w:tc>
          <w:tcPr>
            <w:tcW w:w="7620" w:type="dxa"/>
          </w:tcPr>
          <w:p w14:paraId="20E1473E"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Стойност на фактора — месец t-1</w:t>
            </w:r>
          </w:p>
          <w:p w14:paraId="7D76D6EF"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 xml:space="preserve">Съхранявани и администрирани активи към края на </w:t>
            </w:r>
            <w:r w:rsidRPr="009C4695">
              <w:rPr>
                <w:rFonts w:ascii="Times New Roman" w:hAnsi="Times New Roman"/>
                <w:bCs/>
              </w:rPr>
              <w:t>втория месец от тримесечието, за което се отнася докладът.</w:t>
            </w:r>
          </w:p>
        </w:tc>
      </w:tr>
      <w:tr w:rsidR="001B665C" w:rsidRPr="009C4695" w14:paraId="783CA699" w14:textId="77777777">
        <w:tc>
          <w:tcPr>
            <w:tcW w:w="1129" w:type="dxa"/>
          </w:tcPr>
          <w:p w14:paraId="20A64D8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0030</w:t>
            </w:r>
          </w:p>
        </w:tc>
        <w:tc>
          <w:tcPr>
            <w:tcW w:w="7620" w:type="dxa"/>
          </w:tcPr>
          <w:p w14:paraId="26F96E51"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Стойност на фактора — месец t-2</w:t>
            </w:r>
          </w:p>
          <w:p w14:paraId="4A09E255"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Съхранявани и администрирани активи към края на първия месец от тримесечието, за което се отнася докладът.</w:t>
            </w:r>
          </w:p>
        </w:tc>
      </w:tr>
    </w:tbl>
    <w:p w14:paraId="49D045F9" w14:textId="77777777" w:rsidR="001B665C" w:rsidRPr="009C4695" w:rsidRDefault="009C4695">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6" w:name="_Toc88218333"/>
      <w:r w:rsidRPr="009C4695">
        <w:rPr>
          <w:rFonts w:ascii="Times New Roman" w:hAnsi="Times New Roman"/>
          <w:sz w:val="24"/>
          <w:szCs w:val="24"/>
          <w:u w:val="single"/>
        </w:rPr>
        <w:t>3.7.</w:t>
      </w:r>
      <w:r w:rsidRPr="009C4695">
        <w:rPr>
          <w:rFonts w:ascii="Times New Roman" w:hAnsi="Times New Roman"/>
          <w:sz w:val="24"/>
          <w:szCs w:val="24"/>
          <w:u w:val="single"/>
        </w:rPr>
        <w:t xml:space="preserve"> I </w:t>
      </w:r>
      <w:r w:rsidRPr="009C4695">
        <w:rPr>
          <w:rFonts w:ascii="Times New Roman" w:hAnsi="Times New Roman"/>
          <w:sz w:val="24"/>
          <w:szCs w:val="24"/>
          <w:u w:val="single"/>
        </w:rPr>
        <w:t>06.06</w:t>
      </w:r>
      <w:r w:rsidRPr="009C4695">
        <w:rPr>
          <w:rFonts w:ascii="Times New Roman" w:hAnsi="Times New Roman"/>
          <w:sz w:val="24"/>
          <w:szCs w:val="24"/>
          <w:u w:val="single"/>
        </w:rPr>
        <w:t xml:space="preserve"> — СРЕДНА ОБЩА ДНЕВНА СТОЙНОСТ НА СЪХРА</w:t>
      </w:r>
      <w:r w:rsidRPr="009C4695">
        <w:rPr>
          <w:rFonts w:ascii="Times New Roman" w:hAnsi="Times New Roman"/>
          <w:sz w:val="24"/>
          <w:szCs w:val="24"/>
          <w:u w:val="single"/>
        </w:rPr>
        <w:t xml:space="preserve">НЯВАНИТЕ И АДМИНИСТРИРАНИТЕ АКТИВИ (I </w:t>
      </w:r>
      <w:r w:rsidRPr="009C4695">
        <w:rPr>
          <w:rFonts w:ascii="Times New Roman" w:hAnsi="Times New Roman"/>
          <w:sz w:val="24"/>
          <w:szCs w:val="24"/>
          <w:u w:val="single"/>
        </w:rPr>
        <w:t>6.6</w:t>
      </w:r>
      <w:r w:rsidRPr="009C4695">
        <w:rPr>
          <w:rFonts w:ascii="Times New Roman" w:hAnsi="Times New Roman"/>
          <w:sz w:val="24"/>
          <w:szCs w:val="24"/>
          <w:u w:val="single"/>
        </w:rPr>
        <w:t>)</w:t>
      </w:r>
      <w:bookmarkEnd w:id="66"/>
    </w:p>
    <w:p w14:paraId="56194E2D" w14:textId="77777777" w:rsidR="001B665C" w:rsidRPr="009C4695" w:rsidRDefault="009C4695">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7" w:name="_Toc88218334"/>
      <w:r w:rsidRPr="009C4695">
        <w:rPr>
          <w:rFonts w:ascii="Times New Roman" w:hAnsi="Times New Roman"/>
          <w:sz w:val="24"/>
          <w:szCs w:val="24"/>
        </w:rPr>
        <w:t>3.7.1.</w:t>
      </w:r>
      <w:r w:rsidRPr="009C4695">
        <w:tab/>
      </w:r>
      <w:r w:rsidRPr="009C4695">
        <w:rPr>
          <w:rFonts w:ascii="Times New Roman" w:hAnsi="Times New Roman"/>
          <w:sz w:val="24"/>
          <w:szCs w:val="24"/>
          <w:u w:val="single"/>
        </w:rPr>
        <w:t>Указания относно определени позиции</w:t>
      </w:r>
      <w:bookmarkEnd w:id="6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665C" w:rsidRPr="009C4695" w14:paraId="69C1B72E" w14:textId="77777777">
        <w:tc>
          <w:tcPr>
            <w:tcW w:w="1129" w:type="dxa"/>
            <w:shd w:val="clear" w:color="auto" w:fill="D9D9D9"/>
          </w:tcPr>
          <w:p w14:paraId="23D903B1"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Ред</w:t>
            </w:r>
          </w:p>
        </w:tc>
        <w:tc>
          <w:tcPr>
            <w:tcW w:w="7620" w:type="dxa"/>
            <w:shd w:val="clear" w:color="auto" w:fill="D9D9D9"/>
          </w:tcPr>
          <w:p w14:paraId="576F73F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Препратки към законодателни актове и указания</w:t>
            </w:r>
          </w:p>
        </w:tc>
      </w:tr>
      <w:tr w:rsidR="001B665C" w:rsidRPr="009C4695" w14:paraId="5F8D1A7A" w14:textId="77777777">
        <w:tc>
          <w:tcPr>
            <w:tcW w:w="1129" w:type="dxa"/>
          </w:tcPr>
          <w:p w14:paraId="479D4CBB"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89586C9"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Съхранявани и администрирани активи</w:t>
            </w:r>
          </w:p>
          <w:p w14:paraId="1B60B99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4, параграф 1, точка 29 от Регламент (ЕС) 2019/2033.</w:t>
            </w:r>
          </w:p>
          <w:p w14:paraId="68BCB75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Член 5, </w:t>
            </w:r>
            <w:r w:rsidRPr="009C4695">
              <w:rPr>
                <w:rFonts w:ascii="Times New Roman" w:hAnsi="Times New Roman"/>
                <w:bCs/>
              </w:rPr>
              <w:t>параграф 1 от РТС за определяне на методите за измерване на К-факторите (член 15, параграф 5, буква а) от Регламент (ЕС) 2019/2033).</w:t>
            </w:r>
          </w:p>
          <w:p w14:paraId="2AD2442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Докладваната стойност е средномесечната обща дневна стойност на съхраняваните и администрираните активи в съответствие с чл</w:t>
            </w:r>
            <w:r w:rsidRPr="009C4695">
              <w:rPr>
                <w:rFonts w:ascii="Times New Roman" w:hAnsi="Times New Roman"/>
                <w:bCs/>
              </w:rPr>
              <w:t>ен 19, параграф 1 от Регламент (ЕС) 2019/2033.</w:t>
            </w:r>
          </w:p>
        </w:tc>
      </w:tr>
      <w:tr w:rsidR="001B665C" w:rsidRPr="009C4695" w14:paraId="6EE16B29" w14:textId="77777777">
        <w:tc>
          <w:tcPr>
            <w:tcW w:w="1129" w:type="dxa"/>
            <w:tcBorders>
              <w:bottom w:val="single" w:sz="4" w:space="0" w:color="auto"/>
            </w:tcBorders>
          </w:tcPr>
          <w:p w14:paraId="433DAEC2"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0662CA8"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от които: справедлива стойност на финансовите инструменти (ниво 2)</w:t>
            </w:r>
          </w:p>
          <w:p w14:paraId="5ACBFD40"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Член 5, параграф 2 от РТС за определяне на методите за измерване на К-факторите (член 15, параграф 5, буква а) от Регламент (ЕС) </w:t>
            </w:r>
            <w:r w:rsidRPr="009C4695">
              <w:rPr>
                <w:rFonts w:ascii="Times New Roman" w:hAnsi="Times New Roman"/>
                <w:bCs/>
              </w:rPr>
              <w:t>2019/2033).</w:t>
            </w:r>
          </w:p>
          <w:p w14:paraId="5EBF6062"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Финансови инструменти от ниво 2, остойностени съгласно МСФО 13, параграф 81.</w:t>
            </w:r>
          </w:p>
        </w:tc>
      </w:tr>
      <w:tr w:rsidR="001B665C" w:rsidRPr="009C4695" w14:paraId="6DC3E1AB" w14:textId="77777777">
        <w:tc>
          <w:tcPr>
            <w:tcW w:w="1129" w:type="dxa"/>
            <w:tcBorders>
              <w:bottom w:val="single" w:sz="4" w:space="0" w:color="auto"/>
            </w:tcBorders>
          </w:tcPr>
          <w:p w14:paraId="58D902BF"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84B4729"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от които: справедлива стойност на финансовите инструменти (ниво 3)</w:t>
            </w:r>
          </w:p>
          <w:p w14:paraId="1AF5A758" w14:textId="77777777" w:rsidR="001B665C" w:rsidRPr="009C4695" w:rsidRDefault="009C4695">
            <w:pPr>
              <w:spacing w:after="120" w:line="240" w:lineRule="auto"/>
              <w:jc w:val="both"/>
              <w:rPr>
                <w:rFonts w:ascii="Times New Roman" w:eastAsia="Times New Roman" w:hAnsi="Times New Roman" w:cs="Times New Roman"/>
                <w:bCs/>
                <w:i/>
              </w:rPr>
            </w:pPr>
            <w:r w:rsidRPr="009C4695">
              <w:rPr>
                <w:rFonts w:ascii="Times New Roman" w:hAnsi="Times New Roman"/>
                <w:bCs/>
              </w:rPr>
              <w:t>Член 5, параграф 1, буква а) от РТС за определяне на методите за измерване на К-факторите (чле</w:t>
            </w:r>
            <w:r w:rsidRPr="009C4695">
              <w:rPr>
                <w:rFonts w:ascii="Times New Roman" w:hAnsi="Times New Roman"/>
                <w:bCs/>
              </w:rPr>
              <w:t>н 15, параграф 5, буква а) от Регламент (ЕС) 2019/2033).</w:t>
            </w:r>
          </w:p>
          <w:p w14:paraId="5D219E54"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Оценка въз основа на ненаблюдаеми входящи данни, като се използва най-точната достъпна информация IFR</w:t>
            </w:r>
            <w:r w:rsidRPr="009C4695">
              <w:rPr>
                <w:rFonts w:ascii="Times New Roman" w:hAnsi="Times New Roman"/>
              </w:rPr>
              <w:t xml:space="preserve">S </w:t>
            </w:r>
            <w:r w:rsidRPr="009C4695">
              <w:rPr>
                <w:rFonts w:ascii="Times New Roman" w:hAnsi="Times New Roman"/>
              </w:rPr>
              <w:t>13.86.</w:t>
            </w:r>
          </w:p>
        </w:tc>
      </w:tr>
      <w:tr w:rsidR="001B665C" w:rsidRPr="009C4695" w14:paraId="518C0253" w14:textId="77777777">
        <w:tc>
          <w:tcPr>
            <w:tcW w:w="1129" w:type="dxa"/>
            <w:tcBorders>
              <w:top w:val="single" w:sz="4" w:space="0" w:color="auto"/>
              <w:bottom w:val="single" w:sz="4" w:space="0" w:color="auto"/>
            </w:tcBorders>
          </w:tcPr>
          <w:p w14:paraId="0EB53F3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A467EE3"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от които: активи, чиито съхраняване и администриране са официално делегирани на дру</w:t>
            </w:r>
            <w:r w:rsidRPr="009C4695">
              <w:rPr>
                <w:rFonts w:ascii="Times New Roman" w:hAnsi="Times New Roman"/>
                <w:b/>
                <w:bCs/>
                <w:u w:val="single"/>
              </w:rPr>
              <w:t>г финансов субект</w:t>
            </w:r>
          </w:p>
          <w:p w14:paraId="5D7EB1DD"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19, параграф 2 от Регламент (ЕС) 2019/2033.</w:t>
            </w:r>
          </w:p>
          <w:p w14:paraId="607A5E99"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Докладваната стойност е средномесечната обща дневна стойност на активите, чието съхраняване и администриране е официално делегирано на друг финансов субект в съответствие с член 19, парагра</w:t>
            </w:r>
            <w:r w:rsidRPr="009C4695">
              <w:rPr>
                <w:rFonts w:ascii="Times New Roman" w:hAnsi="Times New Roman"/>
                <w:bCs/>
              </w:rPr>
              <w:t>ф 1 от Регламент (ЕС) 2019/2033.</w:t>
            </w:r>
          </w:p>
        </w:tc>
      </w:tr>
      <w:tr w:rsidR="001B665C" w:rsidRPr="009C4695" w14:paraId="548F752F" w14:textId="77777777">
        <w:tc>
          <w:tcPr>
            <w:tcW w:w="1129" w:type="dxa"/>
            <w:tcBorders>
              <w:top w:val="single" w:sz="4" w:space="0" w:color="auto"/>
            </w:tcBorders>
          </w:tcPr>
          <w:p w14:paraId="034215D4"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194C1A2B"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от които: активи на друг финансов субект, който официално е делегирал на инвестиционния посредник задачите по съхраняване и администриране</w:t>
            </w:r>
          </w:p>
          <w:p w14:paraId="1794A74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19, параграф 2 от Регламент (ЕС) 2019/2033.</w:t>
            </w:r>
          </w:p>
          <w:p w14:paraId="3CE266D3"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 xml:space="preserve">Докладваната стойност е </w:t>
            </w:r>
            <w:r w:rsidRPr="009C4695">
              <w:rPr>
                <w:rFonts w:ascii="Times New Roman" w:hAnsi="Times New Roman"/>
                <w:bCs/>
              </w:rPr>
              <w:t>средномесечната обща дневна стойност на активите на друг финансов субект, който официално е делегирал на инвестиционния посредник задачите по съхраняването и администрирането на тези активи в съответствие с член 19, параграф 1 от Регламент (ЕС) 2019/2033.</w:t>
            </w:r>
          </w:p>
        </w:tc>
      </w:tr>
    </w:tbl>
    <w:p w14:paraId="1E8F5F52" w14:textId="77777777" w:rsidR="001B665C" w:rsidRPr="009C4695" w:rsidRDefault="001B665C"/>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665C" w:rsidRPr="009C4695" w14:paraId="4C3B7767" w14:textId="77777777">
        <w:tc>
          <w:tcPr>
            <w:tcW w:w="1129" w:type="dxa"/>
            <w:shd w:val="clear" w:color="auto" w:fill="D9D9D9"/>
          </w:tcPr>
          <w:p w14:paraId="7D489F0F"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Колони</w:t>
            </w:r>
          </w:p>
        </w:tc>
        <w:tc>
          <w:tcPr>
            <w:tcW w:w="7620" w:type="dxa"/>
            <w:shd w:val="clear" w:color="auto" w:fill="D9D9D9"/>
          </w:tcPr>
          <w:p w14:paraId="660AED3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Препратки към законодателни актове и указания</w:t>
            </w:r>
          </w:p>
        </w:tc>
      </w:tr>
      <w:tr w:rsidR="001B665C" w:rsidRPr="009C4695" w14:paraId="446425BD" w14:textId="77777777">
        <w:tc>
          <w:tcPr>
            <w:tcW w:w="1129" w:type="dxa"/>
          </w:tcPr>
          <w:p w14:paraId="2060802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0010-0080</w:t>
            </w:r>
          </w:p>
        </w:tc>
        <w:tc>
          <w:tcPr>
            <w:tcW w:w="7620" w:type="dxa"/>
          </w:tcPr>
          <w:p w14:paraId="312090C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
                <w:bCs/>
                <w:u w:val="single"/>
              </w:rPr>
              <w:t>Средномесечни общи дневни стойности на съхраняваните и администрираните активи</w:t>
            </w:r>
          </w:p>
          <w:p w14:paraId="495E5EB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Инвестиционните посредници докладват ежемесечно средната обща дневна стойност на съхраняваните и </w:t>
            </w:r>
            <w:r w:rsidRPr="009C4695">
              <w:rPr>
                <w:rFonts w:ascii="Times New Roman" w:hAnsi="Times New Roman"/>
                <w:bCs/>
              </w:rPr>
              <w:t>администрираните активи в края на всеки работен ден съгласно член 19, параграф 1 от Регламент (ЕС) 2019/2033.</w:t>
            </w:r>
          </w:p>
        </w:tc>
      </w:tr>
    </w:tbl>
    <w:p w14:paraId="51089149" w14:textId="77777777" w:rsidR="001B665C" w:rsidRPr="009C4695" w:rsidRDefault="009C4695">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8" w:name="_Toc88218335"/>
      <w:r w:rsidRPr="009C4695">
        <w:rPr>
          <w:rFonts w:ascii="Times New Roman" w:hAnsi="Times New Roman"/>
          <w:sz w:val="24"/>
          <w:szCs w:val="24"/>
          <w:u w:val="single"/>
        </w:rPr>
        <w:t>3.8.</w:t>
      </w:r>
      <w:r w:rsidRPr="009C4695">
        <w:rPr>
          <w:rFonts w:ascii="Times New Roman" w:hAnsi="Times New Roman"/>
          <w:sz w:val="24"/>
          <w:szCs w:val="24"/>
          <w:u w:val="single"/>
        </w:rPr>
        <w:t xml:space="preserve"> I </w:t>
      </w:r>
      <w:r w:rsidRPr="009C4695">
        <w:rPr>
          <w:rFonts w:ascii="Times New Roman" w:hAnsi="Times New Roman"/>
          <w:sz w:val="24"/>
          <w:szCs w:val="24"/>
          <w:u w:val="single"/>
        </w:rPr>
        <w:t>06.07</w:t>
      </w:r>
      <w:r w:rsidRPr="009C4695">
        <w:rPr>
          <w:rFonts w:ascii="Times New Roman" w:hAnsi="Times New Roman"/>
          <w:sz w:val="24"/>
          <w:szCs w:val="24"/>
          <w:u w:val="single"/>
        </w:rPr>
        <w:t xml:space="preserve"> — ИЗПЪЛНЕНИ НАРЕЖДАНИЯ НА КЛИЕНТИ — ДОПЪЛНИТЕЛНА ИНФОРМАЦИЯ (I </w:t>
      </w:r>
      <w:r w:rsidRPr="009C4695">
        <w:rPr>
          <w:rFonts w:ascii="Times New Roman" w:hAnsi="Times New Roman"/>
          <w:sz w:val="24"/>
          <w:szCs w:val="24"/>
          <w:u w:val="single"/>
        </w:rPr>
        <w:t>6.7</w:t>
      </w:r>
      <w:r w:rsidRPr="009C4695">
        <w:rPr>
          <w:rFonts w:ascii="Times New Roman" w:hAnsi="Times New Roman"/>
          <w:sz w:val="24"/>
          <w:szCs w:val="24"/>
          <w:u w:val="single"/>
        </w:rPr>
        <w:t>)</w:t>
      </w:r>
      <w:bookmarkEnd w:id="68"/>
    </w:p>
    <w:p w14:paraId="50BA7E40" w14:textId="77777777" w:rsidR="001B665C" w:rsidRPr="009C4695" w:rsidRDefault="009C4695">
      <w:pPr>
        <w:keepNext/>
        <w:spacing w:before="240" w:after="240" w:line="240" w:lineRule="auto"/>
        <w:ind w:left="357" w:hanging="215"/>
        <w:jc w:val="both"/>
        <w:outlineLvl w:val="1"/>
      </w:pPr>
      <w:bookmarkStart w:id="69" w:name="_Toc88218336"/>
      <w:r w:rsidRPr="009C4695">
        <w:rPr>
          <w:rFonts w:ascii="Times New Roman" w:hAnsi="Times New Roman"/>
          <w:sz w:val="24"/>
          <w:szCs w:val="24"/>
        </w:rPr>
        <w:t>3.8.1.</w:t>
      </w:r>
      <w:r w:rsidRPr="009C4695">
        <w:tab/>
      </w:r>
      <w:r w:rsidRPr="009C4695">
        <w:rPr>
          <w:rFonts w:ascii="Times New Roman" w:hAnsi="Times New Roman"/>
          <w:sz w:val="24"/>
          <w:szCs w:val="24"/>
          <w:u w:val="single"/>
        </w:rPr>
        <w:t>Указания относно определени позиции</w:t>
      </w:r>
      <w:bookmarkEnd w:id="6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665C" w:rsidRPr="009C4695" w14:paraId="7752430C" w14:textId="77777777">
        <w:tc>
          <w:tcPr>
            <w:tcW w:w="1129" w:type="dxa"/>
            <w:shd w:val="clear" w:color="auto" w:fill="D9D9D9"/>
          </w:tcPr>
          <w:p w14:paraId="1D8A4A3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Ред</w:t>
            </w:r>
          </w:p>
        </w:tc>
        <w:tc>
          <w:tcPr>
            <w:tcW w:w="7620" w:type="dxa"/>
            <w:shd w:val="clear" w:color="auto" w:fill="D9D9D9"/>
          </w:tcPr>
          <w:p w14:paraId="5D4D3E0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Препратки към зак</w:t>
            </w:r>
            <w:r w:rsidRPr="009C4695">
              <w:rPr>
                <w:rFonts w:ascii="Times New Roman" w:hAnsi="Times New Roman"/>
              </w:rPr>
              <w:t>онодателни актове и указания</w:t>
            </w:r>
          </w:p>
        </w:tc>
      </w:tr>
      <w:tr w:rsidR="001B665C" w:rsidRPr="009C4695" w14:paraId="6FB05AE2" w14:textId="77777777">
        <w:tc>
          <w:tcPr>
            <w:tcW w:w="1129" w:type="dxa"/>
          </w:tcPr>
          <w:p w14:paraId="29E32AC2"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AEC10A6"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Изпълнени нареждания на клиенти – сделки с парични разплащания (средни стойности)</w:t>
            </w:r>
          </w:p>
          <w:p w14:paraId="1D475E50"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Стойност на изпълнените нареждания на клиенти за сделки с парични разплащания съгласно определението в член 4, параграф 1, точка 30 от </w:t>
            </w:r>
            <w:r w:rsidRPr="009C4695">
              <w:rPr>
                <w:rFonts w:ascii="Times New Roman" w:hAnsi="Times New Roman"/>
                <w:bCs/>
              </w:rPr>
              <w:t>Регламент (ЕС) 2019/2033, определени съгласно член 20, параграф 1 от Регламент (ЕС) 2019/2033.</w:t>
            </w:r>
          </w:p>
          <w:p w14:paraId="55F9EAC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Инвестиционните посредници докладват средноаритметичната стойност на изпълнените нареждания на клиенти за сделки с парични разплащания, определена съгласно член </w:t>
            </w:r>
            <w:r w:rsidRPr="009C4695">
              <w:rPr>
                <w:rFonts w:ascii="Times New Roman" w:hAnsi="Times New Roman"/>
                <w:bCs/>
              </w:rPr>
              <w:t>20, параграф 2, буква а) от Регламент (ЕС) 2019/2033, за предходните шест месеца, като се изключват последните три месеца, съгласно член 20, параграф 1, първа алинея от Регламент (ЕС) 2019/2033.</w:t>
            </w:r>
          </w:p>
        </w:tc>
      </w:tr>
      <w:tr w:rsidR="001B665C" w:rsidRPr="009C4695" w14:paraId="506FD55E" w14:textId="77777777">
        <w:tc>
          <w:tcPr>
            <w:tcW w:w="1129" w:type="dxa"/>
          </w:tcPr>
          <w:p w14:paraId="5B9B8FB4"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9E4D31D"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от които: изпълнение на нарежданията на клиенти</w:t>
            </w:r>
          </w:p>
          <w:p w14:paraId="5A8400D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Изпълне</w:t>
            </w:r>
            <w:r w:rsidRPr="009C4695">
              <w:rPr>
                <w:rFonts w:ascii="Times New Roman" w:hAnsi="Times New Roman"/>
                <w:bCs/>
              </w:rPr>
              <w:t>ните нареждания на клиенти за сделки с парични разплащания, във връзка с които инвестиционният посредник извършва услугата по изпълнение на нареждания на клиенти на името на клиента, както е определено в член 4, параграф 1, точка 5 от Директива 2014/65/ЕС.</w:t>
            </w:r>
          </w:p>
          <w:p w14:paraId="1521E58B"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Докладва се средноаритметичната стойност на изпълнените нареждания на клиенти за предходните шест месеца, като се изключват последните три месеца, съгласно член 20, параграф 1, първа алинея от Регламент (ЕС) 2019/2033.</w:t>
            </w:r>
          </w:p>
        </w:tc>
      </w:tr>
      <w:tr w:rsidR="001B665C" w:rsidRPr="009C4695" w14:paraId="02441D12" w14:textId="77777777">
        <w:tc>
          <w:tcPr>
            <w:tcW w:w="1129" w:type="dxa"/>
          </w:tcPr>
          <w:p w14:paraId="6D59691D"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A2261F1"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 xml:space="preserve">от които: приемане и </w:t>
            </w:r>
            <w:r w:rsidRPr="009C4695">
              <w:rPr>
                <w:rFonts w:ascii="Times New Roman" w:hAnsi="Times New Roman"/>
                <w:b/>
                <w:bCs/>
                <w:u w:val="single"/>
              </w:rPr>
              <w:t>предаване на нареждания на клиенти</w:t>
            </w:r>
          </w:p>
          <w:p w14:paraId="34141D50"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Изпълнените нареждания на клиенти за сделки с парични разплащания, във връзка с които инвестиционният посредник извършва услугата по приемане и предаване на нареждания на клиенти.</w:t>
            </w:r>
          </w:p>
          <w:p w14:paraId="02B559D6" w14:textId="77777777" w:rsidR="001B665C" w:rsidRPr="009C4695" w:rsidRDefault="009C4695">
            <w:pPr>
              <w:spacing w:after="120" w:line="240" w:lineRule="auto"/>
              <w:jc w:val="both"/>
              <w:rPr>
                <w:rFonts w:ascii="Times New Roman" w:eastAsia="Times New Roman" w:hAnsi="Times New Roman" w:cs="Times New Roman"/>
                <w:b/>
                <w:bCs/>
              </w:rPr>
            </w:pPr>
            <w:r w:rsidRPr="009C4695">
              <w:rPr>
                <w:rFonts w:ascii="Times New Roman" w:hAnsi="Times New Roman"/>
                <w:bCs/>
              </w:rPr>
              <w:t xml:space="preserve">Докладва се средноаритметичната стойност </w:t>
            </w:r>
            <w:r w:rsidRPr="009C4695">
              <w:rPr>
                <w:rFonts w:ascii="Times New Roman" w:hAnsi="Times New Roman"/>
                <w:bCs/>
              </w:rPr>
              <w:t>на изпълнените нареждания на клиенти за предходните шест месеца, като се изключват последните три месеца, съгласно член 20, параграф 1, първа алинея от Регламент (ЕС) 2019/2033.</w:t>
            </w:r>
          </w:p>
        </w:tc>
      </w:tr>
      <w:tr w:rsidR="001B665C" w:rsidRPr="009C4695" w14:paraId="562020EC" w14:textId="77777777">
        <w:tc>
          <w:tcPr>
            <w:tcW w:w="1129" w:type="dxa"/>
          </w:tcPr>
          <w:p w14:paraId="0A1BE31B"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AE449AF"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Изпълнени нареждания на клиенти — сделки с деривати (средни стойности)</w:t>
            </w:r>
          </w:p>
          <w:p w14:paraId="52EBB0B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w:t>
            </w:r>
            <w:r w:rsidRPr="009C4695">
              <w:rPr>
                <w:rFonts w:ascii="Times New Roman" w:hAnsi="Times New Roman"/>
                <w:bCs/>
              </w:rPr>
              <w:t>лен 4, параграф 1, точка 30 от Регламент (ЕС) 2019/2033.</w:t>
            </w:r>
          </w:p>
          <w:p w14:paraId="36E6FA61"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 xml:space="preserve">Инвестиционните посредници докладват средноаритметичната стойност на изпълнените нареждания на клиенти за сделки с деривати, определена съгласно член 20, параграф 2, буква б) от Регламент (ЕС) </w:t>
            </w:r>
            <w:r w:rsidRPr="009C4695">
              <w:rPr>
                <w:rFonts w:ascii="Times New Roman" w:hAnsi="Times New Roman"/>
                <w:bCs/>
              </w:rPr>
              <w:t>2019/2033, за предходните шест месеца, като се изключват последните три месеца, съгласно член 20, параграф 1, първа алинея от Регламент (ЕС) 2019/2033.</w:t>
            </w:r>
          </w:p>
        </w:tc>
      </w:tr>
      <w:tr w:rsidR="001B665C" w:rsidRPr="009C4695" w14:paraId="544B7AB0" w14:textId="77777777">
        <w:tc>
          <w:tcPr>
            <w:tcW w:w="1129" w:type="dxa"/>
          </w:tcPr>
          <w:p w14:paraId="299BD4B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A3CB8FD"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от които: изпълнение на нарежданията на клиенти</w:t>
            </w:r>
          </w:p>
          <w:p w14:paraId="66919E72"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Изпълнените нареждания на клиенти за сделки с дери</w:t>
            </w:r>
            <w:r w:rsidRPr="009C4695">
              <w:rPr>
                <w:rFonts w:ascii="Times New Roman" w:hAnsi="Times New Roman"/>
                <w:bCs/>
              </w:rPr>
              <w:t>вати, във връзка с които инвестиционният посредник извършва услугата по изпълнение на нареждания на клиенти на името на клиента, както е определено в член 4, параграф 1, точка 5 от Директива 2014/65/ЕС.</w:t>
            </w:r>
          </w:p>
          <w:p w14:paraId="7B7861C3" w14:textId="77777777" w:rsidR="001B665C" w:rsidRPr="009C4695" w:rsidRDefault="009C4695">
            <w:pPr>
              <w:spacing w:after="120" w:line="240" w:lineRule="auto"/>
              <w:jc w:val="both"/>
              <w:rPr>
                <w:rFonts w:ascii="Times New Roman" w:eastAsia="Times New Roman" w:hAnsi="Times New Roman" w:cs="Times New Roman"/>
                <w:b/>
                <w:bCs/>
              </w:rPr>
            </w:pPr>
            <w:r w:rsidRPr="009C4695">
              <w:rPr>
                <w:rFonts w:ascii="Times New Roman" w:hAnsi="Times New Roman"/>
                <w:bCs/>
              </w:rPr>
              <w:t>Докладва се средноаритметичната стойност на изпълнени</w:t>
            </w:r>
            <w:r w:rsidRPr="009C4695">
              <w:rPr>
                <w:rFonts w:ascii="Times New Roman" w:hAnsi="Times New Roman"/>
                <w:bCs/>
              </w:rPr>
              <w:t>те нареждания на клиенти за предходните шест месеца, като се изключват последните три месеца, съгласно член 20, параграф 1, първа алинея от Регламент (ЕС) 2019/2033.</w:t>
            </w:r>
          </w:p>
        </w:tc>
      </w:tr>
      <w:tr w:rsidR="001B665C" w:rsidRPr="009C4695" w14:paraId="67C75CE8" w14:textId="77777777">
        <w:tc>
          <w:tcPr>
            <w:tcW w:w="1129" w:type="dxa"/>
          </w:tcPr>
          <w:p w14:paraId="6EAE8DB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97FDF9A"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от които: приемане и предаване на нареждания на клиенти</w:t>
            </w:r>
          </w:p>
          <w:p w14:paraId="79B1F84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Изпълнените </w:t>
            </w:r>
            <w:r w:rsidRPr="009C4695">
              <w:rPr>
                <w:rFonts w:ascii="Times New Roman" w:hAnsi="Times New Roman"/>
                <w:bCs/>
              </w:rPr>
              <w:t>нареждания на клиенти за сделки с деривати, във връзка с които инвестиционният посредник извършва услугата по приемане и предаване на нареждания на клиенти.</w:t>
            </w:r>
          </w:p>
          <w:p w14:paraId="3B8E93C2" w14:textId="77777777" w:rsidR="001B665C" w:rsidRPr="009C4695" w:rsidRDefault="009C4695">
            <w:pPr>
              <w:spacing w:after="120" w:line="240" w:lineRule="auto"/>
              <w:jc w:val="both"/>
              <w:rPr>
                <w:rFonts w:ascii="Times New Roman" w:eastAsia="Times New Roman" w:hAnsi="Times New Roman" w:cs="Times New Roman"/>
                <w:b/>
                <w:bCs/>
              </w:rPr>
            </w:pPr>
            <w:r w:rsidRPr="009C4695">
              <w:rPr>
                <w:rFonts w:ascii="Times New Roman" w:hAnsi="Times New Roman"/>
                <w:bCs/>
              </w:rPr>
              <w:t>Докладва се средноаритметичната стойност на изпълнените нареждания на клиенти за предходните шест м</w:t>
            </w:r>
            <w:r w:rsidRPr="009C4695">
              <w:rPr>
                <w:rFonts w:ascii="Times New Roman" w:hAnsi="Times New Roman"/>
                <w:bCs/>
              </w:rPr>
              <w:t>есеца, като се изключват последните три месеца, съгласно член 20, параграф 1, първа алинея от Регламент (ЕС) 2019/2033.</w:t>
            </w:r>
          </w:p>
        </w:tc>
      </w:tr>
    </w:tbl>
    <w:p w14:paraId="66440B8B" w14:textId="77777777" w:rsidR="001B665C" w:rsidRPr="009C4695" w:rsidRDefault="001B665C"/>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665C" w:rsidRPr="009C4695" w14:paraId="07A09A10" w14:textId="77777777">
        <w:tc>
          <w:tcPr>
            <w:tcW w:w="1129" w:type="dxa"/>
            <w:shd w:val="clear" w:color="auto" w:fill="D9D9D9"/>
          </w:tcPr>
          <w:p w14:paraId="5B7BB67A"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szCs w:val="24"/>
              </w:rPr>
              <w:t>Колони</w:t>
            </w:r>
          </w:p>
        </w:tc>
        <w:tc>
          <w:tcPr>
            <w:tcW w:w="7620" w:type="dxa"/>
            <w:shd w:val="clear" w:color="auto" w:fill="D9D9D9"/>
          </w:tcPr>
          <w:p w14:paraId="34143E23"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szCs w:val="24"/>
              </w:rPr>
              <w:t>Препратки към законодателни актове и указания</w:t>
            </w:r>
          </w:p>
        </w:tc>
      </w:tr>
      <w:tr w:rsidR="001B665C" w:rsidRPr="009C4695" w14:paraId="554E687D" w14:textId="77777777">
        <w:tc>
          <w:tcPr>
            <w:tcW w:w="1129" w:type="dxa"/>
          </w:tcPr>
          <w:p w14:paraId="37430705"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bCs/>
                <w:szCs w:val="24"/>
              </w:rPr>
              <w:t>0010</w:t>
            </w:r>
          </w:p>
        </w:tc>
        <w:tc>
          <w:tcPr>
            <w:tcW w:w="7620" w:type="dxa"/>
          </w:tcPr>
          <w:p w14:paraId="21710EEE" w14:textId="77777777" w:rsidR="001B665C" w:rsidRPr="009C4695" w:rsidRDefault="009C4695">
            <w:pPr>
              <w:spacing w:after="120" w:line="240" w:lineRule="auto"/>
              <w:jc w:val="both"/>
              <w:rPr>
                <w:rFonts w:ascii="Times New Roman" w:eastAsia="Times New Roman" w:hAnsi="Times New Roman" w:cs="Times New Roman"/>
                <w:b/>
                <w:bCs/>
                <w:szCs w:val="24"/>
                <w:u w:val="single"/>
              </w:rPr>
            </w:pPr>
            <w:r w:rsidRPr="009C4695">
              <w:rPr>
                <w:rFonts w:ascii="Times New Roman" w:hAnsi="Times New Roman"/>
                <w:b/>
                <w:bCs/>
                <w:szCs w:val="24"/>
                <w:u w:val="single"/>
              </w:rPr>
              <w:t>Стойност на фактора — месец t</w:t>
            </w:r>
          </w:p>
          <w:p w14:paraId="09567836"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bCs/>
                <w:szCs w:val="24"/>
              </w:rPr>
              <w:t xml:space="preserve">Стойност на изпълнените нареждания на клиенти към края на третия месец (т.е. последния) на тримесечието, за което се отнася докладът. </w:t>
            </w:r>
          </w:p>
        </w:tc>
      </w:tr>
      <w:tr w:rsidR="001B665C" w:rsidRPr="009C4695" w14:paraId="5B6E6FDC" w14:textId="77777777">
        <w:trPr>
          <w:trHeight w:val="1051"/>
        </w:trPr>
        <w:tc>
          <w:tcPr>
            <w:tcW w:w="1129" w:type="dxa"/>
          </w:tcPr>
          <w:p w14:paraId="3C0B5814"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bCs/>
                <w:szCs w:val="24"/>
              </w:rPr>
              <w:t>0020</w:t>
            </w:r>
          </w:p>
        </w:tc>
        <w:tc>
          <w:tcPr>
            <w:tcW w:w="7620" w:type="dxa"/>
          </w:tcPr>
          <w:p w14:paraId="1A3EDAD9" w14:textId="77777777" w:rsidR="001B665C" w:rsidRPr="009C4695" w:rsidRDefault="009C4695">
            <w:pPr>
              <w:spacing w:after="120" w:line="240" w:lineRule="auto"/>
              <w:jc w:val="both"/>
              <w:rPr>
                <w:rFonts w:ascii="Times New Roman" w:eastAsia="Times New Roman" w:hAnsi="Times New Roman" w:cs="Times New Roman"/>
                <w:b/>
                <w:bCs/>
                <w:szCs w:val="24"/>
                <w:u w:val="single"/>
              </w:rPr>
            </w:pPr>
            <w:r w:rsidRPr="009C4695">
              <w:rPr>
                <w:rFonts w:ascii="Times New Roman" w:hAnsi="Times New Roman"/>
                <w:b/>
                <w:bCs/>
                <w:szCs w:val="24"/>
                <w:u w:val="single"/>
              </w:rPr>
              <w:t>Стойност на фактора — месец t-1</w:t>
            </w:r>
          </w:p>
          <w:p w14:paraId="785E79AA" w14:textId="77777777" w:rsidR="001B665C" w:rsidRPr="009C4695" w:rsidRDefault="009C4695">
            <w:pPr>
              <w:spacing w:after="120" w:line="240" w:lineRule="auto"/>
              <w:jc w:val="both"/>
              <w:rPr>
                <w:rFonts w:ascii="Times New Roman" w:eastAsia="Times New Roman" w:hAnsi="Times New Roman" w:cs="Times New Roman"/>
                <w:b/>
                <w:bCs/>
                <w:szCs w:val="24"/>
                <w:u w:val="single"/>
              </w:rPr>
            </w:pPr>
            <w:r w:rsidRPr="009C4695">
              <w:rPr>
                <w:rFonts w:ascii="Times New Roman" w:hAnsi="Times New Roman"/>
                <w:bCs/>
                <w:szCs w:val="24"/>
              </w:rPr>
              <w:t>Стойност на изпълнените нареждания на клиенти към края на втория месец от тримесечи</w:t>
            </w:r>
            <w:r w:rsidRPr="009C4695">
              <w:rPr>
                <w:rFonts w:ascii="Times New Roman" w:hAnsi="Times New Roman"/>
                <w:bCs/>
                <w:szCs w:val="24"/>
              </w:rPr>
              <w:t>ето, за което се отнася докладът.</w:t>
            </w:r>
          </w:p>
        </w:tc>
      </w:tr>
      <w:tr w:rsidR="001B665C" w:rsidRPr="009C4695" w14:paraId="70B84829" w14:textId="77777777">
        <w:tc>
          <w:tcPr>
            <w:tcW w:w="1129" w:type="dxa"/>
          </w:tcPr>
          <w:p w14:paraId="36C62390"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bCs/>
                <w:szCs w:val="24"/>
              </w:rPr>
              <w:t>0030</w:t>
            </w:r>
          </w:p>
        </w:tc>
        <w:tc>
          <w:tcPr>
            <w:tcW w:w="7620" w:type="dxa"/>
          </w:tcPr>
          <w:p w14:paraId="6A4F2094" w14:textId="77777777" w:rsidR="001B665C" w:rsidRPr="009C4695" w:rsidRDefault="009C4695">
            <w:pPr>
              <w:spacing w:after="120" w:line="240" w:lineRule="auto"/>
              <w:jc w:val="both"/>
              <w:rPr>
                <w:rFonts w:ascii="Times New Roman" w:eastAsia="Times New Roman" w:hAnsi="Times New Roman" w:cs="Times New Roman"/>
                <w:b/>
                <w:bCs/>
                <w:szCs w:val="24"/>
                <w:u w:val="single"/>
              </w:rPr>
            </w:pPr>
            <w:r w:rsidRPr="009C4695">
              <w:rPr>
                <w:rFonts w:ascii="Times New Roman" w:hAnsi="Times New Roman"/>
                <w:b/>
                <w:bCs/>
                <w:szCs w:val="24"/>
                <w:u w:val="single"/>
              </w:rPr>
              <w:t>Стойност на фактора — месец t-2</w:t>
            </w:r>
          </w:p>
          <w:p w14:paraId="78A1C2BA" w14:textId="77777777" w:rsidR="001B665C" w:rsidRPr="009C4695" w:rsidRDefault="009C4695">
            <w:pPr>
              <w:spacing w:after="120" w:line="240" w:lineRule="auto"/>
              <w:jc w:val="both"/>
              <w:rPr>
                <w:rFonts w:ascii="Times New Roman" w:eastAsia="Times New Roman" w:hAnsi="Times New Roman" w:cs="Times New Roman"/>
                <w:b/>
                <w:bCs/>
                <w:szCs w:val="24"/>
                <w:u w:val="single"/>
              </w:rPr>
            </w:pPr>
            <w:r w:rsidRPr="009C4695">
              <w:rPr>
                <w:rFonts w:ascii="Times New Roman" w:hAnsi="Times New Roman"/>
                <w:bCs/>
                <w:szCs w:val="24"/>
              </w:rPr>
              <w:t>Стойност на изпълнените нареждания на клиенти към края на първия месец от тримесечието, за което се отнася докладът.</w:t>
            </w:r>
          </w:p>
        </w:tc>
      </w:tr>
    </w:tbl>
    <w:p w14:paraId="68B550FE" w14:textId="77777777" w:rsidR="001B665C" w:rsidRPr="009C4695" w:rsidRDefault="009C4695">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0" w:name="_Toc88218337"/>
      <w:r w:rsidRPr="009C4695">
        <w:rPr>
          <w:rFonts w:ascii="Times New Roman" w:hAnsi="Times New Roman"/>
          <w:sz w:val="24"/>
          <w:szCs w:val="24"/>
          <w:u w:val="single"/>
        </w:rPr>
        <w:t>3.9.</w:t>
      </w:r>
      <w:r w:rsidRPr="009C4695">
        <w:rPr>
          <w:rFonts w:ascii="Times New Roman" w:hAnsi="Times New Roman"/>
          <w:sz w:val="24"/>
          <w:szCs w:val="24"/>
          <w:u w:val="single"/>
        </w:rPr>
        <w:t xml:space="preserve"> I </w:t>
      </w:r>
      <w:r w:rsidRPr="009C4695">
        <w:rPr>
          <w:rFonts w:ascii="Times New Roman" w:hAnsi="Times New Roman"/>
          <w:sz w:val="24"/>
          <w:szCs w:val="24"/>
          <w:u w:val="single"/>
        </w:rPr>
        <w:t>06.08</w:t>
      </w:r>
      <w:r w:rsidRPr="009C4695">
        <w:rPr>
          <w:rFonts w:ascii="Times New Roman" w:hAnsi="Times New Roman"/>
          <w:sz w:val="24"/>
          <w:szCs w:val="24"/>
          <w:u w:val="single"/>
        </w:rPr>
        <w:t xml:space="preserve"> — СРЕДНА ОБЩА ДНЕВНА СТОЙНОСТ НА ИЗПЪЛНЕНИТЕ НАРЕЖДАНИЯ НА КЛИЕНТИ (I </w:t>
      </w:r>
      <w:r w:rsidRPr="009C4695">
        <w:rPr>
          <w:rFonts w:ascii="Times New Roman" w:hAnsi="Times New Roman"/>
          <w:sz w:val="24"/>
          <w:szCs w:val="24"/>
          <w:u w:val="single"/>
        </w:rPr>
        <w:t>6.8</w:t>
      </w:r>
      <w:r w:rsidRPr="009C4695">
        <w:rPr>
          <w:rFonts w:ascii="Times New Roman" w:hAnsi="Times New Roman"/>
          <w:sz w:val="24"/>
          <w:szCs w:val="24"/>
          <w:u w:val="single"/>
        </w:rPr>
        <w:t>)</w:t>
      </w:r>
      <w:bookmarkEnd w:id="70"/>
    </w:p>
    <w:p w14:paraId="0EF1031B" w14:textId="77777777" w:rsidR="001B665C" w:rsidRPr="009C4695" w:rsidRDefault="009C4695">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1" w:name="_Toc88218338"/>
      <w:r w:rsidRPr="009C4695">
        <w:rPr>
          <w:rFonts w:ascii="Times New Roman" w:hAnsi="Times New Roman"/>
          <w:sz w:val="24"/>
          <w:szCs w:val="24"/>
        </w:rPr>
        <w:t>3.9.1.</w:t>
      </w:r>
      <w:r w:rsidRPr="009C4695">
        <w:tab/>
      </w:r>
      <w:r w:rsidRPr="009C4695">
        <w:rPr>
          <w:rFonts w:ascii="Times New Roman" w:hAnsi="Times New Roman"/>
          <w:sz w:val="24"/>
          <w:szCs w:val="24"/>
          <w:u w:val="single"/>
        </w:rPr>
        <w:t>Указания относно определени позиции</w:t>
      </w:r>
      <w:bookmarkEnd w:id="7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665C" w:rsidRPr="009C4695" w14:paraId="71F55E7F" w14:textId="77777777">
        <w:tc>
          <w:tcPr>
            <w:tcW w:w="1129" w:type="dxa"/>
            <w:shd w:val="clear" w:color="auto" w:fill="D9D9D9"/>
          </w:tcPr>
          <w:p w14:paraId="4F10ECB0"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Ред</w:t>
            </w:r>
          </w:p>
        </w:tc>
        <w:tc>
          <w:tcPr>
            <w:tcW w:w="7620" w:type="dxa"/>
            <w:shd w:val="clear" w:color="auto" w:fill="D9D9D9"/>
          </w:tcPr>
          <w:p w14:paraId="5754F98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Препратки към законодателни актове и указания</w:t>
            </w:r>
          </w:p>
        </w:tc>
      </w:tr>
      <w:tr w:rsidR="001B665C" w:rsidRPr="009C4695" w14:paraId="7AD6DA5D" w14:textId="77777777">
        <w:tc>
          <w:tcPr>
            <w:tcW w:w="1129" w:type="dxa"/>
          </w:tcPr>
          <w:p w14:paraId="6D371FA7"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6C62AB2"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 xml:space="preserve">Обща дневна стойност на изпълнените нареждания на клиенти — сделки с </w:t>
            </w:r>
            <w:r w:rsidRPr="009C4695">
              <w:rPr>
                <w:rFonts w:ascii="Times New Roman" w:hAnsi="Times New Roman"/>
                <w:b/>
                <w:bCs/>
                <w:u w:val="single"/>
              </w:rPr>
              <w:t>парични разплащания</w:t>
            </w:r>
          </w:p>
          <w:p w14:paraId="2B60F78F"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Член 4, параграф 1, точка 30 от Регламент (ЕС) 2019/2033.</w:t>
            </w:r>
          </w:p>
          <w:p w14:paraId="4205FD6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Средната обща дневна стойност на изпълнените нареждания на клиенти (сделки с парични разплащания) за съответния месец, както е посочено в член 20, параграф 1 от Регламент (ЕС) 20</w:t>
            </w:r>
            <w:r w:rsidRPr="009C4695">
              <w:rPr>
                <w:rFonts w:ascii="Times New Roman" w:hAnsi="Times New Roman"/>
                <w:bCs/>
              </w:rPr>
              <w:t>19/2033, определена съгласно член 20, параграф 2, буква а) от Регламент (ЕС) 2019/2033.</w:t>
            </w:r>
          </w:p>
        </w:tc>
      </w:tr>
      <w:tr w:rsidR="001B665C" w:rsidRPr="009C4695" w14:paraId="27C87AA4" w14:textId="77777777">
        <w:tc>
          <w:tcPr>
            <w:tcW w:w="1129" w:type="dxa"/>
          </w:tcPr>
          <w:p w14:paraId="1F84175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9808B06"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от които: изпълнение на нарежданията на клиенти</w:t>
            </w:r>
          </w:p>
          <w:p w14:paraId="436228E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Средната обща дневна стойност на изпълнените нареждания на клиенти за сделки с парични разплащания, във </w:t>
            </w:r>
            <w:r w:rsidRPr="009C4695">
              <w:rPr>
                <w:rFonts w:ascii="Times New Roman" w:hAnsi="Times New Roman"/>
                <w:bCs/>
              </w:rPr>
              <w:t>връзка с които инвестиционният посредник извършва услугата по изпълнение на нареждания на клиенти на името на клиента, както е определено в член 4, параграф 1, точка 5 от Директива 2014/65/ЕС.</w:t>
            </w:r>
          </w:p>
        </w:tc>
      </w:tr>
      <w:tr w:rsidR="001B665C" w:rsidRPr="009C4695" w14:paraId="1226DF3D" w14:textId="77777777">
        <w:tc>
          <w:tcPr>
            <w:tcW w:w="1129" w:type="dxa"/>
          </w:tcPr>
          <w:p w14:paraId="5115B30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882F2E2"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от които: приемане и предаване на нареждания на клиенти</w:t>
            </w:r>
          </w:p>
          <w:p w14:paraId="62AC96ED" w14:textId="77777777" w:rsidR="001B665C" w:rsidRPr="009C4695" w:rsidRDefault="009C4695">
            <w:pPr>
              <w:spacing w:after="120" w:line="240" w:lineRule="auto"/>
              <w:jc w:val="both"/>
              <w:rPr>
                <w:rFonts w:ascii="Times New Roman" w:eastAsia="Times New Roman" w:hAnsi="Times New Roman" w:cs="Times New Roman"/>
                <w:b/>
                <w:bCs/>
              </w:rPr>
            </w:pPr>
            <w:r w:rsidRPr="009C4695">
              <w:rPr>
                <w:rFonts w:ascii="Times New Roman" w:hAnsi="Times New Roman"/>
                <w:bCs/>
              </w:rPr>
              <w:t>С</w:t>
            </w:r>
            <w:r w:rsidRPr="009C4695">
              <w:rPr>
                <w:rFonts w:ascii="Times New Roman" w:hAnsi="Times New Roman"/>
                <w:bCs/>
              </w:rPr>
              <w:t>редната обща дневна стойност на изпълнените нареждания на клиенти за сделки с парични разплащания, във връзка с които инвестиционният посредник извършва услугата по приемане и предаване на нареждания на клиенти.</w:t>
            </w:r>
          </w:p>
        </w:tc>
      </w:tr>
      <w:tr w:rsidR="001B665C" w:rsidRPr="009C4695" w14:paraId="01D3D2F9" w14:textId="77777777">
        <w:tc>
          <w:tcPr>
            <w:tcW w:w="1129" w:type="dxa"/>
          </w:tcPr>
          <w:p w14:paraId="784ED22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2E19F81"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Обща дневна стойност на изпълнените на</w:t>
            </w:r>
            <w:r w:rsidRPr="009C4695">
              <w:rPr>
                <w:rFonts w:ascii="Times New Roman" w:hAnsi="Times New Roman"/>
                <w:b/>
                <w:bCs/>
                <w:u w:val="single"/>
              </w:rPr>
              <w:t>реждания на клиенти — сделки с деривати</w:t>
            </w:r>
          </w:p>
          <w:p w14:paraId="24B0D04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4, параграф 1, точка 30 от Регламент (ЕС) 2019/2033.</w:t>
            </w:r>
          </w:p>
          <w:p w14:paraId="2E3351BF"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Средната обща дневна стойност на изпълнените нареждания на клиенти (сделки с деривати) за съответния месец, както е посочено в член 20, параграф 1 от Регламен</w:t>
            </w:r>
            <w:r w:rsidRPr="009C4695">
              <w:rPr>
                <w:rFonts w:ascii="Times New Roman" w:hAnsi="Times New Roman"/>
                <w:bCs/>
              </w:rPr>
              <w:t>т (ЕС) 2019/2033, определена съгласно член 20, параграф 2, буква б) от Регламент (ЕС) 2019/2033.</w:t>
            </w:r>
          </w:p>
        </w:tc>
      </w:tr>
      <w:tr w:rsidR="001B665C" w:rsidRPr="009C4695" w14:paraId="102EDC85" w14:textId="77777777">
        <w:tc>
          <w:tcPr>
            <w:tcW w:w="1129" w:type="dxa"/>
          </w:tcPr>
          <w:p w14:paraId="365151FB"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8C2D483"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от които: изпълнение на нарежданията на клиенти</w:t>
            </w:r>
          </w:p>
          <w:p w14:paraId="155F9DA1" w14:textId="77777777" w:rsidR="001B665C" w:rsidRPr="009C4695" w:rsidRDefault="009C4695">
            <w:pPr>
              <w:spacing w:after="120" w:line="240" w:lineRule="auto"/>
              <w:jc w:val="both"/>
              <w:rPr>
                <w:rFonts w:ascii="Times New Roman" w:eastAsia="Times New Roman" w:hAnsi="Times New Roman" w:cs="Times New Roman"/>
                <w:b/>
                <w:bCs/>
              </w:rPr>
            </w:pPr>
            <w:r w:rsidRPr="009C4695">
              <w:rPr>
                <w:rFonts w:ascii="Times New Roman" w:hAnsi="Times New Roman"/>
                <w:bCs/>
              </w:rPr>
              <w:t>Средната обща дневна стойност на изпълнените нареждания на клиенти за сделки с деривати, във връзка с кои</w:t>
            </w:r>
            <w:r w:rsidRPr="009C4695">
              <w:rPr>
                <w:rFonts w:ascii="Times New Roman" w:hAnsi="Times New Roman"/>
                <w:bCs/>
              </w:rPr>
              <w:t>то инвестиционният посредник извършва услугата по изпълнение на нареждания на клиенти на името на клиента, както е определено в член 4, параграф 1, точка 5 от Директива 2014/65/ЕС.</w:t>
            </w:r>
          </w:p>
        </w:tc>
      </w:tr>
      <w:tr w:rsidR="001B665C" w:rsidRPr="009C4695" w14:paraId="4C1BE902" w14:textId="77777777">
        <w:tc>
          <w:tcPr>
            <w:tcW w:w="1129" w:type="dxa"/>
          </w:tcPr>
          <w:p w14:paraId="70CE822D"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D64EA77"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от които: приемане и предаване на нареждания на клиенти</w:t>
            </w:r>
          </w:p>
          <w:p w14:paraId="6383A348" w14:textId="77777777" w:rsidR="001B665C" w:rsidRPr="009C4695" w:rsidRDefault="009C4695">
            <w:pPr>
              <w:spacing w:after="120" w:line="240" w:lineRule="auto"/>
              <w:jc w:val="both"/>
              <w:rPr>
                <w:rFonts w:ascii="Times New Roman" w:eastAsia="Times New Roman" w:hAnsi="Times New Roman" w:cs="Times New Roman"/>
                <w:b/>
                <w:bCs/>
              </w:rPr>
            </w:pPr>
            <w:r w:rsidRPr="009C4695">
              <w:rPr>
                <w:rFonts w:ascii="Times New Roman" w:hAnsi="Times New Roman"/>
                <w:bCs/>
              </w:rPr>
              <w:t>Средната обща дневна стойност на изпълнените нареждания на клиенти за сделки с деривати, във връзка с които инвестиционният посредник извършва услугата по приемане и предаване на нареждания на клиенти.</w:t>
            </w:r>
          </w:p>
        </w:tc>
      </w:tr>
    </w:tbl>
    <w:p w14:paraId="65C6C21F" w14:textId="77777777" w:rsidR="001B665C" w:rsidRPr="009C4695" w:rsidRDefault="001B665C">
      <w:pPr>
        <w:keepNext/>
        <w:spacing w:before="240" w:after="240" w:line="240" w:lineRule="auto"/>
        <w:ind w:left="357" w:hanging="215"/>
        <w:jc w:val="both"/>
        <w:outlineLvl w:val="1"/>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665C" w:rsidRPr="009C4695" w14:paraId="170C03E3" w14:textId="77777777">
        <w:tc>
          <w:tcPr>
            <w:tcW w:w="1129" w:type="dxa"/>
            <w:shd w:val="clear" w:color="auto" w:fill="D9D9D9"/>
          </w:tcPr>
          <w:p w14:paraId="15121BA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Колони</w:t>
            </w:r>
          </w:p>
        </w:tc>
        <w:tc>
          <w:tcPr>
            <w:tcW w:w="7620" w:type="dxa"/>
            <w:shd w:val="clear" w:color="auto" w:fill="D9D9D9"/>
          </w:tcPr>
          <w:p w14:paraId="72BB507F"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Препратки към законодателни актове и указания</w:t>
            </w:r>
          </w:p>
        </w:tc>
      </w:tr>
      <w:tr w:rsidR="001B665C" w:rsidRPr="009C4695" w14:paraId="22722366" w14:textId="77777777">
        <w:tc>
          <w:tcPr>
            <w:tcW w:w="1129" w:type="dxa"/>
          </w:tcPr>
          <w:p w14:paraId="42FDD6B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0010—0050</w:t>
            </w:r>
          </w:p>
        </w:tc>
        <w:tc>
          <w:tcPr>
            <w:tcW w:w="7620" w:type="dxa"/>
          </w:tcPr>
          <w:p w14:paraId="1F23B7C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
                <w:bCs/>
                <w:u w:val="single"/>
              </w:rPr>
              <w:t>Средномесечни общи дневни стойности на изпълнените нареждания на клиенти</w:t>
            </w:r>
          </w:p>
          <w:p w14:paraId="384DF9BA"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 xml:space="preserve">Инвестиционните посредници докладват ежемесечно средномесечната обща дневна стойност на изпълнените нареждания на клиенти съгласно член 20, параграф 1. </w:t>
            </w:r>
          </w:p>
        </w:tc>
      </w:tr>
    </w:tbl>
    <w:p w14:paraId="0FC4B6D5" w14:textId="77777777" w:rsidR="001B665C" w:rsidRPr="009C4695" w:rsidRDefault="009C4695">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2" w:name="_Toc88218339"/>
      <w:r w:rsidRPr="009C4695">
        <w:rPr>
          <w:rFonts w:ascii="Times New Roman" w:hAnsi="Times New Roman"/>
          <w:sz w:val="24"/>
          <w:szCs w:val="24"/>
          <w:u w:val="single"/>
        </w:rPr>
        <w:t>3.10.</w:t>
      </w:r>
      <w:r w:rsidRPr="009C4695">
        <w:rPr>
          <w:rFonts w:ascii="Times New Roman" w:hAnsi="Times New Roman"/>
          <w:sz w:val="24"/>
          <w:szCs w:val="24"/>
          <w:u w:val="single"/>
        </w:rPr>
        <w:t xml:space="preserve"> I </w:t>
      </w:r>
      <w:r w:rsidRPr="009C4695">
        <w:rPr>
          <w:rFonts w:ascii="Times New Roman" w:hAnsi="Times New Roman"/>
          <w:sz w:val="24"/>
          <w:szCs w:val="24"/>
          <w:u w:val="single"/>
        </w:rPr>
        <w:t>06.09</w:t>
      </w:r>
      <w:r w:rsidRPr="009C4695">
        <w:rPr>
          <w:rFonts w:ascii="Times New Roman" w:hAnsi="Times New Roman"/>
          <w:sz w:val="24"/>
          <w:szCs w:val="24"/>
          <w:u w:val="single"/>
        </w:rPr>
        <w:t xml:space="preserve"> — К-ФАКТОР ЗА РИСКА ВЪВ ВРЪЗКА С НЕТНИТЕ ПОЗИЦИИ — ДОПЪЛНИТЕЛНА ИНФОРМАЦИЯ (I </w:t>
      </w:r>
      <w:r w:rsidRPr="009C4695">
        <w:rPr>
          <w:rFonts w:ascii="Times New Roman" w:hAnsi="Times New Roman"/>
          <w:sz w:val="24"/>
          <w:szCs w:val="24"/>
          <w:u w:val="single"/>
        </w:rPr>
        <w:t>6.9</w:t>
      </w:r>
      <w:r w:rsidRPr="009C4695">
        <w:rPr>
          <w:rFonts w:ascii="Times New Roman" w:hAnsi="Times New Roman"/>
          <w:sz w:val="24"/>
          <w:szCs w:val="24"/>
          <w:u w:val="single"/>
        </w:rPr>
        <w:t>)</w:t>
      </w:r>
      <w:bookmarkEnd w:id="72"/>
    </w:p>
    <w:p w14:paraId="08A6B464" w14:textId="77777777" w:rsidR="001B665C" w:rsidRPr="009C4695" w:rsidRDefault="009C4695">
      <w:pPr>
        <w:keepNext/>
        <w:spacing w:before="240" w:after="240" w:line="240" w:lineRule="auto"/>
        <w:ind w:left="357" w:hanging="215"/>
        <w:jc w:val="both"/>
        <w:outlineLvl w:val="1"/>
      </w:pPr>
      <w:bookmarkStart w:id="73" w:name="_Toc88218340"/>
      <w:r w:rsidRPr="009C4695">
        <w:rPr>
          <w:rFonts w:ascii="Times New Roman" w:hAnsi="Times New Roman"/>
          <w:sz w:val="24"/>
          <w:szCs w:val="24"/>
        </w:rPr>
        <w:t>3.10.</w:t>
      </w:r>
      <w:r w:rsidRPr="009C4695">
        <w:rPr>
          <w:rFonts w:ascii="Times New Roman" w:hAnsi="Times New Roman"/>
          <w:sz w:val="24"/>
          <w:szCs w:val="24"/>
        </w:rPr>
        <w:t>1.</w:t>
      </w:r>
      <w:r w:rsidRPr="009C4695">
        <w:tab/>
      </w:r>
      <w:r w:rsidRPr="009C4695">
        <w:rPr>
          <w:rFonts w:ascii="Times New Roman" w:hAnsi="Times New Roman"/>
          <w:sz w:val="24"/>
          <w:szCs w:val="24"/>
          <w:u w:val="single"/>
        </w:rPr>
        <w:t>Указания относно определени позиции</w:t>
      </w:r>
      <w:bookmarkEnd w:id="7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665C" w:rsidRPr="009C4695" w14:paraId="3CCB9CF7" w14:textId="77777777">
        <w:tc>
          <w:tcPr>
            <w:tcW w:w="1129" w:type="dxa"/>
            <w:shd w:val="clear" w:color="auto" w:fill="D9D9D9"/>
          </w:tcPr>
          <w:p w14:paraId="7E631DD7"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Ред</w:t>
            </w:r>
          </w:p>
        </w:tc>
        <w:tc>
          <w:tcPr>
            <w:tcW w:w="7620" w:type="dxa"/>
            <w:shd w:val="clear" w:color="auto" w:fill="D9D9D9"/>
          </w:tcPr>
          <w:p w14:paraId="3B7CC62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Препратки към законодателни актове и указания</w:t>
            </w:r>
          </w:p>
        </w:tc>
      </w:tr>
      <w:tr w:rsidR="001B665C" w:rsidRPr="009C4695" w14:paraId="7A61E2FF" w14:textId="77777777">
        <w:tc>
          <w:tcPr>
            <w:tcW w:w="1129" w:type="dxa"/>
          </w:tcPr>
          <w:p w14:paraId="6A5189CB"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5201752"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Общо по стандартизирания подход</w:t>
            </w:r>
          </w:p>
          <w:p w14:paraId="4B2B982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22, буква а) от Регламент (ЕС) 2019/2033.</w:t>
            </w:r>
          </w:p>
          <w:p w14:paraId="6279EC0F"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 xml:space="preserve">Позиции, за които капиталовото изискване е определено в съответствие с трета </w:t>
            </w:r>
            <w:r w:rsidRPr="009C4695">
              <w:rPr>
                <w:rFonts w:ascii="Times New Roman" w:hAnsi="Times New Roman"/>
                <w:bCs/>
              </w:rPr>
              <w:t>част, дял IV, глави 2, 3 или 4 от Регламент (ЕС) № 575/2013.</w:t>
            </w:r>
          </w:p>
        </w:tc>
      </w:tr>
      <w:tr w:rsidR="001B665C" w:rsidRPr="009C4695" w14:paraId="0942E699" w14:textId="77777777">
        <w:tc>
          <w:tcPr>
            <w:tcW w:w="1129" w:type="dxa"/>
          </w:tcPr>
          <w:p w14:paraId="184E51E4"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FA8580C"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Риск във връзка с позициите</w:t>
            </w:r>
          </w:p>
          <w:p w14:paraId="48466B0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22, буква а) и член 21, параграф 3 от Регламент (ЕС) 2019/2033.</w:t>
            </w:r>
          </w:p>
          <w:p w14:paraId="50849487"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Позиции в търговския портфейл, за които капиталовото изискване за позиционен риск е </w:t>
            </w:r>
            <w:r w:rsidRPr="009C4695">
              <w:rPr>
                <w:rFonts w:ascii="Times New Roman" w:hAnsi="Times New Roman"/>
                <w:bCs/>
              </w:rPr>
              <w:t>определено в съответствие с трета част, дял IV, глава 2 от Регламент (ЕС) № 575/2013.</w:t>
            </w:r>
          </w:p>
        </w:tc>
      </w:tr>
      <w:tr w:rsidR="001B665C" w:rsidRPr="009C4695" w14:paraId="143A8A43" w14:textId="77777777">
        <w:tc>
          <w:tcPr>
            <w:tcW w:w="1129" w:type="dxa"/>
          </w:tcPr>
          <w:p w14:paraId="6695301B"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4636251"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Капиталови инструменти</w:t>
            </w:r>
          </w:p>
          <w:p w14:paraId="73BF5D1E" w14:textId="77777777" w:rsidR="001B665C" w:rsidRPr="009C4695" w:rsidRDefault="009C4695">
            <w:pPr>
              <w:spacing w:after="120" w:line="240" w:lineRule="auto"/>
              <w:jc w:val="both"/>
              <w:rPr>
                <w:rFonts w:ascii="Times New Roman" w:eastAsia="Times New Roman" w:hAnsi="Times New Roman" w:cs="Times New Roman"/>
                <w:b/>
                <w:bCs/>
              </w:rPr>
            </w:pPr>
            <w:r w:rsidRPr="009C4695">
              <w:rPr>
                <w:rFonts w:ascii="Times New Roman" w:hAnsi="Times New Roman"/>
                <w:bCs/>
              </w:rPr>
              <w:t>Член 22, буква а) и член 21, параграф 3 от Регламент (ЕС) 2019/2033.</w:t>
            </w:r>
          </w:p>
          <w:p w14:paraId="0F6441BC" w14:textId="77777777" w:rsidR="001B665C" w:rsidRPr="009C4695" w:rsidRDefault="009C4695">
            <w:pPr>
              <w:pStyle w:val="Default"/>
              <w:jc w:val="both"/>
              <w:rPr>
                <w:sz w:val="22"/>
                <w:szCs w:val="22"/>
              </w:rPr>
            </w:pPr>
            <w:r w:rsidRPr="009C4695">
              <w:rPr>
                <w:sz w:val="22"/>
                <w:szCs w:val="22"/>
              </w:rPr>
              <w:t xml:space="preserve">Позиции в капиталови инструменти в търговския портфейл, за които капиталовото изискване е определено в съответствие с трета част, дял IV, глава 2, раздел 3 от Регламент (ЕС) № 575/2013. </w:t>
            </w:r>
          </w:p>
        </w:tc>
      </w:tr>
      <w:tr w:rsidR="001B665C" w:rsidRPr="009C4695" w14:paraId="079DEB79" w14:textId="77777777">
        <w:tc>
          <w:tcPr>
            <w:tcW w:w="1129" w:type="dxa"/>
          </w:tcPr>
          <w:p w14:paraId="24D6F25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51B26A7"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Дългови инструменти</w:t>
            </w:r>
          </w:p>
          <w:p w14:paraId="5DA6BFF7" w14:textId="77777777" w:rsidR="001B665C" w:rsidRPr="009C4695" w:rsidRDefault="009C4695">
            <w:pPr>
              <w:spacing w:after="120" w:line="240" w:lineRule="auto"/>
              <w:jc w:val="both"/>
              <w:rPr>
                <w:rFonts w:ascii="Times New Roman" w:eastAsia="Times New Roman" w:hAnsi="Times New Roman" w:cs="Times New Roman"/>
                <w:b/>
                <w:bCs/>
              </w:rPr>
            </w:pPr>
            <w:r w:rsidRPr="009C4695">
              <w:rPr>
                <w:rFonts w:ascii="Times New Roman" w:hAnsi="Times New Roman"/>
                <w:bCs/>
              </w:rPr>
              <w:t xml:space="preserve">Член 22, буква а) и член 21, </w:t>
            </w:r>
            <w:r w:rsidRPr="009C4695">
              <w:rPr>
                <w:rFonts w:ascii="Times New Roman" w:hAnsi="Times New Roman"/>
                <w:bCs/>
              </w:rPr>
              <w:t>параграф 3 от Регламент (ЕС) 2019/2033.</w:t>
            </w:r>
          </w:p>
          <w:p w14:paraId="611F44C4"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rPr>
              <w:t>Позиции в дългови инструменти в търговския портфейл, за които капиталовото изискване е определено в съответствие с трета част, дял IV, глава 2, раздел 2 от Регламент (ЕС) № 575/2013.</w:t>
            </w:r>
          </w:p>
        </w:tc>
      </w:tr>
      <w:tr w:rsidR="001B665C" w:rsidRPr="009C4695" w14:paraId="5CBDDF19" w14:textId="77777777">
        <w:tc>
          <w:tcPr>
            <w:tcW w:w="1129" w:type="dxa"/>
          </w:tcPr>
          <w:p w14:paraId="505F3362"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F4319CE"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от които: секюритизации</w:t>
            </w:r>
          </w:p>
          <w:p w14:paraId="7C41E08E" w14:textId="77777777" w:rsidR="001B665C" w:rsidRPr="009C4695" w:rsidRDefault="009C4695">
            <w:pPr>
              <w:spacing w:after="120" w:line="240" w:lineRule="auto"/>
              <w:jc w:val="both"/>
              <w:rPr>
                <w:rFonts w:ascii="Times New Roman" w:hAnsi="Times New Roman" w:cs="Times New Roman"/>
              </w:rPr>
            </w:pPr>
            <w:r w:rsidRPr="009C4695">
              <w:rPr>
                <w:rFonts w:ascii="Times New Roman" w:hAnsi="Times New Roman"/>
                <w:bCs/>
              </w:rPr>
              <w:t>Чле</w:t>
            </w:r>
            <w:r w:rsidRPr="009C4695">
              <w:rPr>
                <w:rFonts w:ascii="Times New Roman" w:hAnsi="Times New Roman"/>
                <w:bCs/>
              </w:rPr>
              <w:t>н 22, буква а) и член 21, параграф 3 от Регламент (ЕС) 2019/2033.</w:t>
            </w:r>
          </w:p>
          <w:p w14:paraId="06509702"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rPr>
              <w:t>Позиции в секюритизиращи инструменти, посочени в член 337 от Регламент (ЕС) № 575/2013, и позиции в портфейла за корелационно търгуване, посочен в член 338 от Регламент (ЕС) № 575/2013.</w:t>
            </w:r>
          </w:p>
        </w:tc>
      </w:tr>
      <w:tr w:rsidR="001B665C" w:rsidRPr="009C4695" w14:paraId="3FFB0BFD" w14:textId="77777777">
        <w:tc>
          <w:tcPr>
            <w:tcW w:w="1129" w:type="dxa"/>
            <w:tcBorders>
              <w:bottom w:val="single" w:sz="4" w:space="0" w:color="auto"/>
            </w:tcBorders>
          </w:tcPr>
          <w:p w14:paraId="7B24A4D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005</w:t>
            </w:r>
            <w:r w:rsidRPr="009C4695">
              <w:rPr>
                <w:rFonts w:ascii="Times New Roman" w:hAnsi="Times New Roman"/>
                <w:bCs/>
              </w:rPr>
              <w:t>5</w:t>
            </w:r>
          </w:p>
        </w:tc>
        <w:tc>
          <w:tcPr>
            <w:tcW w:w="7620" w:type="dxa"/>
            <w:tcBorders>
              <w:top w:val="nil"/>
              <w:left w:val="single" w:sz="4" w:space="0" w:color="auto"/>
              <w:bottom w:val="single" w:sz="4" w:space="0" w:color="auto"/>
              <w:right w:val="single" w:sz="4" w:space="0" w:color="auto"/>
            </w:tcBorders>
            <w:shd w:val="clear" w:color="auto" w:fill="auto"/>
            <w:vAlign w:val="bottom"/>
          </w:tcPr>
          <w:p w14:paraId="47D48F04"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Специфичен подход за риска във връзка с позициите в предприятия за колективно инвестиране (ПКИ)</w:t>
            </w:r>
          </w:p>
          <w:p w14:paraId="407F6E3C" w14:textId="77777777" w:rsidR="001B665C" w:rsidRPr="009C4695" w:rsidRDefault="009C4695">
            <w:pPr>
              <w:spacing w:after="120" w:line="240" w:lineRule="auto"/>
              <w:jc w:val="both"/>
              <w:rPr>
                <w:rFonts w:ascii="Times New Roman" w:hAnsi="Times New Roman" w:cs="Times New Roman"/>
              </w:rPr>
            </w:pPr>
            <w:r w:rsidRPr="009C4695">
              <w:rPr>
                <w:rFonts w:ascii="Times New Roman" w:hAnsi="Times New Roman"/>
                <w:bCs/>
              </w:rPr>
              <w:t>Член 22, буква а) и член 21, параграф 3 от Регламент (ЕС) 2019/2033.</w:t>
            </w:r>
          </w:p>
          <w:p w14:paraId="73B4CF35" w14:textId="77777777" w:rsidR="001B665C" w:rsidRPr="009C4695" w:rsidRDefault="009C4695">
            <w:pPr>
              <w:spacing w:after="120" w:line="240" w:lineRule="auto"/>
              <w:jc w:val="both"/>
              <w:rPr>
                <w:rFonts w:ascii="Times New Roman" w:hAnsi="Times New Roman" w:cs="Times New Roman"/>
              </w:rPr>
            </w:pPr>
            <w:r w:rsidRPr="009C4695">
              <w:rPr>
                <w:rFonts w:ascii="Times New Roman" w:hAnsi="Times New Roman"/>
              </w:rPr>
              <w:t>Общата рискова експозиция за позициите в ПКИ, ако капиталовите изисквания се изчисляват в</w:t>
            </w:r>
            <w:r w:rsidRPr="009C4695">
              <w:rPr>
                <w:rFonts w:ascii="Times New Roman" w:hAnsi="Times New Roman"/>
              </w:rPr>
              <w:t xml:space="preserve"> съответствие с член 348, параграф 1 от Регламент (ЕС) № 575/2013 или непосредствено, или вследствие на тавана, определен в член 350, параграф 3, буква в) от Регламент (ЕС) № 575/2013. В Регламент (ЕС) № 575/2013 тези позиции не са отнесени изрично нито къ</w:t>
            </w:r>
            <w:r w:rsidRPr="009C4695">
              <w:rPr>
                <w:rFonts w:ascii="Times New Roman" w:hAnsi="Times New Roman"/>
              </w:rPr>
              <w:t>м лихвения риск, нито към риска от капиталовите инструменти.</w:t>
            </w:r>
          </w:p>
          <w:p w14:paraId="7A7E152B" w14:textId="77777777" w:rsidR="001B665C" w:rsidRPr="009C4695" w:rsidRDefault="009C4695">
            <w:pPr>
              <w:spacing w:after="120" w:line="240" w:lineRule="auto"/>
              <w:jc w:val="both"/>
              <w:rPr>
                <w:rFonts w:ascii="Times New Roman" w:hAnsi="Times New Roman" w:cs="Times New Roman"/>
              </w:rPr>
            </w:pPr>
            <w:r w:rsidRPr="009C4695">
              <w:rPr>
                <w:rFonts w:ascii="Times New Roman" w:hAnsi="Times New Roman"/>
              </w:rPr>
              <w:t>Ако се прилага специфичният подход съгласно първото изречение на член 348, параграф 1 от Регламент (ЕС) № 575/2013, докладваната стойност е 32 % от нетната позиция на съответната експозиция към П</w:t>
            </w:r>
            <w:r w:rsidRPr="009C4695">
              <w:rPr>
                <w:rFonts w:ascii="Times New Roman" w:hAnsi="Times New Roman"/>
              </w:rPr>
              <w:t>КИ.</w:t>
            </w:r>
          </w:p>
          <w:p w14:paraId="51FF08A2"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rPr>
              <w:t xml:space="preserve">Ако се прилага специфичният подход съгласно второто изречение на член 348, параграф 1 от Регламент (ЕС) № 575/2013, докладваната стойност е по-ниската от 32 % от нетната позиция на съответната експозиция към ПКИ и разликата между 40 % от тази </w:t>
            </w:r>
            <w:r w:rsidRPr="009C4695">
              <w:rPr>
                <w:rFonts w:ascii="Times New Roman" w:hAnsi="Times New Roman"/>
              </w:rPr>
              <w:t>нетна позиция и капиталовите изисквания, които произтичат от валутния риск, свързан с тази експозиция към ПКИ.</w:t>
            </w:r>
          </w:p>
        </w:tc>
      </w:tr>
      <w:tr w:rsidR="001B665C" w:rsidRPr="009C4695" w14:paraId="3E067CC0" w14:textId="77777777">
        <w:tc>
          <w:tcPr>
            <w:tcW w:w="1129" w:type="dxa"/>
            <w:tcBorders>
              <w:bottom w:val="single" w:sz="4" w:space="0" w:color="auto"/>
            </w:tcBorders>
          </w:tcPr>
          <w:p w14:paraId="1D07BA4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C824009"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Валутен риск</w:t>
            </w:r>
          </w:p>
          <w:p w14:paraId="3BDF77FB" w14:textId="77777777" w:rsidR="001B665C" w:rsidRPr="009C4695" w:rsidRDefault="009C4695">
            <w:pPr>
              <w:spacing w:after="120" w:line="240" w:lineRule="auto"/>
              <w:jc w:val="both"/>
              <w:rPr>
                <w:rFonts w:ascii="Times New Roman" w:eastAsia="Times New Roman" w:hAnsi="Times New Roman" w:cs="Times New Roman"/>
                <w:b/>
                <w:bCs/>
              </w:rPr>
            </w:pPr>
            <w:r w:rsidRPr="009C4695">
              <w:rPr>
                <w:rFonts w:ascii="Times New Roman" w:hAnsi="Times New Roman"/>
                <w:bCs/>
              </w:rPr>
              <w:t>Член 22, буква а) и член 21, параграфи 3 и 4 от Регламент (ЕС) 2019/2033.</w:t>
            </w:r>
          </w:p>
          <w:p w14:paraId="070AA271"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rPr>
              <w:t>Позиции, изложени на валутен риск, за които капитало</w:t>
            </w:r>
            <w:r w:rsidRPr="009C4695">
              <w:rPr>
                <w:rFonts w:ascii="Times New Roman" w:hAnsi="Times New Roman"/>
              </w:rPr>
              <w:t>вото изискване е определено в съответствие с трета част, дял IV, глава 3 от Регламент (ЕС) № 575/2013.</w:t>
            </w:r>
          </w:p>
        </w:tc>
      </w:tr>
      <w:tr w:rsidR="001B665C" w:rsidRPr="009C4695" w14:paraId="50C52AB4" w14:textId="77777777">
        <w:tc>
          <w:tcPr>
            <w:tcW w:w="1129" w:type="dxa"/>
            <w:tcBorders>
              <w:top w:val="single" w:sz="4" w:space="0" w:color="auto"/>
            </w:tcBorders>
          </w:tcPr>
          <w:p w14:paraId="19ECB854"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9683B8B"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Стоков риск</w:t>
            </w:r>
          </w:p>
          <w:p w14:paraId="1EC112D9" w14:textId="77777777" w:rsidR="001B665C" w:rsidRPr="009C4695" w:rsidRDefault="009C4695">
            <w:pPr>
              <w:spacing w:after="120" w:line="240" w:lineRule="auto"/>
              <w:jc w:val="both"/>
              <w:rPr>
                <w:rFonts w:ascii="Times New Roman" w:eastAsia="Times New Roman" w:hAnsi="Times New Roman" w:cs="Times New Roman"/>
                <w:b/>
                <w:bCs/>
              </w:rPr>
            </w:pPr>
            <w:r w:rsidRPr="009C4695">
              <w:rPr>
                <w:rFonts w:ascii="Times New Roman" w:hAnsi="Times New Roman"/>
                <w:bCs/>
              </w:rPr>
              <w:t>Член 22, буква а) и член 21, параграфи 3 и 4 от Регламент (ЕС) 2019/2033.</w:t>
            </w:r>
          </w:p>
          <w:p w14:paraId="6FFCD004"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rPr>
              <w:t>Позиции, изложени на стоков риск, за които капиталовото изиск</w:t>
            </w:r>
            <w:r w:rsidRPr="009C4695">
              <w:rPr>
                <w:rFonts w:ascii="Times New Roman" w:hAnsi="Times New Roman"/>
              </w:rPr>
              <w:t>ване е определено в съответствие с трета част, дял IV, глава 4 от Регламент (ЕС) № 575/2013.</w:t>
            </w:r>
          </w:p>
        </w:tc>
      </w:tr>
      <w:tr w:rsidR="001B665C" w:rsidRPr="009C4695" w14:paraId="62E36598" w14:textId="77777777">
        <w:tc>
          <w:tcPr>
            <w:tcW w:w="1129" w:type="dxa"/>
            <w:tcBorders>
              <w:top w:val="single" w:sz="4" w:space="0" w:color="auto"/>
              <w:left w:val="single" w:sz="4" w:space="0" w:color="auto"/>
              <w:bottom w:val="single" w:sz="4" w:space="0" w:color="auto"/>
              <w:right w:val="single" w:sz="4" w:space="0" w:color="auto"/>
            </w:tcBorders>
          </w:tcPr>
          <w:p w14:paraId="370421F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3497F41F"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Подход на вътрешните модели</w:t>
            </w:r>
          </w:p>
          <w:p w14:paraId="447D189C" w14:textId="77777777" w:rsidR="001B665C" w:rsidRPr="009C4695" w:rsidRDefault="009C4695">
            <w:pPr>
              <w:spacing w:after="120" w:line="240" w:lineRule="auto"/>
              <w:jc w:val="both"/>
              <w:rPr>
                <w:rFonts w:ascii="Times New Roman" w:hAnsi="Times New Roman" w:cs="Times New Roman"/>
              </w:rPr>
            </w:pPr>
            <w:r w:rsidRPr="009C4695">
              <w:rPr>
                <w:rFonts w:ascii="Times New Roman" w:hAnsi="Times New Roman"/>
              </w:rPr>
              <w:t>Член 57, параграф 2 и член 21, параграфи 3 и 4 от Регламент (ЕС) 2019/2033.</w:t>
            </w:r>
          </w:p>
          <w:p w14:paraId="0E26003A" w14:textId="77777777" w:rsidR="001B665C" w:rsidRPr="009C4695" w:rsidRDefault="009C4695">
            <w:pPr>
              <w:spacing w:after="120" w:line="240" w:lineRule="auto"/>
              <w:jc w:val="both"/>
              <w:rPr>
                <w:rFonts w:ascii="Times New Roman" w:eastAsia="Times New Roman" w:hAnsi="Times New Roman" w:cs="Times New Roman"/>
                <w:b/>
                <w:bCs/>
              </w:rPr>
            </w:pPr>
            <w:r w:rsidRPr="009C4695">
              <w:rPr>
                <w:rFonts w:ascii="Times New Roman" w:hAnsi="Times New Roman"/>
              </w:rPr>
              <w:t xml:space="preserve">Позиции в търговския портфейл и позиции, </w:t>
            </w:r>
            <w:r w:rsidRPr="009C4695">
              <w:rPr>
                <w:rFonts w:ascii="Times New Roman" w:hAnsi="Times New Roman"/>
              </w:rPr>
              <w:t>невписани в търговския портфейл, които са изложени на валутен или стоков риск и за които капиталовото изискване е определено в съответствие с трета част, дял IV, глава 5 от Регламент (ЕС) № 575/2013.</w:t>
            </w:r>
          </w:p>
        </w:tc>
      </w:tr>
    </w:tbl>
    <w:p w14:paraId="48BD5EB8" w14:textId="77777777" w:rsidR="001B665C" w:rsidRPr="009C4695" w:rsidRDefault="009C4695">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4" w:name="_Toc88218341"/>
      <w:r w:rsidRPr="009C4695">
        <w:rPr>
          <w:rFonts w:ascii="Times New Roman" w:hAnsi="Times New Roman"/>
          <w:sz w:val="24"/>
          <w:szCs w:val="24"/>
          <w:u w:val="single"/>
        </w:rPr>
        <w:t>3.11.</w:t>
      </w:r>
      <w:r w:rsidRPr="009C4695">
        <w:rPr>
          <w:rFonts w:ascii="Times New Roman" w:hAnsi="Times New Roman"/>
          <w:sz w:val="24"/>
          <w:szCs w:val="24"/>
          <w:u w:val="single"/>
        </w:rPr>
        <w:t xml:space="preserve"> I </w:t>
      </w:r>
      <w:r w:rsidRPr="009C4695">
        <w:rPr>
          <w:rFonts w:ascii="Times New Roman" w:hAnsi="Times New Roman"/>
          <w:sz w:val="24"/>
          <w:szCs w:val="24"/>
          <w:u w:val="single"/>
        </w:rPr>
        <w:t>06.10</w:t>
      </w:r>
      <w:r w:rsidRPr="009C4695">
        <w:rPr>
          <w:rFonts w:ascii="Times New Roman" w:hAnsi="Times New Roman"/>
          <w:sz w:val="24"/>
          <w:szCs w:val="24"/>
          <w:u w:val="single"/>
        </w:rPr>
        <w:t xml:space="preserve"> — ПРЕДОСТАВЕН КЛИРИНГОВ МАРЖИН — ДОПЪЛНИТЕЛНА ИНФОРМАЦИЯ (I </w:t>
      </w:r>
      <w:r w:rsidRPr="009C4695">
        <w:rPr>
          <w:rFonts w:ascii="Times New Roman" w:hAnsi="Times New Roman"/>
          <w:sz w:val="24"/>
          <w:szCs w:val="24"/>
          <w:u w:val="single"/>
        </w:rPr>
        <w:t>6.10</w:t>
      </w:r>
      <w:r w:rsidRPr="009C4695">
        <w:rPr>
          <w:rFonts w:ascii="Times New Roman" w:hAnsi="Times New Roman"/>
          <w:sz w:val="24"/>
          <w:szCs w:val="24"/>
          <w:u w:val="single"/>
        </w:rPr>
        <w:t>)</w:t>
      </w:r>
      <w:bookmarkEnd w:id="74"/>
    </w:p>
    <w:p w14:paraId="23E7A544" w14:textId="77777777" w:rsidR="001B665C" w:rsidRPr="009C4695" w:rsidRDefault="009C4695">
      <w:pPr>
        <w:spacing w:line="256" w:lineRule="auto"/>
        <w:ind w:left="993" w:hanging="567"/>
        <w:jc w:val="both"/>
        <w:rPr>
          <w:rFonts w:ascii="Times New Roman" w:hAnsi="Times New Roman" w:cs="Times New Roman"/>
          <w:sz w:val="24"/>
        </w:rPr>
      </w:pPr>
      <w:r w:rsidRPr="009C4695">
        <w:rPr>
          <w:rFonts w:ascii="Times New Roman" w:hAnsi="Times New Roman" w:cs="Times New Roman"/>
          <w:sz w:val="24"/>
        </w:rPr>
        <w:t>15.</w:t>
      </w:r>
      <w:r w:rsidRPr="009C4695">
        <w:rPr>
          <w:rFonts w:ascii="Times New Roman" w:hAnsi="Times New Roman" w:cs="Times New Roman"/>
          <w:sz w:val="24"/>
        </w:rPr>
        <w:tab/>
      </w:r>
      <w:r w:rsidRPr="009C4695">
        <w:rPr>
          <w:rFonts w:ascii="Times New Roman" w:hAnsi="Times New Roman"/>
          <w:sz w:val="24"/>
        </w:rPr>
        <w:t>В този образец инвестиционните посредници, които търгуват за собствена сметка, докладват информация за всички клирингови членове на квалифицираните централни контрагенти, на чиято отгов</w:t>
      </w:r>
      <w:r w:rsidRPr="009C4695">
        <w:rPr>
          <w:rFonts w:ascii="Times New Roman" w:hAnsi="Times New Roman"/>
          <w:sz w:val="24"/>
        </w:rPr>
        <w:t>орност се извършват изпълнението и сетълментът на сделките на посредника.</w:t>
      </w:r>
    </w:p>
    <w:p w14:paraId="08BBF52D" w14:textId="77777777" w:rsidR="001B665C" w:rsidRPr="009C4695" w:rsidRDefault="009C4695">
      <w:pPr>
        <w:keepNext/>
        <w:spacing w:before="240" w:after="240" w:line="240" w:lineRule="auto"/>
        <w:ind w:left="357" w:hanging="215"/>
        <w:jc w:val="both"/>
        <w:outlineLvl w:val="1"/>
        <w:rPr>
          <w:rFonts w:ascii="Times New Roman" w:eastAsia="Arial" w:hAnsi="Times New Roman" w:cs="Times New Roman"/>
          <w:sz w:val="24"/>
          <w:szCs w:val="24"/>
        </w:rPr>
      </w:pPr>
      <w:bookmarkStart w:id="75" w:name="_Toc88218342"/>
      <w:r w:rsidRPr="009C4695">
        <w:rPr>
          <w:rFonts w:ascii="Times New Roman" w:hAnsi="Times New Roman"/>
          <w:sz w:val="24"/>
          <w:szCs w:val="24"/>
        </w:rPr>
        <w:t>3.11.1.</w:t>
      </w:r>
      <w:r w:rsidRPr="009C4695">
        <w:rPr>
          <w:rFonts w:ascii="Times New Roman" w:hAnsi="Times New Roman"/>
          <w:sz w:val="24"/>
          <w:szCs w:val="24"/>
        </w:rPr>
        <w:t xml:space="preserve"> </w:t>
      </w:r>
      <w:r w:rsidRPr="009C4695">
        <w:rPr>
          <w:rFonts w:ascii="Times New Roman" w:hAnsi="Times New Roman"/>
          <w:sz w:val="24"/>
          <w:szCs w:val="24"/>
          <w:u w:val="single"/>
        </w:rPr>
        <w:t>Указания относно определени позиции</w:t>
      </w:r>
      <w:bookmarkEnd w:id="7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665C" w:rsidRPr="009C4695" w14:paraId="1D981C15" w14:textId="77777777">
        <w:tc>
          <w:tcPr>
            <w:tcW w:w="1129" w:type="dxa"/>
            <w:shd w:val="clear" w:color="auto" w:fill="D9D9D9"/>
          </w:tcPr>
          <w:p w14:paraId="2DB9802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Колона</w:t>
            </w:r>
          </w:p>
        </w:tc>
        <w:tc>
          <w:tcPr>
            <w:tcW w:w="7620" w:type="dxa"/>
            <w:shd w:val="clear" w:color="auto" w:fill="D9D9D9"/>
          </w:tcPr>
          <w:p w14:paraId="4076834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Препратки към законодателни актове и указания</w:t>
            </w:r>
          </w:p>
        </w:tc>
      </w:tr>
      <w:tr w:rsidR="001B665C" w:rsidRPr="009C4695" w14:paraId="57E2BBC4" w14:textId="77777777">
        <w:tc>
          <w:tcPr>
            <w:tcW w:w="1129" w:type="dxa"/>
          </w:tcPr>
          <w:p w14:paraId="6F7A15D0"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9A3B1A4"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Клирингов член</w:t>
            </w:r>
          </w:p>
        </w:tc>
      </w:tr>
      <w:tr w:rsidR="001B665C" w:rsidRPr="009C4695" w14:paraId="1B9EB1B3" w14:textId="77777777">
        <w:tc>
          <w:tcPr>
            <w:tcW w:w="1129" w:type="dxa"/>
          </w:tcPr>
          <w:p w14:paraId="304A2A37"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8425BEB"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Наименование</w:t>
            </w:r>
          </w:p>
          <w:p w14:paraId="14CD1B5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Инвестиционните посредници </w:t>
            </w:r>
            <w:r w:rsidRPr="009C4695">
              <w:rPr>
                <w:rFonts w:ascii="Times New Roman" w:hAnsi="Times New Roman"/>
                <w:bCs/>
              </w:rPr>
              <w:t>посочват името на всеки клирингов член на квалифицираните централни контрагенти, на чиято отговорност се извършват изпълнението и сетълментът на сделките на търгуващия за собствена сметка посредник.</w:t>
            </w:r>
          </w:p>
        </w:tc>
      </w:tr>
      <w:tr w:rsidR="001B665C" w:rsidRPr="009C4695" w14:paraId="7BA77213" w14:textId="77777777">
        <w:tc>
          <w:tcPr>
            <w:tcW w:w="1129" w:type="dxa"/>
          </w:tcPr>
          <w:p w14:paraId="3213D261"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D7AAF7A"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Код</w:t>
            </w:r>
          </w:p>
          <w:p w14:paraId="26AAA5CD" w14:textId="77777777" w:rsidR="001B665C" w:rsidRPr="009C4695" w:rsidRDefault="009C4695">
            <w:pPr>
              <w:spacing w:after="120" w:line="240" w:lineRule="auto"/>
              <w:jc w:val="both"/>
              <w:rPr>
                <w:rFonts w:eastAsia="Times New Roman"/>
              </w:rPr>
            </w:pPr>
            <w:r w:rsidRPr="009C4695">
              <w:rPr>
                <w:rFonts w:ascii="Times New Roman" w:hAnsi="Times New Roman"/>
              </w:rPr>
              <w:t xml:space="preserve">Кодът като част от идентификатора на реда </w:t>
            </w:r>
            <w:r w:rsidRPr="009C4695">
              <w:rPr>
                <w:rFonts w:ascii="Times New Roman" w:hAnsi="Times New Roman"/>
              </w:rPr>
              <w:t>трябва да бъде индивидуален за всеки субект, за който се отнася докладваната информация. За инвестиционните посредници кодът е ИКПС. За останалите субекти кодът е ИКПС или, ако няма такъв, национален код. Кодът е индивидуален и се използва последователно в</w:t>
            </w:r>
            <w:r w:rsidRPr="009C4695">
              <w:rPr>
                <w:rFonts w:ascii="Times New Roman" w:hAnsi="Times New Roman"/>
              </w:rPr>
              <w:t>ъв всички образци и във времето. Полето с кода трябва винаги да бъде попълнено.</w:t>
            </w:r>
          </w:p>
        </w:tc>
      </w:tr>
      <w:tr w:rsidR="001B665C" w:rsidRPr="009C4695" w14:paraId="176A3425" w14:textId="77777777">
        <w:tc>
          <w:tcPr>
            <w:tcW w:w="1129" w:type="dxa"/>
          </w:tcPr>
          <w:p w14:paraId="61D0437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DB993D6"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Вид на кода</w:t>
            </w:r>
          </w:p>
          <w:p w14:paraId="23693D87"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rPr>
              <w:t>Видът на кода, докладван в колона 0020, е „ИКПС“ или „Национален код“.</w:t>
            </w:r>
          </w:p>
        </w:tc>
      </w:tr>
      <w:tr w:rsidR="001B665C" w:rsidRPr="009C4695" w14:paraId="055B1F3E" w14:textId="77777777">
        <w:tc>
          <w:tcPr>
            <w:tcW w:w="1129" w:type="dxa"/>
          </w:tcPr>
          <w:p w14:paraId="605F299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0040—0060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3DCB3789" w14:textId="77777777" w:rsidR="001B665C" w:rsidRPr="009C4695" w:rsidRDefault="009C4695">
            <w:pPr>
              <w:spacing w:after="120" w:line="240" w:lineRule="auto"/>
              <w:rPr>
                <w:rFonts w:ascii="Times New Roman" w:eastAsia="Times New Roman" w:hAnsi="Times New Roman" w:cs="Times New Roman"/>
                <w:b/>
                <w:bCs/>
                <w:u w:val="single"/>
              </w:rPr>
            </w:pPr>
            <w:r w:rsidRPr="009C4695">
              <w:rPr>
                <w:rFonts w:ascii="Times New Roman" w:hAnsi="Times New Roman"/>
                <w:b/>
                <w:bCs/>
                <w:u w:val="single"/>
              </w:rPr>
              <w:t>Вноска за покриване на общия маржин, изискван ежедневно</w:t>
            </w:r>
          </w:p>
          <w:p w14:paraId="381E46A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Инвестиционните посредници докладват информация за трите дни на предходните три месеца, когато е изчислен най-големият, вторият по големина и третият по големина размер на общия маржин, изискван ежедневно, както е посочено в член 23, параграф 2 от Регламен</w:t>
            </w:r>
            <w:r w:rsidRPr="009C4695">
              <w:rPr>
                <w:rFonts w:ascii="Times New Roman" w:hAnsi="Times New Roman"/>
                <w:bCs/>
              </w:rPr>
              <w:t>т (ЕС) 2019/2033.</w:t>
            </w:r>
          </w:p>
          <w:p w14:paraId="7C89643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Инвестиционният посредник включва в образеца всички клирингови членове, които са били използвани поне през един от тези дни.</w:t>
            </w:r>
          </w:p>
          <w:p w14:paraId="3DD73D65"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Вноската за покриване на общия маржин, изискван ежедневно, се докладва като сумата преди умножението по коефициен</w:t>
            </w:r>
            <w:r w:rsidRPr="009C4695">
              <w:rPr>
                <w:rFonts w:ascii="Times New Roman" w:hAnsi="Times New Roman"/>
                <w:bCs/>
              </w:rPr>
              <w:t xml:space="preserve">та 1,3, посочен в член 23, параграф 2 от Регламент (ЕС) 2019/2033. </w:t>
            </w:r>
          </w:p>
        </w:tc>
      </w:tr>
      <w:tr w:rsidR="001B665C" w:rsidRPr="009C4695" w14:paraId="6054E639" w14:textId="77777777">
        <w:tc>
          <w:tcPr>
            <w:tcW w:w="1129" w:type="dxa"/>
          </w:tcPr>
          <w:p w14:paraId="13CA2EF2"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E77ADD7"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
                <w:bCs/>
                <w:u w:val="single"/>
              </w:rPr>
              <w:t>Вноска за покриване на общия маржин, изискван ежедневно — в деня на най-големия по размер общ изискван маржин</w:t>
            </w:r>
          </w:p>
        </w:tc>
      </w:tr>
      <w:tr w:rsidR="001B665C" w:rsidRPr="009C4695" w14:paraId="3D11258E" w14:textId="77777777">
        <w:tc>
          <w:tcPr>
            <w:tcW w:w="1129" w:type="dxa"/>
          </w:tcPr>
          <w:p w14:paraId="3410FFB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B2F9FC6"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 xml:space="preserve">Вноска за покриване на общия маржин, изискван ежедневно — в </w:t>
            </w:r>
            <w:r w:rsidRPr="009C4695">
              <w:rPr>
                <w:rFonts w:ascii="Times New Roman" w:hAnsi="Times New Roman"/>
                <w:b/>
                <w:bCs/>
                <w:u w:val="single"/>
              </w:rPr>
              <w:t>деня на втория най-голям по размер общ изискван маржин</w:t>
            </w:r>
          </w:p>
        </w:tc>
      </w:tr>
      <w:tr w:rsidR="001B665C" w:rsidRPr="009C4695" w14:paraId="30A15026" w14:textId="77777777">
        <w:tc>
          <w:tcPr>
            <w:tcW w:w="1129" w:type="dxa"/>
          </w:tcPr>
          <w:p w14:paraId="55DA7C0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9D4B7F0"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Вноска за покриване на общия маржин, изискван ежедневно — в деня на третия най-голям по размер общ изискван маржин</w:t>
            </w:r>
          </w:p>
        </w:tc>
      </w:tr>
    </w:tbl>
    <w:p w14:paraId="378C931A" w14:textId="77777777" w:rsidR="001B665C" w:rsidRPr="009C4695" w:rsidRDefault="009C4695">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6" w:name="_Toc88218343"/>
      <w:r w:rsidRPr="009C4695">
        <w:rPr>
          <w:rFonts w:ascii="Times New Roman" w:hAnsi="Times New Roman"/>
          <w:sz w:val="24"/>
          <w:szCs w:val="24"/>
          <w:u w:val="single"/>
        </w:rPr>
        <w:t>3.12.</w:t>
      </w:r>
      <w:r w:rsidRPr="009C4695">
        <w:rPr>
          <w:rFonts w:ascii="Times New Roman" w:hAnsi="Times New Roman"/>
          <w:sz w:val="24"/>
          <w:szCs w:val="24"/>
          <w:u w:val="single"/>
        </w:rPr>
        <w:t xml:space="preserve"> I </w:t>
      </w:r>
      <w:r w:rsidRPr="009C4695">
        <w:rPr>
          <w:rFonts w:ascii="Times New Roman" w:hAnsi="Times New Roman"/>
          <w:sz w:val="24"/>
          <w:szCs w:val="24"/>
          <w:u w:val="single"/>
        </w:rPr>
        <w:t>06.11</w:t>
      </w:r>
      <w:r w:rsidRPr="009C4695">
        <w:rPr>
          <w:rFonts w:ascii="Times New Roman" w:hAnsi="Times New Roman"/>
          <w:sz w:val="24"/>
          <w:szCs w:val="24"/>
          <w:u w:val="single"/>
        </w:rPr>
        <w:t xml:space="preserve"> — НЕИЗПЪЛНЕНИЕ НА КОНТРАГЕНТ ПО СДЕЛКА — ДОПЪЛНИТЕЛНА ИНФОРМАЦИЯ </w:t>
      </w:r>
      <w:r w:rsidRPr="009C4695">
        <w:rPr>
          <w:rFonts w:ascii="Times New Roman" w:hAnsi="Times New Roman"/>
          <w:sz w:val="24"/>
          <w:szCs w:val="24"/>
          <w:u w:val="single"/>
        </w:rPr>
        <w:t xml:space="preserve">(I </w:t>
      </w:r>
      <w:r w:rsidRPr="009C4695">
        <w:rPr>
          <w:rFonts w:ascii="Times New Roman" w:hAnsi="Times New Roman"/>
          <w:sz w:val="24"/>
          <w:szCs w:val="24"/>
          <w:u w:val="single"/>
        </w:rPr>
        <w:t>6.11</w:t>
      </w:r>
      <w:r w:rsidRPr="009C4695">
        <w:rPr>
          <w:rFonts w:ascii="Times New Roman" w:hAnsi="Times New Roman"/>
          <w:sz w:val="24"/>
          <w:szCs w:val="24"/>
          <w:u w:val="single"/>
        </w:rPr>
        <w:t>)</w:t>
      </w:r>
      <w:bookmarkEnd w:id="76"/>
    </w:p>
    <w:p w14:paraId="26F4295C" w14:textId="77777777" w:rsidR="001B665C" w:rsidRPr="009C4695" w:rsidRDefault="009C4695">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7" w:name="_Toc88218344"/>
      <w:r w:rsidRPr="009C4695">
        <w:rPr>
          <w:rFonts w:ascii="Times New Roman" w:hAnsi="Times New Roman"/>
          <w:sz w:val="24"/>
          <w:szCs w:val="24"/>
        </w:rPr>
        <w:t>3.12.1.</w:t>
      </w:r>
      <w:r w:rsidRPr="009C4695">
        <w:tab/>
      </w:r>
      <w:r w:rsidRPr="009C4695">
        <w:rPr>
          <w:rFonts w:ascii="Times New Roman" w:hAnsi="Times New Roman"/>
          <w:sz w:val="24"/>
          <w:szCs w:val="24"/>
          <w:u w:val="single"/>
        </w:rPr>
        <w:t>Указания относно определени позиции</w:t>
      </w:r>
      <w:bookmarkEnd w:id="7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665C" w:rsidRPr="009C4695" w14:paraId="583EDB7D" w14:textId="77777777">
        <w:tc>
          <w:tcPr>
            <w:tcW w:w="1129" w:type="dxa"/>
            <w:shd w:val="clear" w:color="auto" w:fill="D9D9D9"/>
          </w:tcPr>
          <w:p w14:paraId="7FE36AE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Ред</w:t>
            </w:r>
          </w:p>
        </w:tc>
        <w:tc>
          <w:tcPr>
            <w:tcW w:w="7620" w:type="dxa"/>
            <w:shd w:val="clear" w:color="auto" w:fill="D9D9D9"/>
          </w:tcPr>
          <w:p w14:paraId="528876B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Препратки към законодателни актове и указания</w:t>
            </w:r>
          </w:p>
        </w:tc>
      </w:tr>
      <w:tr w:rsidR="001B665C" w:rsidRPr="009C4695" w14:paraId="259E7C31" w14:textId="77777777">
        <w:tc>
          <w:tcPr>
            <w:tcW w:w="1129" w:type="dxa"/>
          </w:tcPr>
          <w:p w14:paraId="7E772D2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3D0C8D88"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Представяне по метод за определяне на стойността на експозицията</w:t>
            </w:r>
          </w:p>
        </w:tc>
      </w:tr>
      <w:tr w:rsidR="001B665C" w:rsidRPr="009C4695" w14:paraId="0A9B4B3B" w14:textId="77777777">
        <w:tc>
          <w:tcPr>
            <w:tcW w:w="1129" w:type="dxa"/>
          </w:tcPr>
          <w:p w14:paraId="4C0F18D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A392DBF"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
                <w:bCs/>
                <w:u w:val="single"/>
              </w:rPr>
              <w:t xml:space="preserve">Прилагане на Регламент (ЕС) 2019/2033: K-фактор за </w:t>
            </w:r>
            <w:r w:rsidRPr="009C4695">
              <w:rPr>
                <w:rFonts w:ascii="Times New Roman" w:hAnsi="Times New Roman"/>
                <w:b/>
                <w:bCs/>
                <w:u w:val="single"/>
              </w:rPr>
              <w:t>неизпълнение на контрагент по сделка</w:t>
            </w:r>
          </w:p>
          <w:p w14:paraId="7E9CEE52"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26 от Регламент (ЕС) 2019/2033.</w:t>
            </w:r>
          </w:p>
          <w:p w14:paraId="656FBC6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Експозиции, за които капиталовото изискване се изчислява като K-фактор за неизпълнение на контрагент по сделка в съответствие с член 26 от Регламент (ЕС) 2019/2033.</w:t>
            </w:r>
          </w:p>
        </w:tc>
      </w:tr>
      <w:tr w:rsidR="001B665C" w:rsidRPr="009C4695" w14:paraId="3EA5DBFD" w14:textId="77777777">
        <w:tc>
          <w:tcPr>
            <w:tcW w:w="1129" w:type="dxa"/>
          </w:tcPr>
          <w:p w14:paraId="02A1D66D"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5ABCBB9"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Алтернативни подходи: стойност на експозицията, определена съгласно Регламент (ЕС) № 575/2013</w:t>
            </w:r>
          </w:p>
          <w:p w14:paraId="7AB32D8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25, параграф 4, първа алинея от Регламент (ЕС) 2019/2033.</w:t>
            </w:r>
          </w:p>
          <w:p w14:paraId="46E79E04"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Експозиции, чиято стойност е определена в съответствие с Регламент (ЕС) № 575/2013 и свързаните с т</w:t>
            </w:r>
            <w:r w:rsidRPr="009C4695">
              <w:rPr>
                <w:rFonts w:ascii="Times New Roman" w:hAnsi="Times New Roman"/>
                <w:bCs/>
              </w:rPr>
              <w:t>ях капиталови изисквания се изчисляват чрез умножение на стойността на експозицията по рисковия фактор, посочен в таблица 2 в член 26 от Регламент (ЕС) 2019/2033.</w:t>
            </w:r>
          </w:p>
        </w:tc>
      </w:tr>
      <w:tr w:rsidR="001B665C" w:rsidRPr="009C4695" w14:paraId="45A90B15" w14:textId="77777777">
        <w:tc>
          <w:tcPr>
            <w:tcW w:w="1129" w:type="dxa"/>
          </w:tcPr>
          <w:p w14:paraId="7BF55F42"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F546BD4"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Стандартизиран подход за кредитния риск от контрагента</w:t>
            </w:r>
          </w:p>
          <w:p w14:paraId="34B95971"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Член 274 от Регламент (ЕС) </w:t>
            </w:r>
            <w:r w:rsidRPr="009C4695">
              <w:rPr>
                <w:rFonts w:ascii="Times New Roman" w:hAnsi="Times New Roman"/>
                <w:bCs/>
              </w:rPr>
              <w:t>№ 575/2013.</w:t>
            </w:r>
          </w:p>
        </w:tc>
      </w:tr>
      <w:tr w:rsidR="001B665C" w:rsidRPr="009C4695" w14:paraId="193953B8" w14:textId="77777777">
        <w:tc>
          <w:tcPr>
            <w:tcW w:w="1129" w:type="dxa"/>
          </w:tcPr>
          <w:p w14:paraId="011B05F7"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4C08656"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Опростен стандартизиран подход за кредитния риск от контрагента</w:t>
            </w:r>
          </w:p>
          <w:p w14:paraId="68EE4E28" w14:textId="77777777" w:rsidR="001B665C" w:rsidRPr="009C4695" w:rsidRDefault="009C4695">
            <w:pPr>
              <w:spacing w:after="120" w:line="240" w:lineRule="auto"/>
              <w:jc w:val="both"/>
              <w:rPr>
                <w:rFonts w:ascii="Times New Roman" w:eastAsia="Times New Roman" w:hAnsi="Times New Roman" w:cs="Times New Roman"/>
              </w:rPr>
            </w:pPr>
            <w:r w:rsidRPr="009C4695">
              <w:rPr>
                <w:rFonts w:ascii="Times New Roman" w:hAnsi="Times New Roman"/>
                <w:bCs/>
              </w:rPr>
              <w:t>Член 281 от Регламент (ЕС) № 575/2013.</w:t>
            </w:r>
          </w:p>
        </w:tc>
      </w:tr>
      <w:tr w:rsidR="001B665C" w:rsidRPr="009C4695" w14:paraId="5DDC904D" w14:textId="77777777">
        <w:tc>
          <w:tcPr>
            <w:tcW w:w="1129" w:type="dxa"/>
          </w:tcPr>
          <w:p w14:paraId="474D85BF"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410CA4E"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Метод на първоначалната експозиция</w:t>
            </w:r>
          </w:p>
          <w:p w14:paraId="132DC49E"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rPr>
              <w:t>Член 282 от Регламент (ЕС) № 575/2013</w:t>
            </w:r>
          </w:p>
        </w:tc>
      </w:tr>
      <w:tr w:rsidR="001B665C" w:rsidRPr="009C4695" w14:paraId="0FC8573D" w14:textId="77777777">
        <w:tc>
          <w:tcPr>
            <w:tcW w:w="1129" w:type="dxa"/>
          </w:tcPr>
          <w:p w14:paraId="7198CEEF"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E47956C"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Алтернативни подходи: пълно прилагане на рамката п</w:t>
            </w:r>
            <w:r w:rsidRPr="009C4695">
              <w:rPr>
                <w:rFonts w:ascii="Times New Roman" w:hAnsi="Times New Roman"/>
                <w:b/>
                <w:bCs/>
                <w:u w:val="single"/>
              </w:rPr>
              <w:t>о Регламент (ЕС) № 575/2013</w:t>
            </w:r>
          </w:p>
          <w:p w14:paraId="6B3C079B"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Член 25, параграф 4, втора алинея от Регламент (ЕС) 2019/2033.</w:t>
            </w:r>
          </w:p>
          <w:p w14:paraId="78FCA810"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 xml:space="preserve">Експозиции, чиято стойност, както и капиталовите изисквания, са определени в съответствие с Регламент (ЕС) № 575/2013. </w:t>
            </w:r>
          </w:p>
        </w:tc>
      </w:tr>
      <w:tr w:rsidR="001B665C" w:rsidRPr="009C4695" w14:paraId="079F1AAB" w14:textId="77777777">
        <w:tc>
          <w:tcPr>
            <w:tcW w:w="1129" w:type="dxa"/>
          </w:tcPr>
          <w:p w14:paraId="13C7888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8CD031F"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 xml:space="preserve">Поясняващи позиции: компонент за </w:t>
            </w:r>
            <w:r w:rsidRPr="009C4695">
              <w:rPr>
                <w:rFonts w:ascii="Times New Roman" w:hAnsi="Times New Roman"/>
                <w:b/>
                <w:bCs/>
                <w:u w:val="single"/>
              </w:rPr>
              <w:t>корекция на кредитната оценка (ККО)</w:t>
            </w:r>
          </w:p>
          <w:p w14:paraId="1BFDADE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25, параграф 5 и член 26 от Регламент (ЕС) 2019/2033.</w:t>
            </w:r>
          </w:p>
          <w:p w14:paraId="6E064BFD"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Когато дадена институция прилага подхода по член 26 от Регламент (ЕС) 2019/2033 или дерогацията по член 26, параграф 5, първа алинея от Регламент (ЕС) 2019/2033,</w:t>
            </w:r>
            <w:r w:rsidRPr="009C4695">
              <w:rPr>
                <w:rFonts w:ascii="Times New Roman" w:hAnsi="Times New Roman"/>
                <w:bCs/>
              </w:rPr>
              <w:t xml:space="preserve"> компонентът за ККО се определя като разликата между съответния размер след прилагането на множителя за фактора за ККО и съответния размер преди прилагането на множителя за фактора за ККО.</w:t>
            </w:r>
          </w:p>
          <w:p w14:paraId="029E228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Когато дадена институция прилага дерогацията по член 25, параграф 5</w:t>
            </w:r>
            <w:r w:rsidRPr="009C4695">
              <w:rPr>
                <w:rFonts w:ascii="Times New Roman" w:hAnsi="Times New Roman"/>
                <w:bCs/>
              </w:rPr>
              <w:t>, втора алинея от Регламент (ЕС) 2019/2033, компонентът на ККО се определя в съответствие с трета част, дял VI от Регламент (ЕС) № 575/2013.</w:t>
            </w:r>
          </w:p>
        </w:tc>
      </w:tr>
      <w:tr w:rsidR="001B665C" w:rsidRPr="009C4695" w14:paraId="12D60385" w14:textId="77777777">
        <w:tc>
          <w:tcPr>
            <w:tcW w:w="1129" w:type="dxa"/>
          </w:tcPr>
          <w:p w14:paraId="7DCEB722"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E54A034"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от които: изчислени в съответствие с рамката по Регламент (ЕС) № 575/2013</w:t>
            </w:r>
          </w:p>
          <w:p w14:paraId="0F92EE8B"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25, параграф 5, втора алинея о</w:t>
            </w:r>
            <w:r w:rsidRPr="009C4695">
              <w:rPr>
                <w:rFonts w:ascii="Times New Roman" w:hAnsi="Times New Roman"/>
                <w:bCs/>
              </w:rPr>
              <w:t>т Регламент (ЕС) 2019/2033.</w:t>
            </w:r>
          </w:p>
        </w:tc>
      </w:tr>
      <w:tr w:rsidR="001B665C" w:rsidRPr="009C4695" w14:paraId="1856174B" w14:textId="77777777">
        <w:tc>
          <w:tcPr>
            <w:tcW w:w="1129" w:type="dxa"/>
          </w:tcPr>
          <w:p w14:paraId="3751C18F"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0090—0110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67B6649"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Представяне по видове контрагенти</w:t>
            </w:r>
          </w:p>
          <w:p w14:paraId="570FE878"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Представянето по контрагенти се основава на видовете контрагенти, посочени в таблица 2 в член 26 от Регламент (ЕС) 2019/2033.</w:t>
            </w:r>
          </w:p>
        </w:tc>
      </w:tr>
      <w:tr w:rsidR="001B665C" w:rsidRPr="009C4695" w14:paraId="7EE5D623" w14:textId="77777777">
        <w:tc>
          <w:tcPr>
            <w:tcW w:w="1129" w:type="dxa"/>
          </w:tcPr>
          <w:p w14:paraId="39C8479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36FB0F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
                <w:bCs/>
                <w:u w:val="single"/>
              </w:rPr>
              <w:t xml:space="preserve">Централни правителства, централни банки и </w:t>
            </w:r>
            <w:r w:rsidRPr="009C4695">
              <w:rPr>
                <w:rFonts w:ascii="Times New Roman" w:hAnsi="Times New Roman"/>
                <w:b/>
                <w:bCs/>
                <w:u w:val="single"/>
              </w:rPr>
              <w:t>субекти от публичния сектор</w:t>
            </w:r>
          </w:p>
        </w:tc>
      </w:tr>
      <w:tr w:rsidR="001B665C" w:rsidRPr="009C4695" w14:paraId="562E6B4A" w14:textId="77777777">
        <w:tc>
          <w:tcPr>
            <w:tcW w:w="1129" w:type="dxa"/>
          </w:tcPr>
          <w:p w14:paraId="5255030F"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2634A84"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Кредитни институции и инвестиционни посредници</w:t>
            </w:r>
          </w:p>
        </w:tc>
      </w:tr>
      <w:tr w:rsidR="001B665C" w:rsidRPr="009C4695" w14:paraId="49E2F443" w14:textId="77777777">
        <w:tc>
          <w:tcPr>
            <w:tcW w:w="1129" w:type="dxa"/>
          </w:tcPr>
          <w:p w14:paraId="4DD6DEB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72AA403"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Други контрагенти</w:t>
            </w:r>
          </w:p>
        </w:tc>
      </w:tr>
    </w:tbl>
    <w:p w14:paraId="22C17AC5" w14:textId="77777777" w:rsidR="001B665C" w:rsidRPr="009C4695" w:rsidRDefault="001B665C">
      <w:pPr>
        <w:rPr>
          <w:rFonts w:ascii="Times New Roman" w:eastAsia="Arial" w:hAnsi="Times New Roman" w:cs="Times New Roman"/>
          <w:sz w:val="24"/>
          <w:szCs w:val="24"/>
          <w:u w:val="single"/>
          <w:lang w:val="en-IE"/>
        </w:rPr>
      </w:pPr>
    </w:p>
    <w:tbl>
      <w:tblPr>
        <w:tblW w:w="8840"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0"/>
        <w:gridCol w:w="7700"/>
      </w:tblGrid>
      <w:tr w:rsidR="001B665C" w:rsidRPr="009C4695" w14:paraId="4DE6C05A" w14:textId="77777777">
        <w:trPr>
          <w:trHeight w:val="382"/>
        </w:trPr>
        <w:tc>
          <w:tcPr>
            <w:tcW w:w="1140" w:type="dxa"/>
            <w:shd w:val="clear" w:color="auto" w:fill="D9D9D9"/>
          </w:tcPr>
          <w:p w14:paraId="738F9587"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Колона</w:t>
            </w:r>
          </w:p>
        </w:tc>
        <w:tc>
          <w:tcPr>
            <w:tcW w:w="7700" w:type="dxa"/>
            <w:shd w:val="clear" w:color="auto" w:fill="D9D9D9"/>
          </w:tcPr>
          <w:p w14:paraId="6668648F"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Препратки към законодателни актове и указания</w:t>
            </w:r>
          </w:p>
        </w:tc>
      </w:tr>
      <w:tr w:rsidR="001B665C" w:rsidRPr="009C4695" w14:paraId="732250AE" w14:textId="77777777">
        <w:trPr>
          <w:trHeight w:val="1019"/>
        </w:trPr>
        <w:tc>
          <w:tcPr>
            <w:tcW w:w="1140" w:type="dxa"/>
          </w:tcPr>
          <w:p w14:paraId="286E26F2"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24D8DB1F"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Изискване въз основа на К-факторите</w:t>
            </w:r>
          </w:p>
          <w:p w14:paraId="2E5AF97F"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Капиталовото изискване се докладва съгласно </w:t>
            </w:r>
            <w:r w:rsidRPr="009C4695">
              <w:rPr>
                <w:rFonts w:ascii="Times New Roman" w:hAnsi="Times New Roman"/>
                <w:bCs/>
              </w:rPr>
              <w:t>изчислението в съответствие с член 26 от Регламент (ЕС) 2019/2033 или приложимите разпоредби на Регламент (ЕС) № 575/2013.</w:t>
            </w:r>
          </w:p>
        </w:tc>
      </w:tr>
      <w:tr w:rsidR="001B665C" w:rsidRPr="009C4695" w14:paraId="6C620F95" w14:textId="77777777">
        <w:trPr>
          <w:trHeight w:val="764"/>
        </w:trPr>
        <w:tc>
          <w:tcPr>
            <w:tcW w:w="1140" w:type="dxa"/>
          </w:tcPr>
          <w:p w14:paraId="067E115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0020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2D6CAA80"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Стойност на експозицията</w:t>
            </w:r>
          </w:p>
          <w:p w14:paraId="3CD5AD31"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Стойността на експозицията, изчислена в съответствие с член 27 от Регламент (ЕС) 2019/2033 или приложи</w:t>
            </w:r>
            <w:r w:rsidRPr="009C4695">
              <w:rPr>
                <w:rFonts w:ascii="Times New Roman" w:hAnsi="Times New Roman"/>
                <w:bCs/>
              </w:rPr>
              <w:t xml:space="preserve">мите разпоредби на Регламент (ЕС) № 575/2013. </w:t>
            </w:r>
          </w:p>
        </w:tc>
      </w:tr>
      <w:tr w:rsidR="001B665C" w:rsidRPr="009C4695" w14:paraId="4A9E80F1" w14:textId="77777777">
        <w:trPr>
          <w:trHeight w:val="764"/>
        </w:trPr>
        <w:tc>
          <w:tcPr>
            <w:tcW w:w="1140" w:type="dxa"/>
          </w:tcPr>
          <w:p w14:paraId="08FCBEB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0030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632D486C"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Заместителна (разменна) стойност</w:t>
            </w:r>
          </w:p>
          <w:p w14:paraId="5B403E2F"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28 от Регламент (ЕС) 2019/2033.</w:t>
            </w:r>
          </w:p>
        </w:tc>
      </w:tr>
      <w:tr w:rsidR="001B665C" w:rsidRPr="009C4695" w14:paraId="27A51439" w14:textId="77777777">
        <w:trPr>
          <w:trHeight w:val="764"/>
        </w:trPr>
        <w:tc>
          <w:tcPr>
            <w:tcW w:w="1140" w:type="dxa"/>
          </w:tcPr>
          <w:p w14:paraId="3DC57EA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0040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5C98DC74"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Потенциална бъдеща експозиция</w:t>
            </w:r>
          </w:p>
          <w:p w14:paraId="6F4E3DC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29 от Регламент (ЕС) 2019/2033.</w:t>
            </w:r>
          </w:p>
        </w:tc>
      </w:tr>
      <w:tr w:rsidR="001B665C" w:rsidRPr="009C4695" w14:paraId="4701406F" w14:textId="77777777">
        <w:trPr>
          <w:trHeight w:val="810"/>
        </w:trPr>
        <w:tc>
          <w:tcPr>
            <w:tcW w:w="1140" w:type="dxa"/>
          </w:tcPr>
          <w:p w14:paraId="03059E3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0050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09932662"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Обезпечение</w:t>
            </w:r>
          </w:p>
          <w:p w14:paraId="6D3429E2"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Член 30, параграфи 2 и 3 от </w:t>
            </w:r>
            <w:r w:rsidRPr="009C4695">
              <w:rPr>
                <w:rFonts w:ascii="Times New Roman" w:hAnsi="Times New Roman"/>
                <w:bCs/>
              </w:rPr>
              <w:t>Регламент (ЕС) 2019/2033.</w:t>
            </w:r>
          </w:p>
          <w:p w14:paraId="0537C15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Докладваната стойност е стойността на обезпечението, използвана за изчисляване на стойността на експозицията, и следователно, когато е приложимо, на стойността след прилагането на корекцията за променливост и корекцията за променл</w:t>
            </w:r>
            <w:r w:rsidRPr="009C4695">
              <w:rPr>
                <w:rFonts w:ascii="Times New Roman" w:hAnsi="Times New Roman"/>
                <w:bCs/>
              </w:rPr>
              <w:t>ивост при несъответствие между валутите по член 30, параграфи 1 и 3 от Регламент (ЕС) 2019/2033.</w:t>
            </w:r>
          </w:p>
        </w:tc>
      </w:tr>
    </w:tbl>
    <w:p w14:paraId="1611B8A5" w14:textId="77777777" w:rsidR="001B665C" w:rsidRPr="009C4695" w:rsidRDefault="001B665C">
      <w:pPr>
        <w:rPr>
          <w:sz w:val="10"/>
          <w:szCs w:val="10"/>
        </w:rPr>
      </w:pPr>
    </w:p>
    <w:p w14:paraId="40E54F02" w14:textId="77777777" w:rsidR="001B665C" w:rsidRPr="009C4695" w:rsidRDefault="009C4695">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8" w:name="_Toc88218345"/>
      <w:r w:rsidRPr="009C4695">
        <w:rPr>
          <w:rFonts w:ascii="Times New Roman" w:hAnsi="Times New Roman"/>
          <w:sz w:val="24"/>
          <w:szCs w:val="24"/>
          <w:u w:val="single"/>
        </w:rPr>
        <w:t>3.13.</w:t>
      </w:r>
      <w:r w:rsidRPr="009C4695">
        <w:rPr>
          <w:rFonts w:ascii="Times New Roman" w:hAnsi="Times New Roman"/>
          <w:sz w:val="24"/>
          <w:szCs w:val="24"/>
          <w:u w:val="single"/>
        </w:rPr>
        <w:t xml:space="preserve"> I </w:t>
      </w:r>
      <w:r w:rsidRPr="009C4695">
        <w:rPr>
          <w:rFonts w:ascii="Times New Roman" w:hAnsi="Times New Roman"/>
          <w:sz w:val="24"/>
          <w:szCs w:val="24"/>
          <w:u w:val="single"/>
        </w:rPr>
        <w:t>06.12</w:t>
      </w:r>
      <w:r w:rsidRPr="009C4695">
        <w:rPr>
          <w:rFonts w:ascii="Times New Roman" w:hAnsi="Times New Roman"/>
          <w:sz w:val="24"/>
          <w:szCs w:val="24"/>
          <w:u w:val="single"/>
        </w:rPr>
        <w:t xml:space="preserve"> — ДНЕВЕН ПОТОК НА ТРАНСАКЦИИТЕ — ДОПЪЛНИТЕЛНА ИНФОРМАЦИЯ (I </w:t>
      </w:r>
      <w:r w:rsidRPr="009C4695">
        <w:rPr>
          <w:rFonts w:ascii="Times New Roman" w:hAnsi="Times New Roman"/>
          <w:sz w:val="24"/>
          <w:szCs w:val="24"/>
          <w:u w:val="single"/>
        </w:rPr>
        <w:t>6.12</w:t>
      </w:r>
      <w:r w:rsidRPr="009C4695">
        <w:rPr>
          <w:rFonts w:ascii="Times New Roman" w:hAnsi="Times New Roman"/>
          <w:sz w:val="24"/>
          <w:szCs w:val="24"/>
          <w:u w:val="single"/>
        </w:rPr>
        <w:t>)</w:t>
      </w:r>
      <w:bookmarkEnd w:id="78"/>
    </w:p>
    <w:p w14:paraId="3814DAFD" w14:textId="77777777" w:rsidR="001B665C" w:rsidRPr="009C4695" w:rsidRDefault="009C4695">
      <w:pPr>
        <w:keepNext/>
        <w:spacing w:before="240" w:after="240" w:line="240" w:lineRule="auto"/>
        <w:ind w:left="357" w:hanging="215"/>
        <w:jc w:val="both"/>
        <w:outlineLvl w:val="1"/>
        <w:rPr>
          <w:rFonts w:ascii="Times New Roman" w:eastAsia="Arial" w:hAnsi="Times New Roman" w:cs="Times New Roman"/>
          <w:sz w:val="24"/>
          <w:szCs w:val="24"/>
        </w:rPr>
      </w:pPr>
      <w:bookmarkStart w:id="79" w:name="_Toc88218346"/>
      <w:r w:rsidRPr="009C4695">
        <w:rPr>
          <w:rFonts w:ascii="Times New Roman" w:hAnsi="Times New Roman"/>
          <w:sz w:val="24"/>
          <w:szCs w:val="24"/>
        </w:rPr>
        <w:t>3.13.1.</w:t>
      </w:r>
      <w:r w:rsidRPr="009C4695">
        <w:rPr>
          <w:rFonts w:ascii="Times New Roman" w:hAnsi="Times New Roman"/>
          <w:sz w:val="24"/>
          <w:szCs w:val="24"/>
        </w:rPr>
        <w:tab/>
        <w:t>Указания относно определени позиции</w:t>
      </w:r>
      <w:bookmarkEnd w:id="7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665C" w:rsidRPr="009C4695" w14:paraId="15BBB74A" w14:textId="77777777">
        <w:tc>
          <w:tcPr>
            <w:tcW w:w="1129" w:type="dxa"/>
            <w:shd w:val="clear" w:color="auto" w:fill="D9D9D9"/>
          </w:tcPr>
          <w:p w14:paraId="1321FEE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Ред</w:t>
            </w:r>
          </w:p>
        </w:tc>
        <w:tc>
          <w:tcPr>
            <w:tcW w:w="7620" w:type="dxa"/>
            <w:shd w:val="clear" w:color="auto" w:fill="D9D9D9"/>
          </w:tcPr>
          <w:p w14:paraId="1A3C48A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 xml:space="preserve">Препратки към </w:t>
            </w:r>
            <w:r w:rsidRPr="009C4695">
              <w:rPr>
                <w:rFonts w:ascii="Times New Roman" w:hAnsi="Times New Roman"/>
              </w:rPr>
              <w:t>законодателни актове и указания</w:t>
            </w:r>
          </w:p>
        </w:tc>
      </w:tr>
      <w:tr w:rsidR="001B665C" w:rsidRPr="009C4695" w14:paraId="4C07FEC6" w14:textId="77777777">
        <w:tc>
          <w:tcPr>
            <w:tcW w:w="1129" w:type="dxa"/>
          </w:tcPr>
          <w:p w14:paraId="5D73411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994D378"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Общо дневен поток на трансакциите — сделки с парични разплащания (средни стойности)</w:t>
            </w:r>
          </w:p>
          <w:p w14:paraId="4D815A57"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Инвестиционните посредници докладват средноаритметичната стойност на дневния поток на трансакциите за сделки с парични </w:t>
            </w:r>
            <w:r w:rsidRPr="009C4695">
              <w:rPr>
                <w:rFonts w:ascii="Times New Roman" w:hAnsi="Times New Roman"/>
                <w:bCs/>
              </w:rPr>
              <w:t>разплащания, определена съгласно член 33, параграф 2, буква а) от Регламент (ЕС) 2019/2033, за оставащите шест месеца в съответствие с член 33, параграф 1, първа алинея от Регламент (ЕС) 2019/2033.</w:t>
            </w:r>
          </w:p>
          <w:p w14:paraId="76739AD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Докладваната в това поле стойност трябва да е съобразена с</w:t>
            </w:r>
            <w:r w:rsidRPr="009C4695">
              <w:rPr>
                <w:rFonts w:ascii="Times New Roman" w:hAnsi="Times New Roman"/>
                <w:bCs/>
              </w:rPr>
              <w:t xml:space="preserve"> член 33, параграф 3 от Регламент (ЕС) 2019/2033. </w:t>
            </w:r>
          </w:p>
        </w:tc>
      </w:tr>
      <w:tr w:rsidR="001B665C" w:rsidRPr="009C4695" w14:paraId="64BEC608" w14:textId="77777777">
        <w:tc>
          <w:tcPr>
            <w:tcW w:w="1129" w:type="dxa"/>
          </w:tcPr>
          <w:p w14:paraId="69C5D5A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5A2852A"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Общо дневен поток на трансакциите — сделки с деривати (средни стойности)</w:t>
            </w:r>
          </w:p>
          <w:p w14:paraId="26DB951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33, параграф 2, буква б) от Регламент (ЕС) 2019/2033.</w:t>
            </w:r>
          </w:p>
          <w:p w14:paraId="50F4793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Инвестиционните посредници докладват </w:t>
            </w:r>
            <w:r w:rsidRPr="009C4695">
              <w:rPr>
                <w:rFonts w:ascii="Times New Roman" w:hAnsi="Times New Roman"/>
                <w:bCs/>
              </w:rPr>
              <w:t>средноаритметичната стойност на дневния поток на трансакциите за сделки с деривати, определена съгласно член 33, параграф 2, буква б) от Регламент (ЕС) 2019/2033, за оставащите шест месеца в съответствие с член 33, параграф 1, първа алинея от Регламент (ЕС</w:t>
            </w:r>
            <w:r w:rsidRPr="009C4695">
              <w:rPr>
                <w:rFonts w:ascii="Times New Roman" w:hAnsi="Times New Roman"/>
                <w:bCs/>
              </w:rPr>
              <w:t>) 2019/2033.</w:t>
            </w:r>
          </w:p>
          <w:p w14:paraId="4DDAFA3D" w14:textId="77777777" w:rsidR="001B665C" w:rsidRPr="009C4695" w:rsidRDefault="009C4695">
            <w:pPr>
              <w:spacing w:after="120" w:line="240" w:lineRule="auto"/>
              <w:jc w:val="both"/>
              <w:rPr>
                <w:rFonts w:ascii="Times New Roman" w:eastAsia="Times New Roman" w:hAnsi="Times New Roman" w:cs="Times New Roman"/>
                <w:bCs/>
                <w:u w:val="single"/>
              </w:rPr>
            </w:pPr>
            <w:r w:rsidRPr="009C4695">
              <w:rPr>
                <w:rFonts w:ascii="Times New Roman" w:hAnsi="Times New Roman"/>
                <w:bCs/>
              </w:rPr>
              <w:t>Докладваната в това поле стойност трябва да е съобразена с член 33, параграф 3 от Регламент (ЕС) 2019/2033.</w:t>
            </w:r>
          </w:p>
        </w:tc>
      </w:tr>
    </w:tbl>
    <w:p w14:paraId="05C012E0" w14:textId="77777777" w:rsidR="001B665C" w:rsidRPr="009C4695" w:rsidRDefault="001B665C">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665C" w:rsidRPr="009C4695" w14:paraId="343C3A9F" w14:textId="77777777">
        <w:tc>
          <w:tcPr>
            <w:tcW w:w="1129" w:type="dxa"/>
            <w:shd w:val="clear" w:color="auto" w:fill="D9D9D9"/>
          </w:tcPr>
          <w:p w14:paraId="34A0D96B"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szCs w:val="24"/>
              </w:rPr>
              <w:t>Колони</w:t>
            </w:r>
          </w:p>
        </w:tc>
        <w:tc>
          <w:tcPr>
            <w:tcW w:w="7620" w:type="dxa"/>
            <w:shd w:val="clear" w:color="auto" w:fill="D9D9D9"/>
          </w:tcPr>
          <w:p w14:paraId="19C1A0A3"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szCs w:val="24"/>
              </w:rPr>
              <w:t>Препратки към законодателни актове и указания</w:t>
            </w:r>
          </w:p>
        </w:tc>
      </w:tr>
      <w:tr w:rsidR="001B665C" w:rsidRPr="009C4695" w14:paraId="7148314F" w14:textId="77777777">
        <w:tc>
          <w:tcPr>
            <w:tcW w:w="1129" w:type="dxa"/>
          </w:tcPr>
          <w:p w14:paraId="05A1C274"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bCs/>
                <w:szCs w:val="24"/>
              </w:rPr>
              <w:t>0010</w:t>
            </w:r>
          </w:p>
        </w:tc>
        <w:tc>
          <w:tcPr>
            <w:tcW w:w="7620" w:type="dxa"/>
          </w:tcPr>
          <w:p w14:paraId="29AD83B4" w14:textId="77777777" w:rsidR="001B665C" w:rsidRPr="009C4695" w:rsidRDefault="009C4695">
            <w:pPr>
              <w:spacing w:after="120" w:line="240" w:lineRule="auto"/>
              <w:jc w:val="both"/>
              <w:rPr>
                <w:rFonts w:ascii="Times New Roman" w:eastAsia="Times New Roman" w:hAnsi="Times New Roman" w:cs="Times New Roman"/>
                <w:b/>
                <w:bCs/>
                <w:szCs w:val="24"/>
                <w:u w:val="single"/>
              </w:rPr>
            </w:pPr>
            <w:r w:rsidRPr="009C4695">
              <w:rPr>
                <w:rFonts w:ascii="Times New Roman" w:hAnsi="Times New Roman"/>
                <w:b/>
                <w:bCs/>
                <w:szCs w:val="24"/>
                <w:u w:val="single"/>
              </w:rPr>
              <w:t>Средна стойност на фактора — месец t</w:t>
            </w:r>
          </w:p>
          <w:p w14:paraId="00A266A3"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bCs/>
                <w:szCs w:val="24"/>
              </w:rPr>
              <w:t xml:space="preserve">Стойност на дневния поток на </w:t>
            </w:r>
            <w:r w:rsidRPr="009C4695">
              <w:rPr>
                <w:rFonts w:ascii="Times New Roman" w:hAnsi="Times New Roman"/>
                <w:bCs/>
                <w:szCs w:val="24"/>
              </w:rPr>
              <w:t>трансакциите към края на третия месец (т.е. последния) на тримесечието, за което се отнася докладът.</w:t>
            </w:r>
          </w:p>
        </w:tc>
      </w:tr>
      <w:tr w:rsidR="001B665C" w:rsidRPr="009C4695" w14:paraId="1A4E131E" w14:textId="77777777">
        <w:tc>
          <w:tcPr>
            <w:tcW w:w="1129" w:type="dxa"/>
          </w:tcPr>
          <w:p w14:paraId="7998A972"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bCs/>
                <w:szCs w:val="24"/>
              </w:rPr>
              <w:t>0020</w:t>
            </w:r>
          </w:p>
        </w:tc>
        <w:tc>
          <w:tcPr>
            <w:tcW w:w="7620" w:type="dxa"/>
          </w:tcPr>
          <w:p w14:paraId="70A968A2" w14:textId="77777777" w:rsidR="001B665C" w:rsidRPr="009C4695" w:rsidRDefault="009C4695">
            <w:pPr>
              <w:spacing w:after="120" w:line="240" w:lineRule="auto"/>
              <w:jc w:val="both"/>
              <w:rPr>
                <w:rFonts w:ascii="Times New Roman" w:eastAsia="Times New Roman" w:hAnsi="Times New Roman" w:cs="Times New Roman"/>
                <w:b/>
                <w:bCs/>
                <w:szCs w:val="24"/>
                <w:u w:val="single"/>
              </w:rPr>
            </w:pPr>
            <w:r w:rsidRPr="009C4695">
              <w:rPr>
                <w:rFonts w:ascii="Times New Roman" w:hAnsi="Times New Roman"/>
                <w:b/>
                <w:bCs/>
                <w:szCs w:val="24"/>
                <w:u w:val="single"/>
              </w:rPr>
              <w:t>Средна стойност на фактора — месец t-1</w:t>
            </w:r>
          </w:p>
          <w:p w14:paraId="2E1FF02F" w14:textId="77777777" w:rsidR="001B665C" w:rsidRPr="009C4695" w:rsidRDefault="009C4695">
            <w:pPr>
              <w:spacing w:after="120" w:line="240" w:lineRule="auto"/>
              <w:jc w:val="both"/>
              <w:rPr>
                <w:rFonts w:ascii="Times New Roman" w:eastAsia="Times New Roman" w:hAnsi="Times New Roman" w:cs="Times New Roman"/>
                <w:b/>
                <w:bCs/>
                <w:szCs w:val="24"/>
                <w:u w:val="single"/>
              </w:rPr>
            </w:pPr>
            <w:r w:rsidRPr="009C4695">
              <w:rPr>
                <w:rFonts w:ascii="Times New Roman" w:hAnsi="Times New Roman"/>
                <w:bCs/>
                <w:szCs w:val="24"/>
              </w:rPr>
              <w:t>Стойност на дневния поток на трансакциите към края на втория месец от тримесечието, за което се отнася докладъ</w:t>
            </w:r>
            <w:r w:rsidRPr="009C4695">
              <w:rPr>
                <w:rFonts w:ascii="Times New Roman" w:hAnsi="Times New Roman"/>
                <w:bCs/>
                <w:szCs w:val="24"/>
              </w:rPr>
              <w:t>т.</w:t>
            </w:r>
          </w:p>
        </w:tc>
      </w:tr>
      <w:tr w:rsidR="001B665C" w:rsidRPr="009C4695" w14:paraId="67A956E1" w14:textId="77777777">
        <w:tc>
          <w:tcPr>
            <w:tcW w:w="1129" w:type="dxa"/>
          </w:tcPr>
          <w:p w14:paraId="404029C9"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bCs/>
                <w:szCs w:val="24"/>
              </w:rPr>
              <w:t>0030</w:t>
            </w:r>
          </w:p>
        </w:tc>
        <w:tc>
          <w:tcPr>
            <w:tcW w:w="7620" w:type="dxa"/>
          </w:tcPr>
          <w:p w14:paraId="788FCD39" w14:textId="77777777" w:rsidR="001B665C" w:rsidRPr="009C4695" w:rsidRDefault="009C4695">
            <w:pPr>
              <w:spacing w:after="120" w:line="240" w:lineRule="auto"/>
              <w:jc w:val="both"/>
              <w:rPr>
                <w:rFonts w:ascii="Times New Roman" w:eastAsia="Times New Roman" w:hAnsi="Times New Roman" w:cs="Times New Roman"/>
                <w:b/>
                <w:bCs/>
                <w:szCs w:val="24"/>
                <w:u w:val="single"/>
              </w:rPr>
            </w:pPr>
            <w:r w:rsidRPr="009C4695">
              <w:rPr>
                <w:rFonts w:ascii="Times New Roman" w:hAnsi="Times New Roman"/>
                <w:b/>
                <w:bCs/>
                <w:szCs w:val="24"/>
                <w:u w:val="single"/>
              </w:rPr>
              <w:t>Средна стойност на фактора — месец t-2</w:t>
            </w:r>
          </w:p>
          <w:p w14:paraId="3FC0EF4E" w14:textId="77777777" w:rsidR="001B665C" w:rsidRPr="009C4695" w:rsidRDefault="009C4695">
            <w:pPr>
              <w:spacing w:after="120" w:line="240" w:lineRule="auto"/>
              <w:jc w:val="both"/>
              <w:rPr>
                <w:rFonts w:ascii="Times New Roman" w:eastAsia="Times New Roman" w:hAnsi="Times New Roman" w:cs="Times New Roman"/>
                <w:b/>
                <w:bCs/>
                <w:szCs w:val="24"/>
                <w:u w:val="single"/>
              </w:rPr>
            </w:pPr>
            <w:r w:rsidRPr="009C4695">
              <w:rPr>
                <w:rFonts w:ascii="Times New Roman" w:hAnsi="Times New Roman"/>
                <w:bCs/>
                <w:szCs w:val="24"/>
              </w:rPr>
              <w:t>Стойност на дневния поток на трансакциите към края на първия месец от тримесечието, за което се отнася докладът.</w:t>
            </w:r>
          </w:p>
        </w:tc>
      </w:tr>
    </w:tbl>
    <w:p w14:paraId="6676E3E1" w14:textId="77777777" w:rsidR="001B665C" w:rsidRPr="009C4695" w:rsidRDefault="001B665C">
      <w:pPr>
        <w:rPr>
          <w:rFonts w:ascii="Times New Roman" w:eastAsia="Arial" w:hAnsi="Times New Roman" w:cs="Times New Roman"/>
          <w:sz w:val="24"/>
          <w:szCs w:val="24"/>
          <w:u w:val="single"/>
        </w:rPr>
      </w:pPr>
    </w:p>
    <w:p w14:paraId="7A112F63" w14:textId="77777777" w:rsidR="001B665C" w:rsidRPr="009C4695" w:rsidRDefault="009C4695">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80" w:name="_Toc88218347"/>
      <w:r w:rsidRPr="009C4695">
        <w:rPr>
          <w:rFonts w:ascii="Times New Roman" w:hAnsi="Times New Roman"/>
          <w:sz w:val="24"/>
          <w:szCs w:val="24"/>
          <w:u w:val="single"/>
        </w:rPr>
        <w:t>3.14.</w:t>
      </w:r>
      <w:r w:rsidRPr="009C4695">
        <w:rPr>
          <w:rFonts w:ascii="Times New Roman" w:hAnsi="Times New Roman"/>
          <w:sz w:val="24"/>
          <w:szCs w:val="24"/>
          <w:u w:val="single"/>
        </w:rPr>
        <w:t xml:space="preserve"> I </w:t>
      </w:r>
      <w:r w:rsidRPr="009C4695">
        <w:rPr>
          <w:rFonts w:ascii="Times New Roman" w:hAnsi="Times New Roman"/>
          <w:sz w:val="24"/>
          <w:szCs w:val="24"/>
          <w:u w:val="single"/>
        </w:rPr>
        <w:t>06.13</w:t>
      </w:r>
      <w:r w:rsidRPr="009C4695">
        <w:rPr>
          <w:rFonts w:ascii="Times New Roman" w:hAnsi="Times New Roman"/>
          <w:sz w:val="24"/>
          <w:szCs w:val="24"/>
          <w:u w:val="single"/>
        </w:rPr>
        <w:t xml:space="preserve"> — СРЕДНА СТОЙНОСТ НА ОБЩИЯ ДНЕВЕН ПОТОК НА ТРАНСАКЦИИТЕ (I </w:t>
      </w:r>
      <w:r w:rsidRPr="009C4695">
        <w:rPr>
          <w:rFonts w:ascii="Times New Roman" w:hAnsi="Times New Roman"/>
          <w:sz w:val="24"/>
          <w:szCs w:val="24"/>
          <w:u w:val="single"/>
        </w:rPr>
        <w:t>6.13</w:t>
      </w:r>
      <w:r w:rsidRPr="009C4695">
        <w:rPr>
          <w:rFonts w:ascii="Times New Roman" w:hAnsi="Times New Roman"/>
          <w:sz w:val="24"/>
          <w:szCs w:val="24"/>
          <w:u w:val="single"/>
        </w:rPr>
        <w:t>)</w:t>
      </w:r>
      <w:bookmarkEnd w:id="80"/>
    </w:p>
    <w:p w14:paraId="0053E473" w14:textId="77777777" w:rsidR="001B665C" w:rsidRPr="009C4695" w:rsidRDefault="009C4695">
      <w:pPr>
        <w:pStyle w:val="Instructionsberschrift2"/>
        <w:ind w:left="357" w:hanging="215"/>
        <w:rPr>
          <w:rFonts w:ascii="Times New Roman" w:hAnsi="Times New Roman" w:cs="Times New Roman"/>
          <w:sz w:val="24"/>
        </w:rPr>
      </w:pPr>
      <w:bookmarkStart w:id="81" w:name="_Toc88218348"/>
      <w:r w:rsidRPr="009C4695">
        <w:rPr>
          <w:rFonts w:ascii="Times New Roman" w:hAnsi="Times New Roman"/>
          <w:sz w:val="24"/>
          <w:u w:val="none"/>
        </w:rPr>
        <w:t>3.14.1.</w:t>
      </w:r>
      <w:r w:rsidRPr="009C4695">
        <w:rPr>
          <w:rFonts w:ascii="Times New Roman" w:hAnsi="Times New Roman"/>
          <w:sz w:val="24"/>
          <w:u w:val="none"/>
        </w:rPr>
        <w:t xml:space="preserve"> </w:t>
      </w:r>
      <w:r w:rsidRPr="009C4695">
        <w:rPr>
          <w:rFonts w:ascii="Times New Roman" w:hAnsi="Times New Roman"/>
          <w:sz w:val="24"/>
        </w:rPr>
        <w:t>Указания относно определени позиции</w:t>
      </w:r>
      <w:bookmarkEnd w:id="8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665C" w:rsidRPr="009C4695" w14:paraId="48A3B30D" w14:textId="77777777">
        <w:tc>
          <w:tcPr>
            <w:tcW w:w="1129" w:type="dxa"/>
            <w:shd w:val="clear" w:color="auto" w:fill="D9D9D9"/>
          </w:tcPr>
          <w:p w14:paraId="2D6FD071"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szCs w:val="24"/>
              </w:rPr>
              <w:t>Ред</w:t>
            </w:r>
          </w:p>
        </w:tc>
        <w:tc>
          <w:tcPr>
            <w:tcW w:w="7620" w:type="dxa"/>
            <w:shd w:val="clear" w:color="auto" w:fill="D9D9D9"/>
          </w:tcPr>
          <w:p w14:paraId="359C4F87"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szCs w:val="24"/>
              </w:rPr>
              <w:t>Препратки към законодателни актове и указания</w:t>
            </w:r>
          </w:p>
        </w:tc>
      </w:tr>
      <w:tr w:rsidR="001B665C" w:rsidRPr="009C4695" w14:paraId="3E0C8BA0" w14:textId="77777777">
        <w:tc>
          <w:tcPr>
            <w:tcW w:w="1129" w:type="dxa"/>
          </w:tcPr>
          <w:p w14:paraId="4B18DEBA"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bCs/>
                <w:szCs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42559B8" w14:textId="77777777" w:rsidR="001B665C" w:rsidRPr="009C4695" w:rsidRDefault="009C4695">
            <w:pPr>
              <w:spacing w:after="120" w:line="240" w:lineRule="auto"/>
              <w:jc w:val="both"/>
              <w:rPr>
                <w:rFonts w:ascii="Times New Roman" w:eastAsia="Times New Roman" w:hAnsi="Times New Roman" w:cs="Times New Roman"/>
                <w:b/>
                <w:bCs/>
                <w:szCs w:val="24"/>
                <w:u w:val="single"/>
              </w:rPr>
            </w:pPr>
            <w:r w:rsidRPr="009C4695">
              <w:rPr>
                <w:rFonts w:ascii="Times New Roman" w:hAnsi="Times New Roman"/>
                <w:b/>
                <w:bCs/>
                <w:szCs w:val="24"/>
                <w:u w:val="single"/>
              </w:rPr>
              <w:t>Дневен поток на трансакциите — сделки с парични разплащания</w:t>
            </w:r>
          </w:p>
          <w:p w14:paraId="77EF9AA4"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bCs/>
              </w:rPr>
              <w:t xml:space="preserve">Средната стойност на </w:t>
            </w:r>
            <w:r w:rsidRPr="009C4695">
              <w:rPr>
                <w:rFonts w:ascii="Times New Roman" w:hAnsi="Times New Roman"/>
                <w:bCs/>
              </w:rPr>
              <w:t>общия дневен поток на трансакциите (парична стойност), определена съгласно член 33, параграф 2, буква а) от Регламент (ЕС) 2019/2033, за съответния месец, както е посочено в член 33, параграф 1 от Регламент (ЕС) 2019/2033.</w:t>
            </w:r>
          </w:p>
        </w:tc>
      </w:tr>
      <w:tr w:rsidR="001B665C" w:rsidRPr="009C4695" w14:paraId="37AF04F8" w14:textId="77777777">
        <w:tc>
          <w:tcPr>
            <w:tcW w:w="1129" w:type="dxa"/>
          </w:tcPr>
          <w:p w14:paraId="02555152"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bCs/>
                <w:szCs w:val="24"/>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E1D6240" w14:textId="77777777" w:rsidR="001B665C" w:rsidRPr="009C4695" w:rsidRDefault="009C4695">
            <w:pPr>
              <w:spacing w:after="120" w:line="240" w:lineRule="auto"/>
              <w:jc w:val="both"/>
              <w:rPr>
                <w:rFonts w:ascii="Times New Roman" w:eastAsia="Times New Roman" w:hAnsi="Times New Roman" w:cs="Times New Roman"/>
                <w:b/>
                <w:bCs/>
                <w:szCs w:val="24"/>
                <w:u w:val="single"/>
              </w:rPr>
            </w:pPr>
            <w:r w:rsidRPr="009C4695">
              <w:rPr>
                <w:rFonts w:ascii="Times New Roman" w:hAnsi="Times New Roman"/>
                <w:b/>
                <w:bCs/>
                <w:szCs w:val="24"/>
                <w:u w:val="single"/>
              </w:rPr>
              <w:t xml:space="preserve">Дневен поток на </w:t>
            </w:r>
            <w:r w:rsidRPr="009C4695">
              <w:rPr>
                <w:rFonts w:ascii="Times New Roman" w:hAnsi="Times New Roman"/>
                <w:b/>
                <w:bCs/>
                <w:szCs w:val="24"/>
                <w:u w:val="single"/>
              </w:rPr>
              <w:t>трансакциите — сделки с деривати</w:t>
            </w:r>
          </w:p>
          <w:p w14:paraId="684EF237" w14:textId="77777777" w:rsidR="001B665C" w:rsidRPr="009C4695" w:rsidRDefault="009C4695">
            <w:pPr>
              <w:spacing w:after="120" w:line="240" w:lineRule="auto"/>
              <w:jc w:val="both"/>
              <w:rPr>
                <w:rFonts w:ascii="Times New Roman" w:eastAsia="Times New Roman" w:hAnsi="Times New Roman" w:cs="Times New Roman"/>
                <w:bCs/>
                <w:szCs w:val="24"/>
                <w:u w:val="single"/>
              </w:rPr>
            </w:pPr>
            <w:r w:rsidRPr="009C4695">
              <w:rPr>
                <w:rFonts w:ascii="Times New Roman" w:hAnsi="Times New Roman"/>
                <w:bCs/>
              </w:rPr>
              <w:t>Средната стойност на общия дневен поток на трансакциите (сделки с деривати), определена съгласно член 33, параграф 2, буква б) от Регламент (ЕС) 2019/2033, за съответния месец, както е посочено в член 33, параграф 1 от Регл</w:t>
            </w:r>
            <w:r w:rsidRPr="009C4695">
              <w:rPr>
                <w:rFonts w:ascii="Times New Roman" w:hAnsi="Times New Roman"/>
                <w:bCs/>
              </w:rPr>
              <w:t>амент (ЕС) 2019/2033.</w:t>
            </w:r>
          </w:p>
        </w:tc>
      </w:tr>
    </w:tbl>
    <w:p w14:paraId="505E6187" w14:textId="77777777" w:rsidR="001B665C" w:rsidRPr="009C4695" w:rsidRDefault="001B665C">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665C" w:rsidRPr="009C4695" w14:paraId="69939EA4" w14:textId="77777777">
        <w:tc>
          <w:tcPr>
            <w:tcW w:w="1129" w:type="dxa"/>
            <w:shd w:val="clear" w:color="auto" w:fill="D9D9D9"/>
          </w:tcPr>
          <w:p w14:paraId="4FD0642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Колони</w:t>
            </w:r>
          </w:p>
        </w:tc>
        <w:tc>
          <w:tcPr>
            <w:tcW w:w="7620" w:type="dxa"/>
            <w:shd w:val="clear" w:color="auto" w:fill="D9D9D9"/>
          </w:tcPr>
          <w:p w14:paraId="089F7D3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Препратки към законодателни актове и указания</w:t>
            </w:r>
          </w:p>
        </w:tc>
      </w:tr>
      <w:tr w:rsidR="001B665C" w:rsidRPr="009C4695" w14:paraId="2BE3CD01" w14:textId="77777777">
        <w:tc>
          <w:tcPr>
            <w:tcW w:w="1129" w:type="dxa"/>
          </w:tcPr>
          <w:p w14:paraId="5F39D67D"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0010-0080</w:t>
            </w:r>
          </w:p>
        </w:tc>
        <w:tc>
          <w:tcPr>
            <w:tcW w:w="7620" w:type="dxa"/>
          </w:tcPr>
          <w:p w14:paraId="48E65C3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
                <w:bCs/>
                <w:u w:val="single"/>
              </w:rPr>
              <w:t>Средномесечни стойности на общите дневни потоци на трансакциите</w:t>
            </w:r>
          </w:p>
          <w:p w14:paraId="486D8067"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Инвестиционните посредници докладват в съответната колона за всеки месец средномесечната </w:t>
            </w:r>
            <w:r w:rsidRPr="009C4695">
              <w:rPr>
                <w:rFonts w:ascii="Times New Roman" w:hAnsi="Times New Roman"/>
                <w:bCs/>
              </w:rPr>
              <w:t>стойност на общите дневни потоци на трансакциите в рамките на всеки работен ден съгласно член 33, параграф 1 от Регламент (ЕС) 2019/2033.</w:t>
            </w:r>
          </w:p>
        </w:tc>
      </w:tr>
    </w:tbl>
    <w:p w14:paraId="5D3C742E" w14:textId="77777777" w:rsidR="001B665C" w:rsidRPr="009C4695" w:rsidRDefault="001B665C">
      <w:pPr>
        <w:rPr>
          <w:rFonts w:ascii="Times New Roman" w:eastAsia="Arial" w:hAnsi="Times New Roman" w:cs="Times New Roman"/>
          <w:sz w:val="24"/>
          <w:szCs w:val="24"/>
          <w:u w:val="single"/>
        </w:rPr>
      </w:pPr>
    </w:p>
    <w:p w14:paraId="7341FA39" w14:textId="77777777" w:rsidR="001B665C" w:rsidRPr="009C4695" w:rsidRDefault="009C4695">
      <w:pPr>
        <w:pStyle w:val="Instructionsberschrift2"/>
        <w:ind w:left="357" w:hanging="357"/>
        <w:rPr>
          <w:rFonts w:ascii="Times New Roman" w:hAnsi="Times New Roman" w:cs="Times New Roman"/>
          <w:b/>
          <w:sz w:val="24"/>
        </w:rPr>
      </w:pPr>
      <w:bookmarkStart w:id="82" w:name="_Toc88218349"/>
      <w:r w:rsidRPr="009C4695">
        <w:rPr>
          <w:rFonts w:ascii="Times New Roman" w:hAnsi="Times New Roman"/>
          <w:b/>
          <w:sz w:val="24"/>
        </w:rPr>
        <w:t>4. ДОКЛАДВАНЕ НА РИСКА ОТ КОНЦЕНТРАЦИЯ</w:t>
      </w:r>
      <w:bookmarkEnd w:id="82"/>
    </w:p>
    <w:p w14:paraId="45296407" w14:textId="77777777" w:rsidR="001B665C" w:rsidRPr="009C4695" w:rsidRDefault="009C4695">
      <w:pPr>
        <w:pStyle w:val="Instructionsberschrift2"/>
        <w:ind w:left="357" w:hanging="357"/>
        <w:rPr>
          <w:rFonts w:ascii="Times New Roman" w:hAnsi="Times New Roman" w:cs="Times New Roman"/>
          <w:sz w:val="24"/>
        </w:rPr>
      </w:pPr>
      <w:bookmarkStart w:id="83" w:name="_Toc88218350"/>
      <w:r w:rsidRPr="009C4695">
        <w:rPr>
          <w:rFonts w:ascii="Times New Roman" w:hAnsi="Times New Roman"/>
          <w:sz w:val="24"/>
        </w:rPr>
        <w:t>4.1.</w:t>
      </w:r>
      <w:r w:rsidRPr="009C4695">
        <w:rPr>
          <w:rFonts w:ascii="Times New Roman" w:hAnsi="Times New Roman"/>
          <w:sz w:val="24"/>
        </w:rPr>
        <w:t xml:space="preserve"> Общи положения</w:t>
      </w:r>
      <w:bookmarkEnd w:id="83"/>
    </w:p>
    <w:p w14:paraId="5FEF3C2E" w14:textId="77777777" w:rsidR="001B665C" w:rsidRPr="009C4695" w:rsidRDefault="009C4695">
      <w:pPr>
        <w:spacing w:line="256" w:lineRule="auto"/>
        <w:ind w:left="993" w:hanging="567"/>
        <w:jc w:val="both"/>
        <w:rPr>
          <w:rFonts w:ascii="Times New Roman" w:hAnsi="Times New Roman" w:cs="Times New Roman"/>
          <w:sz w:val="24"/>
        </w:rPr>
      </w:pPr>
      <w:r w:rsidRPr="009C4695">
        <w:rPr>
          <w:rFonts w:ascii="Times New Roman" w:hAnsi="Times New Roman" w:cs="Times New Roman"/>
          <w:sz w:val="24"/>
        </w:rPr>
        <w:t>16.</w:t>
      </w:r>
      <w:r w:rsidRPr="009C4695">
        <w:rPr>
          <w:rFonts w:ascii="Times New Roman" w:hAnsi="Times New Roman" w:cs="Times New Roman"/>
          <w:sz w:val="24"/>
        </w:rPr>
        <w:tab/>
      </w:r>
      <w:r w:rsidRPr="009C4695">
        <w:rPr>
          <w:rFonts w:ascii="Times New Roman" w:hAnsi="Times New Roman"/>
          <w:sz w:val="24"/>
        </w:rPr>
        <w:t>Докладването на риска от концентрация включва информация за рисковете от концентрация, на които инвестиционният посредник е изложен чрез позициите си в търговския си портфейл поради неизпълнение от страна на контрагентите. В резултат на това се изчислява К</w:t>
      </w:r>
      <w:r w:rsidRPr="009C4695">
        <w:rPr>
          <w:rFonts w:ascii="Times New Roman" w:hAnsi="Times New Roman"/>
          <w:sz w:val="24"/>
        </w:rPr>
        <w:t xml:space="preserve">-фактор за риска от концентрация — допълнително капиталово изискване, което се налага поради експозициите в счетоводния баланс на инвестиционния посредник. </w:t>
      </w:r>
      <w:r w:rsidRPr="009C4695">
        <w:rPr>
          <w:rFonts w:ascii="Times New Roman" w:hAnsi="Times New Roman"/>
        </w:rPr>
        <w:t>Това е в съответствие с определението за „риск от концентрация“ в член 4, параграф 1, точка 31 от Ре</w:t>
      </w:r>
      <w:r w:rsidRPr="009C4695">
        <w:rPr>
          <w:rFonts w:ascii="Times New Roman" w:hAnsi="Times New Roman"/>
        </w:rPr>
        <w:t xml:space="preserve">гламент (ЕС) 2019/2033, което гласи: </w:t>
      </w:r>
      <w:r w:rsidRPr="009C4695">
        <w:rPr>
          <w:rFonts w:ascii="Times New Roman" w:hAnsi="Times New Roman"/>
          <w:sz w:val="24"/>
        </w:rPr>
        <w:t>„риск от концентрация“ означава експозициите в търговския портфейл на инвестиционен посредник към клиент или група свързани клиенти, чиято стойност надвишава границите, посочени в член 37, параграф 1.</w:t>
      </w:r>
    </w:p>
    <w:p w14:paraId="77E4902B" w14:textId="77777777" w:rsidR="001B665C" w:rsidRPr="009C4695" w:rsidRDefault="009C4695">
      <w:pPr>
        <w:spacing w:line="256" w:lineRule="auto"/>
        <w:ind w:left="993" w:hanging="567"/>
        <w:jc w:val="both"/>
        <w:rPr>
          <w:rFonts w:ascii="Times New Roman" w:hAnsi="Times New Roman" w:cs="Times New Roman"/>
          <w:sz w:val="24"/>
        </w:rPr>
      </w:pPr>
      <w:r w:rsidRPr="009C4695">
        <w:rPr>
          <w:rFonts w:ascii="Times New Roman" w:hAnsi="Times New Roman" w:cs="Times New Roman"/>
          <w:sz w:val="24"/>
        </w:rPr>
        <w:t>17.</w:t>
      </w:r>
      <w:r w:rsidRPr="009C4695">
        <w:rPr>
          <w:rFonts w:ascii="Times New Roman" w:hAnsi="Times New Roman" w:cs="Times New Roman"/>
          <w:sz w:val="24"/>
        </w:rPr>
        <w:tab/>
      </w:r>
      <w:r w:rsidRPr="009C4695">
        <w:rPr>
          <w:rFonts w:ascii="Times New Roman" w:hAnsi="Times New Roman"/>
          <w:sz w:val="24"/>
        </w:rPr>
        <w:t>Докладването н</w:t>
      </w:r>
      <w:r w:rsidRPr="009C4695">
        <w:rPr>
          <w:rFonts w:ascii="Times New Roman" w:hAnsi="Times New Roman"/>
          <w:sz w:val="24"/>
        </w:rPr>
        <w:t>а риска от концентрация включва и информация за следното:</w:t>
      </w:r>
    </w:p>
    <w:p w14:paraId="167BAB33" w14:textId="77777777" w:rsidR="001B665C" w:rsidRPr="009C4695" w:rsidRDefault="009C4695">
      <w:pPr>
        <w:spacing w:after="0" w:line="276" w:lineRule="auto"/>
        <w:ind w:left="2160" w:hanging="180"/>
        <w:jc w:val="both"/>
        <w:rPr>
          <w:rFonts w:ascii="Times New Roman" w:hAnsi="Times New Roman" w:cs="Times New Roman"/>
          <w:sz w:val="24"/>
        </w:rPr>
      </w:pPr>
      <w:r w:rsidRPr="009C4695">
        <w:rPr>
          <w:rFonts w:ascii="Times New Roman" w:hAnsi="Times New Roman" w:cs="Times New Roman"/>
          <w:sz w:val="24"/>
        </w:rPr>
        <w:t>i.</w:t>
      </w:r>
      <w:r w:rsidRPr="009C4695">
        <w:rPr>
          <w:rFonts w:ascii="Times New Roman" w:hAnsi="Times New Roman" w:cs="Times New Roman"/>
          <w:sz w:val="24"/>
        </w:rPr>
        <w:tab/>
      </w:r>
      <w:r w:rsidRPr="009C4695">
        <w:rPr>
          <w:rFonts w:ascii="Times New Roman" w:hAnsi="Times New Roman"/>
          <w:sz w:val="24"/>
        </w:rPr>
        <w:t>Парични средства на клиенти</w:t>
      </w:r>
    </w:p>
    <w:p w14:paraId="21637475" w14:textId="77777777" w:rsidR="001B665C" w:rsidRPr="009C4695" w:rsidRDefault="009C4695">
      <w:pPr>
        <w:spacing w:after="0" w:line="276" w:lineRule="auto"/>
        <w:ind w:left="2160" w:hanging="180"/>
        <w:jc w:val="both"/>
        <w:rPr>
          <w:rFonts w:ascii="Times New Roman" w:hAnsi="Times New Roman" w:cs="Times New Roman"/>
          <w:sz w:val="24"/>
        </w:rPr>
      </w:pPr>
      <w:r w:rsidRPr="009C4695">
        <w:rPr>
          <w:rFonts w:ascii="Times New Roman" w:hAnsi="Times New Roman" w:cs="Times New Roman"/>
          <w:sz w:val="24"/>
        </w:rPr>
        <w:t>ii.</w:t>
      </w:r>
      <w:r w:rsidRPr="009C4695">
        <w:rPr>
          <w:rFonts w:ascii="Times New Roman" w:hAnsi="Times New Roman" w:cs="Times New Roman"/>
          <w:sz w:val="24"/>
        </w:rPr>
        <w:tab/>
      </w:r>
      <w:r w:rsidRPr="009C4695">
        <w:rPr>
          <w:rFonts w:ascii="Times New Roman" w:hAnsi="Times New Roman"/>
          <w:sz w:val="24"/>
        </w:rPr>
        <w:t>Активи на клиенти</w:t>
      </w:r>
    </w:p>
    <w:p w14:paraId="7F77776E" w14:textId="77777777" w:rsidR="001B665C" w:rsidRPr="009C4695" w:rsidRDefault="009C4695">
      <w:pPr>
        <w:spacing w:after="0" w:line="276" w:lineRule="auto"/>
        <w:ind w:left="2160" w:hanging="180"/>
        <w:jc w:val="both"/>
        <w:rPr>
          <w:rFonts w:ascii="Times New Roman" w:hAnsi="Times New Roman" w:cs="Times New Roman"/>
          <w:sz w:val="24"/>
        </w:rPr>
      </w:pPr>
      <w:r w:rsidRPr="009C4695">
        <w:rPr>
          <w:rFonts w:ascii="Times New Roman" w:hAnsi="Times New Roman" w:cs="Times New Roman"/>
          <w:sz w:val="24"/>
        </w:rPr>
        <w:t>iii.</w:t>
      </w:r>
      <w:r w:rsidRPr="009C4695">
        <w:rPr>
          <w:rFonts w:ascii="Times New Roman" w:hAnsi="Times New Roman" w:cs="Times New Roman"/>
          <w:sz w:val="24"/>
        </w:rPr>
        <w:tab/>
      </w:r>
      <w:r w:rsidRPr="009C4695">
        <w:rPr>
          <w:rFonts w:ascii="Times New Roman" w:hAnsi="Times New Roman"/>
          <w:sz w:val="24"/>
        </w:rPr>
        <w:t>Собствени парични средства на инвестиционния посредник</w:t>
      </w:r>
    </w:p>
    <w:p w14:paraId="252DA961" w14:textId="77777777" w:rsidR="001B665C" w:rsidRPr="009C4695" w:rsidRDefault="009C4695">
      <w:pPr>
        <w:spacing w:after="0" w:line="276" w:lineRule="auto"/>
        <w:ind w:left="2160" w:hanging="180"/>
        <w:jc w:val="both"/>
        <w:rPr>
          <w:rFonts w:ascii="Times New Roman" w:hAnsi="Times New Roman" w:cs="Times New Roman"/>
          <w:sz w:val="24"/>
        </w:rPr>
      </w:pPr>
      <w:r w:rsidRPr="009C4695">
        <w:rPr>
          <w:rFonts w:ascii="Times New Roman" w:hAnsi="Times New Roman" w:cs="Times New Roman"/>
          <w:sz w:val="24"/>
        </w:rPr>
        <w:t>iv.</w:t>
      </w:r>
      <w:r w:rsidRPr="009C4695">
        <w:rPr>
          <w:rFonts w:ascii="Times New Roman" w:hAnsi="Times New Roman" w:cs="Times New Roman"/>
          <w:sz w:val="24"/>
        </w:rPr>
        <w:tab/>
      </w:r>
      <w:r w:rsidRPr="009C4695">
        <w:rPr>
          <w:rFonts w:ascii="Times New Roman" w:hAnsi="Times New Roman"/>
          <w:sz w:val="24"/>
        </w:rPr>
        <w:t>Печалба от клиенти</w:t>
      </w:r>
    </w:p>
    <w:p w14:paraId="63C7AFCC" w14:textId="77777777" w:rsidR="001B665C" w:rsidRPr="009C4695" w:rsidRDefault="009C4695">
      <w:pPr>
        <w:spacing w:after="0" w:line="276" w:lineRule="auto"/>
        <w:ind w:left="2160" w:hanging="180"/>
        <w:jc w:val="both"/>
        <w:rPr>
          <w:rFonts w:ascii="Times New Roman" w:hAnsi="Times New Roman" w:cs="Times New Roman"/>
          <w:sz w:val="24"/>
        </w:rPr>
      </w:pPr>
      <w:r w:rsidRPr="009C4695">
        <w:rPr>
          <w:rFonts w:ascii="Times New Roman" w:hAnsi="Times New Roman" w:cs="Times New Roman"/>
          <w:sz w:val="24"/>
        </w:rPr>
        <w:t>v.</w:t>
      </w:r>
      <w:r w:rsidRPr="009C4695">
        <w:rPr>
          <w:rFonts w:ascii="Times New Roman" w:hAnsi="Times New Roman" w:cs="Times New Roman"/>
          <w:sz w:val="24"/>
        </w:rPr>
        <w:tab/>
      </w:r>
      <w:r w:rsidRPr="009C4695">
        <w:rPr>
          <w:rFonts w:ascii="Times New Roman" w:hAnsi="Times New Roman"/>
          <w:sz w:val="24"/>
        </w:rPr>
        <w:t>Позиции в търговския портфейл</w:t>
      </w:r>
    </w:p>
    <w:p w14:paraId="7EB022D6" w14:textId="77777777" w:rsidR="001B665C" w:rsidRPr="009C4695" w:rsidRDefault="009C4695">
      <w:pPr>
        <w:spacing w:after="0" w:line="276" w:lineRule="auto"/>
        <w:ind w:left="2160" w:hanging="180"/>
        <w:jc w:val="both"/>
        <w:rPr>
          <w:rFonts w:ascii="Times New Roman" w:hAnsi="Times New Roman" w:cs="Times New Roman"/>
          <w:sz w:val="24"/>
        </w:rPr>
      </w:pPr>
      <w:r w:rsidRPr="009C4695">
        <w:rPr>
          <w:rFonts w:ascii="Times New Roman" w:hAnsi="Times New Roman" w:cs="Times New Roman"/>
          <w:sz w:val="24"/>
        </w:rPr>
        <w:t>vi.</w:t>
      </w:r>
      <w:r w:rsidRPr="009C4695">
        <w:rPr>
          <w:rFonts w:ascii="Times New Roman" w:hAnsi="Times New Roman" w:cs="Times New Roman"/>
          <w:sz w:val="24"/>
        </w:rPr>
        <w:tab/>
      </w:r>
      <w:r w:rsidRPr="009C4695">
        <w:rPr>
          <w:rFonts w:ascii="Times New Roman" w:hAnsi="Times New Roman"/>
          <w:sz w:val="24"/>
        </w:rPr>
        <w:t>Експозиции, изчислени при</w:t>
      </w:r>
      <w:r w:rsidRPr="009C4695">
        <w:rPr>
          <w:rFonts w:ascii="Times New Roman" w:hAnsi="Times New Roman"/>
          <w:sz w:val="24"/>
        </w:rPr>
        <w:t xml:space="preserve"> отчитане на активи и задбалансови позиции, които не са вписани в търговския портфейл.</w:t>
      </w:r>
    </w:p>
    <w:p w14:paraId="46356401" w14:textId="77777777" w:rsidR="001B665C" w:rsidRPr="009C4695" w:rsidRDefault="009C4695">
      <w:pPr>
        <w:spacing w:line="256" w:lineRule="auto"/>
        <w:ind w:left="993" w:hanging="567"/>
        <w:jc w:val="both"/>
        <w:rPr>
          <w:rFonts w:ascii="Times New Roman" w:hAnsi="Times New Roman" w:cs="Times New Roman"/>
          <w:sz w:val="24"/>
        </w:rPr>
      </w:pPr>
      <w:r w:rsidRPr="009C4695">
        <w:rPr>
          <w:rFonts w:ascii="Times New Roman" w:hAnsi="Times New Roman" w:cs="Times New Roman"/>
          <w:sz w:val="24"/>
        </w:rPr>
        <w:t>18.</w:t>
      </w:r>
      <w:r w:rsidRPr="009C4695">
        <w:rPr>
          <w:rFonts w:ascii="Times New Roman" w:hAnsi="Times New Roman" w:cs="Times New Roman"/>
          <w:sz w:val="24"/>
        </w:rPr>
        <w:tab/>
      </w:r>
      <w:r w:rsidRPr="009C4695">
        <w:rPr>
          <w:rFonts w:ascii="Times New Roman" w:hAnsi="Times New Roman"/>
          <w:sz w:val="24"/>
        </w:rPr>
        <w:t xml:space="preserve">Въпреки че текстът на член 54, параграф 2 </w:t>
      </w:r>
      <w:r w:rsidRPr="009C4695">
        <w:rPr>
          <w:rFonts w:ascii="Times New Roman" w:hAnsi="Times New Roman"/>
          <w:bCs/>
        </w:rPr>
        <w:t xml:space="preserve">от </w:t>
      </w:r>
      <w:r w:rsidRPr="009C4695">
        <w:rPr>
          <w:rFonts w:ascii="Times New Roman" w:hAnsi="Times New Roman"/>
          <w:sz w:val="24"/>
        </w:rPr>
        <w:t>Регламент (ЕС) 2019/2033 също се отнася до „риска от концентрация“, определението на това понятие, съдържащо се в член 4</w:t>
      </w:r>
      <w:r w:rsidRPr="009C4695">
        <w:rPr>
          <w:rFonts w:ascii="Times New Roman" w:hAnsi="Times New Roman"/>
          <w:sz w:val="24"/>
        </w:rPr>
        <w:t xml:space="preserve">, параграф 1, точка 31 </w:t>
      </w:r>
      <w:r w:rsidRPr="009C4695">
        <w:rPr>
          <w:rFonts w:ascii="Times New Roman" w:hAnsi="Times New Roman"/>
          <w:bCs/>
        </w:rPr>
        <w:t xml:space="preserve">от </w:t>
      </w:r>
      <w:r w:rsidRPr="009C4695">
        <w:rPr>
          <w:rFonts w:ascii="Times New Roman" w:hAnsi="Times New Roman"/>
          <w:sz w:val="24"/>
        </w:rPr>
        <w:t xml:space="preserve">Регламент (ЕС) 2019/2033, и границите, посочени в член 37, параграф 1 </w:t>
      </w:r>
      <w:r w:rsidRPr="009C4695">
        <w:rPr>
          <w:rFonts w:ascii="Times New Roman" w:hAnsi="Times New Roman"/>
          <w:bCs/>
        </w:rPr>
        <w:t xml:space="preserve">от </w:t>
      </w:r>
      <w:r w:rsidRPr="009C4695">
        <w:rPr>
          <w:rFonts w:ascii="Times New Roman" w:hAnsi="Times New Roman"/>
          <w:sz w:val="24"/>
        </w:rPr>
        <w:t xml:space="preserve">Регламент (ЕС) 2019/2033, не са съвместими с елементите, изброени в член 54, параграф 2, букви б)— д), </w:t>
      </w:r>
      <w:r w:rsidRPr="009C4695">
        <w:rPr>
          <w:rFonts w:ascii="Times New Roman" w:hAnsi="Times New Roman"/>
          <w:bCs/>
        </w:rPr>
        <w:t xml:space="preserve">от </w:t>
      </w:r>
      <w:r w:rsidRPr="009C4695">
        <w:rPr>
          <w:rFonts w:ascii="Times New Roman" w:hAnsi="Times New Roman"/>
          <w:sz w:val="24"/>
        </w:rPr>
        <w:t>Регламент (ЕС) 2019/2033. Поради това изискването з</w:t>
      </w:r>
      <w:r w:rsidRPr="009C4695">
        <w:rPr>
          <w:rFonts w:ascii="Times New Roman" w:hAnsi="Times New Roman"/>
          <w:sz w:val="24"/>
        </w:rPr>
        <w:t>а докладване е съсредоточено върху петте най-големи позиции, ако има такива, по отношение на всеки от елементите i)—vi) от параграф 19, които се държат в определена институция, клиент или друг субект или може да бъдат отнесени към тях. Това докладване позв</w:t>
      </w:r>
      <w:r w:rsidRPr="009C4695">
        <w:rPr>
          <w:rFonts w:ascii="Times New Roman" w:hAnsi="Times New Roman"/>
          <w:sz w:val="24"/>
        </w:rPr>
        <w:t>олява на компетентните органи да разберат по-добре рисковете, които може да възникнат за инвестиционните посредници във връзка с тези елементи.</w:t>
      </w:r>
    </w:p>
    <w:p w14:paraId="094A425F" w14:textId="77777777" w:rsidR="001B665C" w:rsidRPr="009C4695" w:rsidRDefault="009C4695">
      <w:pPr>
        <w:spacing w:line="256" w:lineRule="auto"/>
        <w:ind w:left="993" w:hanging="567"/>
        <w:jc w:val="both"/>
        <w:rPr>
          <w:rFonts w:ascii="Times New Roman" w:hAnsi="Times New Roman" w:cs="Times New Roman"/>
          <w:sz w:val="24"/>
        </w:rPr>
      </w:pPr>
      <w:r w:rsidRPr="009C4695">
        <w:rPr>
          <w:rFonts w:ascii="Times New Roman" w:hAnsi="Times New Roman" w:cs="Times New Roman"/>
          <w:sz w:val="24"/>
        </w:rPr>
        <w:t>19.</w:t>
      </w:r>
      <w:r w:rsidRPr="009C4695">
        <w:rPr>
          <w:rFonts w:ascii="Times New Roman" w:hAnsi="Times New Roman" w:cs="Times New Roman"/>
          <w:sz w:val="24"/>
        </w:rPr>
        <w:tab/>
      </w:r>
      <w:r w:rsidRPr="009C4695">
        <w:rPr>
          <w:rFonts w:ascii="Times New Roman" w:hAnsi="Times New Roman"/>
          <w:sz w:val="24"/>
        </w:rPr>
        <w:t xml:space="preserve">Докладването на риска от концентрация се извършва чрез образци I </w:t>
      </w:r>
      <w:r w:rsidRPr="009C4695">
        <w:rPr>
          <w:rFonts w:ascii="Times New Roman" w:hAnsi="Times New Roman"/>
          <w:sz w:val="24"/>
        </w:rPr>
        <w:t>07.00</w:t>
      </w:r>
      <w:r w:rsidRPr="009C4695">
        <w:rPr>
          <w:rFonts w:ascii="Times New Roman" w:hAnsi="Times New Roman"/>
          <w:sz w:val="24"/>
        </w:rPr>
        <w:t xml:space="preserve"> и I </w:t>
      </w:r>
      <w:r w:rsidRPr="009C4695">
        <w:rPr>
          <w:rFonts w:ascii="Times New Roman" w:hAnsi="Times New Roman"/>
          <w:sz w:val="24"/>
        </w:rPr>
        <w:t>08.00</w:t>
      </w:r>
      <w:r w:rsidRPr="009C4695">
        <w:rPr>
          <w:rFonts w:ascii="Times New Roman" w:hAnsi="Times New Roman"/>
          <w:sz w:val="24"/>
        </w:rPr>
        <w:t xml:space="preserve">, а в съответствие с член 54, параграф 2 от Регламент (ЕС) 2019/2033 дружествата, които отговарят на условията за малки и невзаимосвързани инвестиционни посредници, определени </w:t>
      </w:r>
      <w:r w:rsidRPr="009C4695">
        <w:rPr>
          <w:rFonts w:ascii="Times New Roman" w:hAnsi="Times New Roman"/>
          <w:sz w:val="24"/>
        </w:rPr>
        <w:t>в член 12, параграф 1 от Регламент (ЕС) 2019/2033, не са длъжни да докладват информация в това отношение.</w:t>
      </w:r>
    </w:p>
    <w:p w14:paraId="00E0FF59" w14:textId="77777777" w:rsidR="001B665C" w:rsidRPr="009C4695" w:rsidRDefault="009C4695">
      <w:pPr>
        <w:pStyle w:val="Instructionsberschrift2"/>
        <w:ind w:left="0"/>
        <w:rPr>
          <w:rFonts w:ascii="Times New Roman" w:hAnsi="Times New Roman" w:cs="Times New Roman"/>
          <w:sz w:val="24"/>
        </w:rPr>
      </w:pPr>
      <w:bookmarkStart w:id="84" w:name="_Toc88218351"/>
      <w:r w:rsidRPr="009C4695">
        <w:rPr>
          <w:rFonts w:ascii="Times New Roman" w:hAnsi="Times New Roman"/>
          <w:sz w:val="24"/>
        </w:rPr>
        <w:t>4.2.</w:t>
      </w:r>
      <w:r w:rsidRPr="009C4695">
        <w:rPr>
          <w:rFonts w:ascii="Times New Roman" w:hAnsi="Times New Roman"/>
          <w:sz w:val="24"/>
        </w:rPr>
        <w:t xml:space="preserve"> I </w:t>
      </w:r>
      <w:r w:rsidRPr="009C4695">
        <w:rPr>
          <w:rFonts w:ascii="Times New Roman" w:hAnsi="Times New Roman"/>
          <w:sz w:val="24"/>
        </w:rPr>
        <w:t>07.00</w:t>
      </w:r>
      <w:r w:rsidRPr="009C4695">
        <w:rPr>
          <w:rFonts w:ascii="Times New Roman" w:hAnsi="Times New Roman"/>
          <w:sz w:val="24"/>
        </w:rPr>
        <w:t xml:space="preserve"> — K-ФАКТОР ЗА РИСКА ОТ КОНЦЕНТРАЦИЯ — ДОПЪЛНИТЕЛНА ИНФОРМАЦИЯ (I7)</w:t>
      </w:r>
      <w:bookmarkEnd w:id="84"/>
    </w:p>
    <w:p w14:paraId="52B09BB9" w14:textId="77777777" w:rsidR="001B665C" w:rsidRPr="009C4695" w:rsidRDefault="009C4695">
      <w:pPr>
        <w:pStyle w:val="Instructionsberschrift2"/>
        <w:ind w:left="0"/>
        <w:rPr>
          <w:rFonts w:ascii="Times New Roman" w:hAnsi="Times New Roman" w:cs="Times New Roman"/>
        </w:rPr>
      </w:pPr>
      <w:bookmarkStart w:id="85" w:name="_Toc88218352"/>
      <w:r w:rsidRPr="009C4695">
        <w:rPr>
          <w:rFonts w:ascii="Times New Roman" w:hAnsi="Times New Roman"/>
          <w:sz w:val="24"/>
          <w:u w:val="none"/>
        </w:rPr>
        <w:t>4.2.1.</w:t>
      </w:r>
      <w:r w:rsidRPr="009C4695">
        <w:rPr>
          <w:rFonts w:ascii="Times New Roman" w:hAnsi="Times New Roman"/>
          <w:sz w:val="24"/>
          <w:u w:val="none"/>
        </w:rPr>
        <w:tab/>
      </w:r>
      <w:r w:rsidRPr="009C4695">
        <w:rPr>
          <w:rFonts w:ascii="Times New Roman" w:hAnsi="Times New Roman"/>
          <w:sz w:val="24"/>
        </w:rPr>
        <w:t>Указания относно определени позиции</w:t>
      </w:r>
      <w:bookmarkEnd w:id="8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1B665C" w:rsidRPr="009C4695" w14:paraId="2EFFB1A0" w14:textId="77777777">
        <w:tc>
          <w:tcPr>
            <w:tcW w:w="1389" w:type="dxa"/>
            <w:shd w:val="clear" w:color="auto" w:fill="D9D9D9"/>
          </w:tcPr>
          <w:p w14:paraId="5C52F05B"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Колони</w:t>
            </w:r>
          </w:p>
        </w:tc>
        <w:tc>
          <w:tcPr>
            <w:tcW w:w="7620" w:type="dxa"/>
            <w:shd w:val="clear" w:color="auto" w:fill="D9D9D9"/>
          </w:tcPr>
          <w:p w14:paraId="74DBCACB"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Препратки към законо</w:t>
            </w:r>
            <w:r w:rsidRPr="009C4695">
              <w:rPr>
                <w:rFonts w:ascii="Times New Roman" w:hAnsi="Times New Roman"/>
              </w:rPr>
              <w:t>дателни актове и указания</w:t>
            </w:r>
          </w:p>
        </w:tc>
      </w:tr>
      <w:tr w:rsidR="001B665C" w:rsidRPr="009C4695" w14:paraId="24B685CF" w14:textId="77777777">
        <w:tc>
          <w:tcPr>
            <w:tcW w:w="1389" w:type="dxa"/>
          </w:tcPr>
          <w:p w14:paraId="224E25E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0010-0060</w:t>
            </w:r>
          </w:p>
        </w:tc>
        <w:tc>
          <w:tcPr>
            <w:tcW w:w="7620" w:type="dxa"/>
          </w:tcPr>
          <w:p w14:paraId="2B112CDE"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Идентификационен код на контрагента</w:t>
            </w:r>
          </w:p>
          <w:p w14:paraId="4CF31697"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Инвестиционният посредник докладва идентификационните данни на контрагентите или групата от свързани клиенти, към които те имат експозиция, превишаваща границите, посочени в член </w:t>
            </w:r>
            <w:r w:rsidRPr="009C4695">
              <w:rPr>
                <w:rFonts w:ascii="Times New Roman" w:hAnsi="Times New Roman"/>
                <w:bCs/>
              </w:rPr>
              <w:t>37, параграф 1 от Регламент (ЕС) 2019/2033.</w:t>
            </w:r>
          </w:p>
        </w:tc>
      </w:tr>
      <w:tr w:rsidR="001B665C" w:rsidRPr="009C4695" w14:paraId="2B0FAF98" w14:textId="77777777">
        <w:tc>
          <w:tcPr>
            <w:tcW w:w="1389" w:type="dxa"/>
          </w:tcPr>
          <w:p w14:paraId="09381FB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w:t>
            </w:r>
          </w:p>
        </w:tc>
        <w:tc>
          <w:tcPr>
            <w:tcW w:w="7620" w:type="dxa"/>
          </w:tcPr>
          <w:p w14:paraId="49251D7F" w14:textId="77777777" w:rsidR="001B665C" w:rsidRPr="009C4695" w:rsidRDefault="009C4695">
            <w:pPr>
              <w:pStyle w:val="InstructionsText"/>
              <w:rPr>
                <w:rStyle w:val="InstructionsTabelleberschrift"/>
                <w:rFonts w:ascii="Times New Roman" w:hAnsi="Times New Roman"/>
                <w:sz w:val="22"/>
                <w:szCs w:val="22"/>
              </w:rPr>
            </w:pPr>
            <w:r w:rsidRPr="009C4695">
              <w:rPr>
                <w:rStyle w:val="InstructionsTabelleberschrift"/>
                <w:rFonts w:ascii="Times New Roman" w:hAnsi="Times New Roman"/>
                <w:sz w:val="22"/>
                <w:szCs w:val="22"/>
              </w:rPr>
              <w:t>Код</w:t>
            </w:r>
          </w:p>
          <w:p w14:paraId="2FE97A90"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Style w:val="FormatvorlageInstructionsTabelleText"/>
                <w:rFonts w:ascii="Times New Roman" w:hAnsi="Times New Roman"/>
                <w:sz w:val="22"/>
              </w:rPr>
              <w:t xml:space="preserve">Кодът като част от идентификатора на реда трябва да бъде индивидуален за всеки субект, за който се отнася докладваната информация. За инвестиционните посредници и застрахователните </w:t>
            </w:r>
            <w:r w:rsidRPr="009C4695">
              <w:rPr>
                <w:rStyle w:val="FormatvorlageInstructionsTabelleText"/>
                <w:rFonts w:ascii="Times New Roman" w:hAnsi="Times New Roman"/>
                <w:sz w:val="22"/>
              </w:rPr>
              <w:t>предприятия кодът е ИКПС. За останалите субекти кодът е ИКПС или, ако няма такъв, национален код. Кодът е индивидуален и се използва последователно във всички образци и във времето. Полето с кода трябва винаги да бъде попълнено.</w:t>
            </w:r>
          </w:p>
        </w:tc>
      </w:tr>
      <w:tr w:rsidR="001B665C" w:rsidRPr="009C4695" w14:paraId="4D47BAC9" w14:textId="77777777">
        <w:tc>
          <w:tcPr>
            <w:tcW w:w="1389" w:type="dxa"/>
          </w:tcPr>
          <w:p w14:paraId="13D0266D"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0020</w:t>
            </w:r>
          </w:p>
        </w:tc>
        <w:tc>
          <w:tcPr>
            <w:tcW w:w="7620" w:type="dxa"/>
          </w:tcPr>
          <w:p w14:paraId="335ECCA9" w14:textId="77777777" w:rsidR="001B665C" w:rsidRPr="009C4695" w:rsidRDefault="009C4695">
            <w:pPr>
              <w:pStyle w:val="InstructionsText"/>
              <w:rPr>
                <w:rStyle w:val="InstructionsTabelleberschrift"/>
                <w:rFonts w:ascii="Times New Roman" w:hAnsi="Times New Roman"/>
                <w:sz w:val="22"/>
                <w:szCs w:val="22"/>
              </w:rPr>
            </w:pPr>
            <w:r w:rsidRPr="009C4695">
              <w:rPr>
                <w:rStyle w:val="InstructionsTabelleberschrift"/>
                <w:rFonts w:ascii="Times New Roman" w:hAnsi="Times New Roman"/>
                <w:sz w:val="22"/>
                <w:szCs w:val="22"/>
              </w:rPr>
              <w:t>Вид на кода</w:t>
            </w:r>
          </w:p>
          <w:p w14:paraId="56DE378D"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Инвестици</w:t>
            </w:r>
            <w:r w:rsidRPr="009C4695">
              <w:rPr>
                <w:rFonts w:ascii="Times New Roman" w:hAnsi="Times New Roman"/>
                <w:bCs/>
              </w:rPr>
              <w:t>онните посредници посочват вида код, който са посочили в колона 0010 като „ИКПС“ или „Национален код“.</w:t>
            </w:r>
          </w:p>
          <w:p w14:paraId="2605F2FE"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Видът на кода винаги се посочва.</w:t>
            </w:r>
          </w:p>
        </w:tc>
      </w:tr>
      <w:tr w:rsidR="001B665C" w:rsidRPr="009C4695" w14:paraId="2813CAA8" w14:textId="77777777">
        <w:tc>
          <w:tcPr>
            <w:tcW w:w="1389" w:type="dxa"/>
          </w:tcPr>
          <w:p w14:paraId="53D599EB"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0030</w:t>
            </w:r>
          </w:p>
        </w:tc>
        <w:tc>
          <w:tcPr>
            <w:tcW w:w="7620" w:type="dxa"/>
          </w:tcPr>
          <w:p w14:paraId="447EB199"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Наименование</w:t>
            </w:r>
          </w:p>
          <w:p w14:paraId="4B7023A2"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Когато се посочва група от свързани клиенти, наименованието трябва да съответства на наименованието н</w:t>
            </w:r>
            <w:r w:rsidRPr="009C4695">
              <w:rPr>
                <w:rFonts w:ascii="Times New Roman" w:hAnsi="Times New Roman"/>
              </w:rPr>
              <w:t>а дружеството майка. Във всички останали случаи наименованието трябва да съответства на отделния контрагент.</w:t>
            </w:r>
          </w:p>
        </w:tc>
      </w:tr>
      <w:tr w:rsidR="001B665C" w:rsidRPr="009C4695" w14:paraId="399D3AFF" w14:textId="77777777">
        <w:tc>
          <w:tcPr>
            <w:tcW w:w="1389" w:type="dxa"/>
          </w:tcPr>
          <w:p w14:paraId="1A52497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0040</w:t>
            </w:r>
          </w:p>
        </w:tc>
        <w:tc>
          <w:tcPr>
            <w:tcW w:w="7620" w:type="dxa"/>
          </w:tcPr>
          <w:p w14:paraId="61D99ADF"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Група/отделно лице</w:t>
            </w:r>
          </w:p>
          <w:p w14:paraId="741736C6"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rPr>
              <w:t>Инвестиционният посредник докладва „1“ за експозициите към клиенти, които са отделни лица, или „2“ за експозициите към гру</w:t>
            </w:r>
            <w:r w:rsidRPr="009C4695">
              <w:rPr>
                <w:rFonts w:ascii="Times New Roman" w:hAnsi="Times New Roman"/>
              </w:rPr>
              <w:t>пи от свързани клиенти.</w:t>
            </w:r>
          </w:p>
        </w:tc>
      </w:tr>
      <w:tr w:rsidR="001B665C" w:rsidRPr="009C4695" w14:paraId="616E0DE1" w14:textId="77777777">
        <w:tc>
          <w:tcPr>
            <w:tcW w:w="1389" w:type="dxa"/>
          </w:tcPr>
          <w:p w14:paraId="5FED263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0050</w:t>
            </w:r>
          </w:p>
        </w:tc>
        <w:tc>
          <w:tcPr>
            <w:tcW w:w="7620" w:type="dxa"/>
          </w:tcPr>
          <w:p w14:paraId="27E02D87"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Вид контрагент</w:t>
            </w:r>
          </w:p>
          <w:p w14:paraId="5E3F5F32"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Инвестиционният посредник докладва информация за всяка експозиция, ако е свързана със:</w:t>
            </w:r>
          </w:p>
          <w:p w14:paraId="4033E21F"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1. кредитна институция или група от свързани клиенти, която включва кредитна институция;</w:t>
            </w:r>
          </w:p>
          <w:p w14:paraId="21769AC0"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2. инвестиционен посредник или </w:t>
            </w:r>
            <w:r w:rsidRPr="009C4695">
              <w:rPr>
                <w:rFonts w:ascii="Times New Roman" w:hAnsi="Times New Roman"/>
                <w:bCs/>
              </w:rPr>
              <w:t>група от свързани клиенти, която включва инвестиционен посредник;</w:t>
            </w:r>
          </w:p>
          <w:p w14:paraId="5E1B894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3. субекти, различни от кредитни институции или инвестиционни посредници или група от свързани клиенти, която включва инвестиционен посредник или институция</w:t>
            </w:r>
          </w:p>
        </w:tc>
      </w:tr>
      <w:tr w:rsidR="001B665C" w:rsidRPr="009C4695" w14:paraId="23179F2F" w14:textId="77777777">
        <w:tc>
          <w:tcPr>
            <w:tcW w:w="1389" w:type="dxa"/>
          </w:tcPr>
          <w:p w14:paraId="56176D91"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0060-0110</w:t>
            </w:r>
          </w:p>
        </w:tc>
        <w:tc>
          <w:tcPr>
            <w:tcW w:w="7620" w:type="dxa"/>
          </w:tcPr>
          <w:p w14:paraId="5BD3450A"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rPr>
              <w:t>Експозиции в търговски</w:t>
            </w:r>
            <w:r w:rsidRPr="009C4695">
              <w:rPr>
                <w:rFonts w:ascii="Times New Roman" w:hAnsi="Times New Roman"/>
                <w:b/>
                <w:bCs/>
              </w:rPr>
              <w:t>я портфейл, превишаващи границите, определени в член 37, параграф 1 от Регламент (ЕС) 2019/2033</w:t>
            </w:r>
          </w:p>
          <w:p w14:paraId="530C8A04"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Инвестиционният посредник докладва информация за всяка експозиция, превишаваща границите, посочени в член 37, параграф 1 от Регламент (ЕС) 2019/2033, в съответс</w:t>
            </w:r>
            <w:r w:rsidRPr="009C4695">
              <w:rPr>
                <w:rFonts w:ascii="Times New Roman" w:hAnsi="Times New Roman"/>
                <w:bCs/>
              </w:rPr>
              <w:t>твие с членове 36 и 39 от Регламент (ЕС) 2019/2033.</w:t>
            </w:r>
          </w:p>
        </w:tc>
      </w:tr>
      <w:tr w:rsidR="001B665C" w:rsidRPr="009C4695" w14:paraId="05756AA4" w14:textId="77777777">
        <w:tc>
          <w:tcPr>
            <w:tcW w:w="1389" w:type="dxa"/>
          </w:tcPr>
          <w:p w14:paraId="5C429ED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0060</w:t>
            </w:r>
          </w:p>
        </w:tc>
        <w:tc>
          <w:tcPr>
            <w:tcW w:w="7620" w:type="dxa"/>
          </w:tcPr>
          <w:p w14:paraId="02D4BD55"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Стойност на експозицията</w:t>
            </w:r>
          </w:p>
          <w:p w14:paraId="367018D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36 от Регламент (ЕС) 2019/2033.</w:t>
            </w:r>
          </w:p>
        </w:tc>
      </w:tr>
      <w:tr w:rsidR="001B665C" w:rsidRPr="009C4695" w14:paraId="66549C27" w14:textId="77777777">
        <w:tc>
          <w:tcPr>
            <w:tcW w:w="1389" w:type="dxa"/>
          </w:tcPr>
          <w:p w14:paraId="0488D61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0070</w:t>
            </w:r>
          </w:p>
        </w:tc>
        <w:tc>
          <w:tcPr>
            <w:tcW w:w="7620" w:type="dxa"/>
          </w:tcPr>
          <w:p w14:paraId="108A1942"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Стойност на експозицията (като % от собствения капитал)</w:t>
            </w:r>
          </w:p>
          <w:p w14:paraId="1CF7B7D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Експозиция, изчислена в съответствие с член 36 от Регламент (ЕС) </w:t>
            </w:r>
            <w:r w:rsidRPr="009C4695">
              <w:rPr>
                <w:rFonts w:ascii="Times New Roman" w:hAnsi="Times New Roman"/>
                <w:bCs/>
              </w:rPr>
              <w:t>2019/2033 и изразена като процент от собствения капитал на инвестиционния посредник.</w:t>
            </w:r>
          </w:p>
        </w:tc>
      </w:tr>
      <w:tr w:rsidR="001B665C" w:rsidRPr="009C4695" w14:paraId="38DB8640" w14:textId="77777777">
        <w:tc>
          <w:tcPr>
            <w:tcW w:w="1389" w:type="dxa"/>
          </w:tcPr>
          <w:p w14:paraId="56F7775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0080</w:t>
            </w:r>
          </w:p>
        </w:tc>
        <w:tc>
          <w:tcPr>
            <w:tcW w:w="7620" w:type="dxa"/>
          </w:tcPr>
          <w:p w14:paraId="6EA9D8AF"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Капиталово изискване за общата експозиция</w:t>
            </w:r>
          </w:p>
          <w:p w14:paraId="04EAA57E" w14:textId="77777777" w:rsidR="001B665C" w:rsidRPr="009C4695" w:rsidRDefault="009C4695">
            <w:pPr>
              <w:autoSpaceDE w:val="0"/>
              <w:autoSpaceDN w:val="0"/>
              <w:adjustRightInd w:val="0"/>
              <w:spacing w:after="120" w:line="240" w:lineRule="auto"/>
              <w:rPr>
                <w:rFonts w:ascii="Times New Roman" w:eastAsia="Times New Roman" w:hAnsi="Times New Roman" w:cs="Times New Roman"/>
                <w:bCs/>
              </w:rPr>
            </w:pPr>
            <w:r w:rsidRPr="009C4695">
              <w:rPr>
                <w:rFonts w:ascii="Times New Roman" w:hAnsi="Times New Roman"/>
              </w:rPr>
              <w:t xml:space="preserve">Капиталово изискване за общата експозиция към отделния контрагент или групата от свързани клиенти, изчислено като </w:t>
            </w:r>
            <w:r w:rsidRPr="009C4695">
              <w:rPr>
                <w:rFonts w:ascii="Times New Roman" w:hAnsi="Times New Roman"/>
              </w:rPr>
              <w:t>общия размер на K-фактора за неизпълнение на контрагент по сделка и изискването за специфичен риск във основа на К-фактора за риск във връзка с нетните позиции за съответната експозиция.</w:t>
            </w:r>
          </w:p>
        </w:tc>
      </w:tr>
      <w:tr w:rsidR="001B665C" w:rsidRPr="009C4695" w14:paraId="4690A8F3" w14:textId="77777777">
        <w:tc>
          <w:tcPr>
            <w:tcW w:w="1389" w:type="dxa"/>
          </w:tcPr>
          <w:p w14:paraId="58BA16E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0090</w:t>
            </w:r>
          </w:p>
        </w:tc>
        <w:tc>
          <w:tcPr>
            <w:tcW w:w="7620" w:type="dxa"/>
          </w:tcPr>
          <w:p w14:paraId="760E351F"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Превишение на стойността на експозицията</w:t>
            </w:r>
          </w:p>
          <w:p w14:paraId="1A18DAD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Стойност, изчислена в </w:t>
            </w:r>
            <w:r w:rsidRPr="009C4695">
              <w:rPr>
                <w:rFonts w:ascii="Times New Roman" w:hAnsi="Times New Roman"/>
                <w:bCs/>
              </w:rPr>
              <w:t>съответствие с член 37, параграф 2, втора алинея от Регламент (ЕС) 2019/2033 за съответната експозиция.</w:t>
            </w:r>
          </w:p>
        </w:tc>
      </w:tr>
      <w:tr w:rsidR="001B665C" w:rsidRPr="009C4695" w14:paraId="55A032AC" w14:textId="77777777">
        <w:tc>
          <w:tcPr>
            <w:tcW w:w="1389" w:type="dxa"/>
          </w:tcPr>
          <w:p w14:paraId="36AE3E41"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0100</w:t>
            </w:r>
          </w:p>
        </w:tc>
        <w:tc>
          <w:tcPr>
            <w:tcW w:w="7620" w:type="dxa"/>
          </w:tcPr>
          <w:p w14:paraId="5597247F"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Продължителност на превишението (в дни)</w:t>
            </w:r>
          </w:p>
          <w:p w14:paraId="225FF0A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Брой дни, изминали от първото възникване на превишението на експозицията.</w:t>
            </w:r>
          </w:p>
        </w:tc>
      </w:tr>
      <w:tr w:rsidR="001B665C" w:rsidRPr="009C4695" w14:paraId="3E6896F7" w14:textId="77777777">
        <w:tc>
          <w:tcPr>
            <w:tcW w:w="1389" w:type="dxa"/>
          </w:tcPr>
          <w:p w14:paraId="7DC4E1E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0110</w:t>
            </w:r>
          </w:p>
        </w:tc>
        <w:tc>
          <w:tcPr>
            <w:tcW w:w="7620" w:type="dxa"/>
          </w:tcPr>
          <w:p w14:paraId="051C1B17"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К-фактор за риска от конце</w:t>
            </w:r>
            <w:r w:rsidRPr="009C4695">
              <w:rPr>
                <w:rFonts w:ascii="Times New Roman" w:hAnsi="Times New Roman"/>
                <w:b/>
                <w:bCs/>
                <w:u w:val="single"/>
              </w:rPr>
              <w:t>нтрация — капиталово изискване за превишението (OFRE)</w:t>
            </w:r>
          </w:p>
          <w:p w14:paraId="2247FAAE"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Стойност, изчислена в съответствие с член 39, параграф 2 от Регламент (ЕС) 2019/2033 за съответната експозиция.</w:t>
            </w:r>
          </w:p>
        </w:tc>
      </w:tr>
    </w:tbl>
    <w:p w14:paraId="4D744C95" w14:textId="77777777" w:rsidR="001B665C" w:rsidRPr="009C4695" w:rsidRDefault="009C4695">
      <w:pPr>
        <w:pStyle w:val="Instructionsberschrift2"/>
        <w:ind w:left="357" w:hanging="357"/>
        <w:rPr>
          <w:rFonts w:ascii="Times New Roman" w:hAnsi="Times New Roman" w:cs="Times New Roman"/>
          <w:sz w:val="24"/>
        </w:rPr>
      </w:pPr>
      <w:bookmarkStart w:id="86" w:name="_Toc88218353"/>
      <w:r w:rsidRPr="009C4695">
        <w:rPr>
          <w:rFonts w:ascii="Times New Roman" w:hAnsi="Times New Roman"/>
          <w:sz w:val="24"/>
        </w:rPr>
        <w:t>4.3.</w:t>
      </w:r>
      <w:r w:rsidRPr="009C4695">
        <w:rPr>
          <w:rFonts w:ascii="Times New Roman" w:hAnsi="Times New Roman"/>
          <w:sz w:val="24"/>
        </w:rPr>
        <w:t xml:space="preserve"> I </w:t>
      </w:r>
      <w:r w:rsidRPr="009C4695">
        <w:rPr>
          <w:rFonts w:ascii="Times New Roman" w:hAnsi="Times New Roman"/>
          <w:sz w:val="24"/>
        </w:rPr>
        <w:t>08.01</w:t>
      </w:r>
      <w:r w:rsidRPr="009C4695">
        <w:rPr>
          <w:rFonts w:ascii="Times New Roman" w:hAnsi="Times New Roman"/>
          <w:sz w:val="24"/>
        </w:rPr>
        <w:t xml:space="preserve"> — РАВНИЩЕ НА РИСКА ОТ КОНЦЕНТРАЦИЯ — ДЪРЖАНИ ПАРИЧНИ СРЕДСТВА НА КЛИЕНТИ (I </w:t>
      </w:r>
      <w:r w:rsidRPr="009C4695">
        <w:rPr>
          <w:rFonts w:ascii="Times New Roman" w:hAnsi="Times New Roman"/>
          <w:sz w:val="24"/>
        </w:rPr>
        <w:t>8.1</w:t>
      </w:r>
      <w:r w:rsidRPr="009C4695">
        <w:rPr>
          <w:rFonts w:ascii="Times New Roman" w:hAnsi="Times New Roman"/>
          <w:sz w:val="24"/>
        </w:rPr>
        <w:t>)</w:t>
      </w:r>
      <w:bookmarkEnd w:id="86"/>
    </w:p>
    <w:p w14:paraId="01AADB95" w14:textId="77777777" w:rsidR="001B665C" w:rsidRPr="009C4695" w:rsidRDefault="009C4695">
      <w:pPr>
        <w:pStyle w:val="Instructionsberschrift2"/>
        <w:ind w:left="357" w:hanging="357"/>
        <w:rPr>
          <w:rFonts w:ascii="Times New Roman" w:hAnsi="Times New Roman" w:cs="Times New Roman"/>
          <w:sz w:val="24"/>
          <w:u w:val="none"/>
        </w:rPr>
      </w:pPr>
      <w:bookmarkStart w:id="87" w:name="_Toc88218354"/>
      <w:r w:rsidRPr="009C4695">
        <w:rPr>
          <w:rFonts w:ascii="Times New Roman" w:hAnsi="Times New Roman"/>
          <w:sz w:val="24"/>
          <w:u w:val="none"/>
        </w:rPr>
        <w:t>4.3.1.</w:t>
      </w:r>
      <w:r w:rsidRPr="009C4695">
        <w:rPr>
          <w:rFonts w:ascii="Times New Roman" w:hAnsi="Times New Roman"/>
          <w:sz w:val="24"/>
          <w:u w:val="none"/>
        </w:rPr>
        <w:tab/>
      </w:r>
      <w:r w:rsidRPr="009C4695">
        <w:rPr>
          <w:rFonts w:ascii="Times New Roman" w:hAnsi="Times New Roman"/>
          <w:sz w:val="24"/>
        </w:rPr>
        <w:t>Указания относно определени колони</w:t>
      </w:r>
      <w:bookmarkEnd w:id="87"/>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1B665C" w:rsidRPr="009C4695" w14:paraId="6AC2A418" w14:textId="77777777">
        <w:tc>
          <w:tcPr>
            <w:tcW w:w="1389" w:type="dxa"/>
            <w:shd w:val="clear" w:color="auto" w:fill="D9D9D9"/>
          </w:tcPr>
          <w:p w14:paraId="12B68261"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szCs w:val="24"/>
              </w:rPr>
              <w:t>Колони</w:t>
            </w:r>
          </w:p>
        </w:tc>
        <w:tc>
          <w:tcPr>
            <w:tcW w:w="7620" w:type="dxa"/>
            <w:shd w:val="clear" w:color="auto" w:fill="D9D9D9"/>
          </w:tcPr>
          <w:p w14:paraId="7EB46CE6"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szCs w:val="24"/>
              </w:rPr>
              <w:t>Препратки към законодателни актове и указания</w:t>
            </w:r>
          </w:p>
        </w:tc>
      </w:tr>
      <w:tr w:rsidR="001B665C" w:rsidRPr="009C4695" w14:paraId="113FE6E7" w14:textId="77777777">
        <w:tc>
          <w:tcPr>
            <w:tcW w:w="1389" w:type="dxa"/>
          </w:tcPr>
          <w:p w14:paraId="481E2654"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bCs/>
                <w:szCs w:val="24"/>
              </w:rPr>
              <w:t>0010-0060</w:t>
            </w:r>
          </w:p>
        </w:tc>
        <w:tc>
          <w:tcPr>
            <w:tcW w:w="7620" w:type="dxa"/>
          </w:tcPr>
          <w:p w14:paraId="47B136C9" w14:textId="77777777" w:rsidR="001B665C" w:rsidRPr="009C4695" w:rsidRDefault="009C4695">
            <w:pPr>
              <w:spacing w:after="120" w:line="240" w:lineRule="auto"/>
              <w:jc w:val="both"/>
              <w:rPr>
                <w:rFonts w:ascii="Times New Roman" w:eastAsia="Times New Roman" w:hAnsi="Times New Roman" w:cs="Times New Roman"/>
                <w:b/>
                <w:bCs/>
                <w:szCs w:val="24"/>
                <w:u w:val="single"/>
              </w:rPr>
            </w:pPr>
            <w:r w:rsidRPr="009C4695">
              <w:rPr>
                <w:rFonts w:ascii="Times New Roman" w:hAnsi="Times New Roman"/>
                <w:b/>
                <w:bCs/>
                <w:szCs w:val="24"/>
                <w:u w:val="single"/>
              </w:rPr>
              <w:t>Общо държани парични средства на клиенти</w:t>
            </w:r>
          </w:p>
          <w:p w14:paraId="748FA7CA"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bCs/>
              </w:rPr>
              <w:t>Член 54, параграф 2, буква б) от Регламент (ЕС) 2019/2033.</w:t>
            </w:r>
          </w:p>
          <w:p w14:paraId="4624EA5E"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bCs/>
                <w:szCs w:val="24"/>
              </w:rPr>
              <w:t xml:space="preserve">Инвестиционният посредник докладва идентификационните данни на петимата контрагенти, ако има такива, или група от свързани контрагенти, в които се държат най-големите суми парични средства на клиенти. </w:t>
            </w:r>
          </w:p>
        </w:tc>
      </w:tr>
      <w:tr w:rsidR="001B665C" w:rsidRPr="009C4695" w14:paraId="110926A4" w14:textId="77777777">
        <w:tc>
          <w:tcPr>
            <w:tcW w:w="1389" w:type="dxa"/>
          </w:tcPr>
          <w:p w14:paraId="5B89DBB9"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bCs/>
                <w:szCs w:val="24"/>
              </w:rPr>
              <w:t>0010</w:t>
            </w:r>
          </w:p>
        </w:tc>
        <w:tc>
          <w:tcPr>
            <w:tcW w:w="7620" w:type="dxa"/>
          </w:tcPr>
          <w:p w14:paraId="52BF1DB3" w14:textId="77777777" w:rsidR="001B665C" w:rsidRPr="009C4695" w:rsidRDefault="009C4695">
            <w:pPr>
              <w:pStyle w:val="InstructionsText"/>
              <w:rPr>
                <w:rStyle w:val="InstructionsTabelleberschrift"/>
                <w:rFonts w:ascii="Times New Roman" w:hAnsi="Times New Roman"/>
                <w:sz w:val="22"/>
              </w:rPr>
            </w:pPr>
            <w:r w:rsidRPr="009C4695">
              <w:rPr>
                <w:rStyle w:val="InstructionsTabelleberschrift"/>
                <w:rFonts w:ascii="Times New Roman" w:hAnsi="Times New Roman"/>
                <w:sz w:val="22"/>
              </w:rPr>
              <w:t>Код</w:t>
            </w:r>
          </w:p>
          <w:p w14:paraId="08E33F89" w14:textId="77777777" w:rsidR="001B665C" w:rsidRPr="009C4695" w:rsidRDefault="009C4695">
            <w:pPr>
              <w:spacing w:after="120" w:line="240" w:lineRule="auto"/>
              <w:jc w:val="both"/>
              <w:rPr>
                <w:rFonts w:ascii="Times New Roman" w:eastAsia="Times New Roman" w:hAnsi="Times New Roman" w:cs="Times New Roman"/>
                <w:b/>
                <w:bCs/>
                <w:szCs w:val="24"/>
                <w:u w:val="single"/>
              </w:rPr>
            </w:pPr>
            <w:r w:rsidRPr="009C4695">
              <w:rPr>
                <w:rStyle w:val="FormatvorlageInstructionsTabelleText"/>
                <w:rFonts w:ascii="Times New Roman" w:hAnsi="Times New Roman"/>
                <w:sz w:val="22"/>
                <w:szCs w:val="24"/>
              </w:rPr>
              <w:t xml:space="preserve">Кодът като част от </w:t>
            </w:r>
            <w:r w:rsidRPr="009C4695">
              <w:rPr>
                <w:rStyle w:val="FormatvorlageInstructionsTabelleText"/>
                <w:rFonts w:ascii="Times New Roman" w:hAnsi="Times New Roman"/>
                <w:sz w:val="22"/>
                <w:szCs w:val="24"/>
              </w:rPr>
              <w:t>идентификатора на реда трябва да бъде индивидуален за всеки субект, за който се отнася докладваната информация. За инвестиционните посредници и застрахователните предприятия кодът е ИКПС. За останалите субекти кодът е ИКПС или, ако няма такъв, национален к</w:t>
            </w:r>
            <w:r w:rsidRPr="009C4695">
              <w:rPr>
                <w:rStyle w:val="FormatvorlageInstructionsTabelleText"/>
                <w:rFonts w:ascii="Times New Roman" w:hAnsi="Times New Roman"/>
                <w:sz w:val="22"/>
                <w:szCs w:val="24"/>
              </w:rPr>
              <w:t>од. Кодът е индивидуален и се използва последователно във всички образци и във времето. Полето с кода трябва винаги да бъде попълнено.</w:t>
            </w:r>
          </w:p>
        </w:tc>
      </w:tr>
      <w:tr w:rsidR="001B665C" w:rsidRPr="009C4695" w14:paraId="69AF9275" w14:textId="77777777">
        <w:tc>
          <w:tcPr>
            <w:tcW w:w="1389" w:type="dxa"/>
          </w:tcPr>
          <w:p w14:paraId="271C1A13"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bCs/>
                <w:szCs w:val="24"/>
              </w:rPr>
              <w:t>0020</w:t>
            </w:r>
          </w:p>
        </w:tc>
        <w:tc>
          <w:tcPr>
            <w:tcW w:w="7620" w:type="dxa"/>
          </w:tcPr>
          <w:p w14:paraId="7C212317" w14:textId="77777777" w:rsidR="001B665C" w:rsidRPr="009C4695" w:rsidRDefault="009C4695">
            <w:pPr>
              <w:pStyle w:val="InstructionsText"/>
              <w:rPr>
                <w:rStyle w:val="InstructionsTabelleberschrift"/>
                <w:rFonts w:ascii="Times New Roman" w:hAnsi="Times New Roman"/>
                <w:sz w:val="22"/>
              </w:rPr>
            </w:pPr>
            <w:r w:rsidRPr="009C4695">
              <w:rPr>
                <w:rStyle w:val="InstructionsTabelleberschrift"/>
                <w:rFonts w:ascii="Times New Roman" w:hAnsi="Times New Roman"/>
                <w:sz w:val="22"/>
              </w:rPr>
              <w:t>Вид на кода</w:t>
            </w:r>
          </w:p>
          <w:p w14:paraId="1E4C218B"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bCs/>
                <w:szCs w:val="24"/>
              </w:rPr>
              <w:t>Инвестиционните посредници посочват вида код, който са посочили в колона 0010 като „ИКПС“ или „Национал</w:t>
            </w:r>
            <w:r w:rsidRPr="009C4695">
              <w:rPr>
                <w:rFonts w:ascii="Times New Roman" w:hAnsi="Times New Roman"/>
                <w:bCs/>
                <w:szCs w:val="24"/>
              </w:rPr>
              <w:t>ен код“.</w:t>
            </w:r>
          </w:p>
        </w:tc>
      </w:tr>
      <w:tr w:rsidR="001B665C" w:rsidRPr="009C4695" w14:paraId="23D77B68" w14:textId="77777777">
        <w:tc>
          <w:tcPr>
            <w:tcW w:w="1389" w:type="dxa"/>
          </w:tcPr>
          <w:p w14:paraId="0F927EDA"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bCs/>
                <w:szCs w:val="24"/>
              </w:rPr>
              <w:t>0030</w:t>
            </w:r>
          </w:p>
        </w:tc>
        <w:tc>
          <w:tcPr>
            <w:tcW w:w="7620" w:type="dxa"/>
          </w:tcPr>
          <w:p w14:paraId="02193DB4" w14:textId="77777777" w:rsidR="001B665C" w:rsidRPr="009C4695" w:rsidRDefault="009C4695">
            <w:pPr>
              <w:spacing w:after="120" w:line="240" w:lineRule="auto"/>
              <w:jc w:val="both"/>
              <w:rPr>
                <w:rFonts w:ascii="Times New Roman" w:eastAsia="Times New Roman" w:hAnsi="Times New Roman" w:cs="Times New Roman"/>
                <w:b/>
                <w:bCs/>
                <w:szCs w:val="24"/>
                <w:u w:val="single"/>
              </w:rPr>
            </w:pPr>
            <w:r w:rsidRPr="009C4695">
              <w:rPr>
                <w:rFonts w:ascii="Times New Roman" w:hAnsi="Times New Roman"/>
                <w:b/>
                <w:bCs/>
                <w:szCs w:val="24"/>
                <w:u w:val="single"/>
              </w:rPr>
              <w:t>Наименование</w:t>
            </w:r>
          </w:p>
          <w:p w14:paraId="1D60C0F7" w14:textId="77777777" w:rsidR="001B665C" w:rsidRPr="009C4695" w:rsidRDefault="009C4695">
            <w:pPr>
              <w:pStyle w:val="Default"/>
              <w:spacing w:after="120"/>
              <w:jc w:val="both"/>
              <w:rPr>
                <w:sz w:val="22"/>
                <w:szCs w:val="23"/>
              </w:rPr>
            </w:pPr>
            <w:r w:rsidRPr="009C4695">
              <w:rPr>
                <w:sz w:val="22"/>
                <w:szCs w:val="23"/>
              </w:rPr>
              <w:t xml:space="preserve">Когато се посочва група от свързани контрагенти, наименованието трябва да съответства на наименованието на дружеството майка. Във всички останали случаи наименованието трябва да съответства на отделния контрагент. </w:t>
            </w:r>
          </w:p>
        </w:tc>
      </w:tr>
      <w:tr w:rsidR="001B665C" w:rsidRPr="009C4695" w14:paraId="75063EE1" w14:textId="77777777">
        <w:tc>
          <w:tcPr>
            <w:tcW w:w="1389" w:type="dxa"/>
          </w:tcPr>
          <w:p w14:paraId="1CA60DB0"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bCs/>
                <w:szCs w:val="24"/>
              </w:rPr>
              <w:t>0040</w:t>
            </w:r>
          </w:p>
        </w:tc>
        <w:tc>
          <w:tcPr>
            <w:tcW w:w="7620" w:type="dxa"/>
          </w:tcPr>
          <w:p w14:paraId="2967E8AA" w14:textId="77777777" w:rsidR="001B665C" w:rsidRPr="009C4695" w:rsidRDefault="009C4695">
            <w:pPr>
              <w:spacing w:after="120" w:line="240" w:lineRule="auto"/>
              <w:jc w:val="both"/>
              <w:rPr>
                <w:rFonts w:ascii="Times New Roman" w:eastAsia="Times New Roman" w:hAnsi="Times New Roman" w:cs="Times New Roman"/>
                <w:b/>
                <w:bCs/>
                <w:szCs w:val="24"/>
                <w:u w:val="single"/>
              </w:rPr>
            </w:pPr>
            <w:r w:rsidRPr="009C4695">
              <w:rPr>
                <w:rFonts w:ascii="Times New Roman" w:hAnsi="Times New Roman"/>
                <w:b/>
                <w:bCs/>
                <w:szCs w:val="24"/>
                <w:u w:val="single"/>
              </w:rPr>
              <w:t>Група/о</w:t>
            </w:r>
            <w:r w:rsidRPr="009C4695">
              <w:rPr>
                <w:rFonts w:ascii="Times New Roman" w:hAnsi="Times New Roman"/>
                <w:b/>
                <w:bCs/>
                <w:szCs w:val="24"/>
                <w:u w:val="single"/>
              </w:rPr>
              <w:t>тделно лице</w:t>
            </w:r>
          </w:p>
          <w:p w14:paraId="12557F6D" w14:textId="77777777" w:rsidR="001B665C" w:rsidRPr="009C4695" w:rsidRDefault="009C4695">
            <w:pPr>
              <w:pStyle w:val="Default"/>
              <w:jc w:val="both"/>
              <w:rPr>
                <w:sz w:val="22"/>
              </w:rPr>
            </w:pPr>
            <w:r w:rsidRPr="009C4695">
              <w:rPr>
                <w:sz w:val="22"/>
                <w:szCs w:val="23"/>
              </w:rPr>
              <w:t xml:space="preserve">Инвестиционният посредник докладва „1“ за експозициите към клиенти, които са отделни лица, или „2“ за експозициите към групи от свързани клиенти. </w:t>
            </w:r>
          </w:p>
        </w:tc>
      </w:tr>
      <w:tr w:rsidR="001B665C" w:rsidRPr="009C4695" w14:paraId="67F382B7" w14:textId="77777777">
        <w:tc>
          <w:tcPr>
            <w:tcW w:w="1389" w:type="dxa"/>
          </w:tcPr>
          <w:p w14:paraId="0BA7261E"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bCs/>
                <w:szCs w:val="24"/>
              </w:rPr>
              <w:t>0050</w:t>
            </w:r>
          </w:p>
        </w:tc>
        <w:tc>
          <w:tcPr>
            <w:tcW w:w="7620" w:type="dxa"/>
          </w:tcPr>
          <w:p w14:paraId="266E016D" w14:textId="77777777" w:rsidR="001B665C" w:rsidRPr="009C4695" w:rsidRDefault="009C4695">
            <w:pPr>
              <w:spacing w:after="120" w:line="240" w:lineRule="auto"/>
              <w:jc w:val="both"/>
              <w:rPr>
                <w:rFonts w:ascii="Times New Roman" w:eastAsia="Times New Roman" w:hAnsi="Times New Roman" w:cs="Times New Roman"/>
                <w:b/>
                <w:bCs/>
                <w:szCs w:val="24"/>
                <w:u w:val="single"/>
              </w:rPr>
            </w:pPr>
            <w:r w:rsidRPr="009C4695">
              <w:rPr>
                <w:rFonts w:ascii="Times New Roman" w:hAnsi="Times New Roman"/>
                <w:b/>
                <w:bCs/>
                <w:szCs w:val="24"/>
                <w:u w:val="single"/>
              </w:rPr>
              <w:t>Общо държани парични средства на клиенти към датата, към която се съставя докладът</w:t>
            </w:r>
          </w:p>
          <w:p w14:paraId="653972BC"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bCs/>
                <w:szCs w:val="24"/>
              </w:rPr>
              <w:t>Инвестиционният посредник докладва общия размер на паричните средства на клиентите към датата, към която се съставя докладът.</w:t>
            </w:r>
          </w:p>
        </w:tc>
      </w:tr>
      <w:tr w:rsidR="001B665C" w:rsidRPr="009C4695" w14:paraId="39E193C9" w14:textId="77777777">
        <w:tc>
          <w:tcPr>
            <w:tcW w:w="1389" w:type="dxa"/>
          </w:tcPr>
          <w:p w14:paraId="03EAA051"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bCs/>
                <w:szCs w:val="24"/>
              </w:rPr>
              <w:t>0060</w:t>
            </w:r>
          </w:p>
        </w:tc>
        <w:tc>
          <w:tcPr>
            <w:tcW w:w="7620" w:type="dxa"/>
          </w:tcPr>
          <w:p w14:paraId="5B15043D" w14:textId="77777777" w:rsidR="001B665C" w:rsidRPr="009C4695" w:rsidRDefault="009C4695">
            <w:pPr>
              <w:spacing w:after="120" w:line="240" w:lineRule="auto"/>
              <w:jc w:val="both"/>
              <w:rPr>
                <w:rFonts w:ascii="Times New Roman" w:eastAsia="Times New Roman" w:hAnsi="Times New Roman" w:cs="Times New Roman"/>
                <w:b/>
                <w:bCs/>
                <w:szCs w:val="24"/>
                <w:u w:val="single"/>
              </w:rPr>
            </w:pPr>
            <w:r w:rsidRPr="009C4695">
              <w:rPr>
                <w:rFonts w:ascii="Times New Roman" w:hAnsi="Times New Roman"/>
                <w:b/>
                <w:bCs/>
                <w:szCs w:val="24"/>
                <w:u w:val="single"/>
              </w:rPr>
              <w:t>Процент от паричните средства на клиенти, държани в тази институция</w:t>
            </w:r>
          </w:p>
          <w:p w14:paraId="50507692"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bCs/>
                <w:szCs w:val="24"/>
              </w:rPr>
              <w:t xml:space="preserve">Инвестиционният посредник докладва размера на паричните </w:t>
            </w:r>
            <w:r w:rsidRPr="009C4695">
              <w:rPr>
                <w:rFonts w:ascii="Times New Roman" w:hAnsi="Times New Roman"/>
                <w:bCs/>
                <w:szCs w:val="24"/>
              </w:rPr>
              <w:t>средства на клиенти, държани към датата, към която се съставя докладът, във всеки от контрагентите или групите от свързани контрагенти, за които се докладва информация, изразен като процент от общия размер (докладван в колона 0050).</w:t>
            </w:r>
          </w:p>
        </w:tc>
      </w:tr>
    </w:tbl>
    <w:p w14:paraId="1DEF4A35" w14:textId="77777777" w:rsidR="001B665C" w:rsidRPr="009C4695" w:rsidRDefault="001B665C">
      <w:pPr>
        <w:spacing w:after="0"/>
        <w:rPr>
          <w:rFonts w:ascii="Times New Roman" w:hAnsi="Times New Roman" w:cs="Times New Roman"/>
          <w:u w:val="single"/>
        </w:rPr>
      </w:pPr>
    </w:p>
    <w:p w14:paraId="7FFE91F7" w14:textId="77777777" w:rsidR="001B665C" w:rsidRPr="009C4695" w:rsidRDefault="009C4695">
      <w:pPr>
        <w:pStyle w:val="Instructionsberschrift2"/>
        <w:ind w:left="357" w:hanging="357"/>
        <w:rPr>
          <w:rFonts w:ascii="Times New Roman" w:hAnsi="Times New Roman" w:cs="Times New Roman"/>
          <w:sz w:val="24"/>
        </w:rPr>
      </w:pPr>
      <w:bookmarkStart w:id="88" w:name="_Toc88218355"/>
      <w:r w:rsidRPr="009C4695">
        <w:rPr>
          <w:rFonts w:ascii="Times New Roman" w:hAnsi="Times New Roman"/>
          <w:sz w:val="24"/>
        </w:rPr>
        <w:t>4.4.</w:t>
      </w:r>
      <w:r w:rsidRPr="009C4695">
        <w:rPr>
          <w:rFonts w:ascii="Times New Roman" w:hAnsi="Times New Roman"/>
          <w:sz w:val="24"/>
        </w:rPr>
        <w:t xml:space="preserve"> I </w:t>
      </w:r>
      <w:r w:rsidRPr="009C4695">
        <w:rPr>
          <w:rFonts w:ascii="Times New Roman" w:hAnsi="Times New Roman"/>
          <w:sz w:val="24"/>
        </w:rPr>
        <w:t>08.02</w:t>
      </w:r>
      <w:r w:rsidRPr="009C4695">
        <w:rPr>
          <w:rFonts w:ascii="Times New Roman" w:hAnsi="Times New Roman"/>
          <w:sz w:val="24"/>
        </w:rPr>
        <w:t xml:space="preserve"> — РАВНИЩЕ НА РИСКА ОТ КОНЦЕНТРАЦИЯ — СЪХРАНЯВАНИ И АДМИНИСТРИРАНИ АКТИВИ (I </w:t>
      </w:r>
      <w:r w:rsidRPr="009C4695">
        <w:rPr>
          <w:rFonts w:ascii="Times New Roman" w:hAnsi="Times New Roman"/>
          <w:sz w:val="24"/>
        </w:rPr>
        <w:t>8.2</w:t>
      </w:r>
      <w:r w:rsidRPr="009C4695">
        <w:rPr>
          <w:rFonts w:ascii="Times New Roman" w:hAnsi="Times New Roman"/>
          <w:sz w:val="24"/>
        </w:rPr>
        <w:t>)</w:t>
      </w:r>
      <w:bookmarkEnd w:id="88"/>
    </w:p>
    <w:p w14:paraId="6432B234" w14:textId="77777777" w:rsidR="001B665C" w:rsidRPr="009C4695" w:rsidRDefault="009C4695">
      <w:pPr>
        <w:pStyle w:val="Instructionsberschrift2"/>
        <w:ind w:left="357" w:hanging="357"/>
        <w:rPr>
          <w:rFonts w:ascii="Times New Roman" w:hAnsi="Times New Roman" w:cs="Times New Roman"/>
          <w:sz w:val="24"/>
          <w:u w:val="none"/>
        </w:rPr>
      </w:pPr>
      <w:bookmarkStart w:id="89" w:name="_Toc88218356"/>
      <w:r w:rsidRPr="009C4695">
        <w:rPr>
          <w:rFonts w:ascii="Times New Roman" w:hAnsi="Times New Roman"/>
          <w:sz w:val="24"/>
          <w:u w:val="none"/>
        </w:rPr>
        <w:t>4.4.1.</w:t>
      </w:r>
      <w:r w:rsidRPr="009C4695">
        <w:rPr>
          <w:rFonts w:ascii="Times New Roman" w:hAnsi="Times New Roman"/>
          <w:sz w:val="24"/>
          <w:u w:val="none"/>
        </w:rPr>
        <w:tab/>
      </w:r>
      <w:r w:rsidRPr="009C4695">
        <w:rPr>
          <w:rFonts w:ascii="Times New Roman" w:hAnsi="Times New Roman"/>
          <w:sz w:val="24"/>
        </w:rPr>
        <w:t>Указания относно определени колони</w:t>
      </w:r>
      <w:bookmarkEnd w:id="89"/>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1B665C" w:rsidRPr="009C4695" w14:paraId="2673BBB8" w14:textId="77777777">
        <w:tc>
          <w:tcPr>
            <w:tcW w:w="1389" w:type="dxa"/>
            <w:shd w:val="clear" w:color="auto" w:fill="D9D9D9"/>
          </w:tcPr>
          <w:p w14:paraId="07EB704D"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Колони</w:t>
            </w:r>
          </w:p>
        </w:tc>
        <w:tc>
          <w:tcPr>
            <w:tcW w:w="7620" w:type="dxa"/>
            <w:shd w:val="clear" w:color="auto" w:fill="D9D9D9"/>
          </w:tcPr>
          <w:p w14:paraId="6E3FF3A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Препратки към законодателни актове и указания</w:t>
            </w:r>
          </w:p>
        </w:tc>
      </w:tr>
      <w:tr w:rsidR="001B665C" w:rsidRPr="009C4695" w14:paraId="5018CCAA" w14:textId="77777777">
        <w:tc>
          <w:tcPr>
            <w:tcW w:w="1389" w:type="dxa"/>
          </w:tcPr>
          <w:p w14:paraId="40F5382B"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0010-0060</w:t>
            </w:r>
          </w:p>
        </w:tc>
        <w:tc>
          <w:tcPr>
            <w:tcW w:w="7620" w:type="dxa"/>
          </w:tcPr>
          <w:p w14:paraId="1A78978D"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Общо съхранявани и администрирани активи</w:t>
            </w:r>
          </w:p>
          <w:p w14:paraId="1F5AAC1B"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Член 54, параграф 2, </w:t>
            </w:r>
            <w:r w:rsidRPr="009C4695">
              <w:rPr>
                <w:rFonts w:ascii="Times New Roman" w:hAnsi="Times New Roman"/>
                <w:bCs/>
              </w:rPr>
              <w:t>буква в) от Регламент (ЕС) 2019/2033.</w:t>
            </w:r>
          </w:p>
          <w:p w14:paraId="74893DE7"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 xml:space="preserve">Инвестиционният посредник докладва идентификационните данни на петимата контрагенти, ако има такива, или група от свързани контрагенти, в които са депозирани най-големите обеми ценни книжа на клиенти. </w:t>
            </w:r>
          </w:p>
        </w:tc>
      </w:tr>
      <w:tr w:rsidR="001B665C" w:rsidRPr="009C4695" w14:paraId="45D6E984" w14:textId="77777777">
        <w:tc>
          <w:tcPr>
            <w:tcW w:w="1389" w:type="dxa"/>
          </w:tcPr>
          <w:p w14:paraId="62707870"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w:t>
            </w:r>
          </w:p>
        </w:tc>
        <w:tc>
          <w:tcPr>
            <w:tcW w:w="7620" w:type="dxa"/>
          </w:tcPr>
          <w:p w14:paraId="0FC942FF" w14:textId="77777777" w:rsidR="001B665C" w:rsidRPr="009C4695" w:rsidRDefault="009C4695">
            <w:pPr>
              <w:pStyle w:val="InstructionsText"/>
              <w:rPr>
                <w:rStyle w:val="InstructionsTabelleberschrift"/>
                <w:rFonts w:ascii="Times New Roman" w:hAnsi="Times New Roman"/>
                <w:sz w:val="22"/>
                <w:szCs w:val="22"/>
              </w:rPr>
            </w:pPr>
            <w:r w:rsidRPr="009C4695">
              <w:rPr>
                <w:rStyle w:val="InstructionsTabelleberschrift"/>
                <w:rFonts w:ascii="Times New Roman" w:hAnsi="Times New Roman"/>
                <w:sz w:val="22"/>
                <w:szCs w:val="22"/>
              </w:rPr>
              <w:t>Код</w:t>
            </w:r>
          </w:p>
          <w:p w14:paraId="371BF01A"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Style w:val="FormatvorlageInstructionsTabelleText"/>
                <w:rFonts w:ascii="Times New Roman" w:hAnsi="Times New Roman"/>
                <w:sz w:val="22"/>
              </w:rPr>
              <w:t xml:space="preserve">Кодът </w:t>
            </w:r>
            <w:r w:rsidRPr="009C4695">
              <w:rPr>
                <w:rStyle w:val="FormatvorlageInstructionsTabelleText"/>
                <w:rFonts w:ascii="Times New Roman" w:hAnsi="Times New Roman"/>
                <w:sz w:val="22"/>
              </w:rPr>
              <w:t>като част от идентификатора на реда трябва да бъде индивидуален за всеки субект, за който се отнася докладваната информация. За инвестиционните посредници и застрахователните предприятия кодът е ИКПС. За останалите субекти кодът е ИКПС или, ако няма такъв,</w:t>
            </w:r>
            <w:r w:rsidRPr="009C4695">
              <w:rPr>
                <w:rStyle w:val="FormatvorlageInstructionsTabelleText"/>
                <w:rFonts w:ascii="Times New Roman" w:hAnsi="Times New Roman"/>
                <w:sz w:val="22"/>
              </w:rPr>
              <w:t xml:space="preserve"> национален код. Кодът е индивидуален и се използва последователно във всички образци и във времето. Полето с кода трябва винаги да бъде попълнено.</w:t>
            </w:r>
          </w:p>
        </w:tc>
      </w:tr>
      <w:tr w:rsidR="001B665C" w:rsidRPr="009C4695" w14:paraId="065340E3" w14:textId="77777777">
        <w:tc>
          <w:tcPr>
            <w:tcW w:w="1389" w:type="dxa"/>
          </w:tcPr>
          <w:p w14:paraId="60C93F2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0020</w:t>
            </w:r>
          </w:p>
        </w:tc>
        <w:tc>
          <w:tcPr>
            <w:tcW w:w="7620" w:type="dxa"/>
          </w:tcPr>
          <w:p w14:paraId="2388789C" w14:textId="77777777" w:rsidR="001B665C" w:rsidRPr="009C4695" w:rsidRDefault="009C4695">
            <w:pPr>
              <w:pStyle w:val="InstructionsText"/>
              <w:rPr>
                <w:rStyle w:val="InstructionsTabelleberschrift"/>
                <w:rFonts w:ascii="Times New Roman" w:hAnsi="Times New Roman"/>
                <w:sz w:val="22"/>
                <w:szCs w:val="22"/>
              </w:rPr>
            </w:pPr>
            <w:r w:rsidRPr="009C4695">
              <w:rPr>
                <w:rStyle w:val="InstructionsTabelleberschrift"/>
                <w:rFonts w:ascii="Times New Roman" w:hAnsi="Times New Roman"/>
                <w:sz w:val="22"/>
                <w:szCs w:val="22"/>
              </w:rPr>
              <w:t>Вид на кода</w:t>
            </w:r>
          </w:p>
          <w:p w14:paraId="4587D06A"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 xml:space="preserve">Инвестиционните посредници посочват вида код, който са посочили в колона 0010 като </w:t>
            </w:r>
            <w:r w:rsidRPr="009C4695">
              <w:rPr>
                <w:rFonts w:ascii="Times New Roman" w:hAnsi="Times New Roman"/>
                <w:bCs/>
              </w:rPr>
              <w:t>„ИКПС“ или „Национален код“.</w:t>
            </w:r>
          </w:p>
        </w:tc>
      </w:tr>
      <w:tr w:rsidR="001B665C" w:rsidRPr="009C4695" w14:paraId="678CBAE6" w14:textId="77777777">
        <w:tc>
          <w:tcPr>
            <w:tcW w:w="1389" w:type="dxa"/>
          </w:tcPr>
          <w:p w14:paraId="42ECF7C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0030</w:t>
            </w:r>
          </w:p>
        </w:tc>
        <w:tc>
          <w:tcPr>
            <w:tcW w:w="7620" w:type="dxa"/>
          </w:tcPr>
          <w:p w14:paraId="17EAEA7C"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Наименование</w:t>
            </w:r>
          </w:p>
          <w:p w14:paraId="2A325251"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 xml:space="preserve">Когато се посочва група от свързани контрагенти, наименованието трябва да съответства на наименованието на дружеството майка. Във всички останали случаи наименованието трябва да съответства на </w:t>
            </w:r>
            <w:r w:rsidRPr="009C4695">
              <w:rPr>
                <w:rFonts w:ascii="Times New Roman" w:hAnsi="Times New Roman"/>
              </w:rPr>
              <w:t>отделния контрагент.</w:t>
            </w:r>
          </w:p>
        </w:tc>
      </w:tr>
      <w:tr w:rsidR="001B665C" w:rsidRPr="009C4695" w14:paraId="73448967" w14:textId="77777777">
        <w:tc>
          <w:tcPr>
            <w:tcW w:w="1389" w:type="dxa"/>
          </w:tcPr>
          <w:p w14:paraId="1CEB02B7"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0040</w:t>
            </w:r>
          </w:p>
        </w:tc>
        <w:tc>
          <w:tcPr>
            <w:tcW w:w="7620" w:type="dxa"/>
          </w:tcPr>
          <w:p w14:paraId="7ED3F54D"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Група/отделно лице</w:t>
            </w:r>
          </w:p>
          <w:p w14:paraId="24768E79" w14:textId="77777777" w:rsidR="001B665C" w:rsidRPr="009C4695" w:rsidRDefault="009C4695">
            <w:pPr>
              <w:pStyle w:val="Default"/>
              <w:jc w:val="both"/>
              <w:rPr>
                <w:sz w:val="22"/>
                <w:szCs w:val="22"/>
              </w:rPr>
            </w:pPr>
            <w:r w:rsidRPr="009C4695">
              <w:rPr>
                <w:sz w:val="22"/>
                <w:szCs w:val="22"/>
              </w:rPr>
              <w:t xml:space="preserve">Инвестиционният посредник докладва „1“ за експозициите към клиенти, които са отделни лица, или „2“ за експозициите към групи от свързани клиенти. </w:t>
            </w:r>
          </w:p>
        </w:tc>
      </w:tr>
      <w:tr w:rsidR="001B665C" w:rsidRPr="009C4695" w14:paraId="07A704DA" w14:textId="77777777">
        <w:tc>
          <w:tcPr>
            <w:tcW w:w="1389" w:type="dxa"/>
          </w:tcPr>
          <w:p w14:paraId="27581F44"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0050</w:t>
            </w:r>
          </w:p>
        </w:tc>
        <w:tc>
          <w:tcPr>
            <w:tcW w:w="7620" w:type="dxa"/>
          </w:tcPr>
          <w:p w14:paraId="7AB44E70"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 xml:space="preserve">Общо съхранявани и администрирани активи към датата, към </w:t>
            </w:r>
            <w:r w:rsidRPr="009C4695">
              <w:rPr>
                <w:rFonts w:ascii="Times New Roman" w:hAnsi="Times New Roman"/>
                <w:b/>
                <w:bCs/>
                <w:u w:val="single"/>
              </w:rPr>
              <w:t>която се съставя докладът</w:t>
            </w:r>
          </w:p>
          <w:p w14:paraId="72321D9D"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Инвестиционният посредник докладва общата стойност на ценните книжа на клиенти, държани във всяка институция към датата, към която се съставя докладът.</w:t>
            </w:r>
          </w:p>
        </w:tc>
      </w:tr>
      <w:tr w:rsidR="001B665C" w:rsidRPr="009C4695" w14:paraId="092D8B9E" w14:textId="77777777">
        <w:tc>
          <w:tcPr>
            <w:tcW w:w="1389" w:type="dxa"/>
          </w:tcPr>
          <w:p w14:paraId="2D71D991"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0060</w:t>
            </w:r>
          </w:p>
        </w:tc>
        <w:tc>
          <w:tcPr>
            <w:tcW w:w="7620" w:type="dxa"/>
          </w:tcPr>
          <w:p w14:paraId="03B45643"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 xml:space="preserve">Процент на ценните книжа на клиенти, депозирани в тази </w:t>
            </w:r>
            <w:r w:rsidRPr="009C4695">
              <w:rPr>
                <w:rFonts w:ascii="Times New Roman" w:hAnsi="Times New Roman"/>
                <w:b/>
                <w:bCs/>
                <w:u w:val="single"/>
              </w:rPr>
              <w:t>институция</w:t>
            </w:r>
          </w:p>
          <w:p w14:paraId="385DFFDD"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Инвестиционният посредник докладва стойността на ценните книжа на клиенти, депозирани към датата, към която се съставя докладът, във всеки от контрагентите или групите от свързани контрагенти, за които се докладва информация, изразен като процен</w:t>
            </w:r>
            <w:r w:rsidRPr="009C4695">
              <w:rPr>
                <w:rFonts w:ascii="Times New Roman" w:hAnsi="Times New Roman"/>
                <w:bCs/>
              </w:rPr>
              <w:t>т от общия размер (докладван в колона 0050).</w:t>
            </w:r>
          </w:p>
        </w:tc>
      </w:tr>
    </w:tbl>
    <w:p w14:paraId="3351E712" w14:textId="77777777" w:rsidR="001B665C" w:rsidRPr="009C4695" w:rsidRDefault="001B665C">
      <w:pPr>
        <w:spacing w:after="0"/>
        <w:rPr>
          <w:rFonts w:ascii="Times New Roman" w:hAnsi="Times New Roman" w:cs="Times New Roman"/>
          <w:u w:val="single"/>
        </w:rPr>
      </w:pPr>
    </w:p>
    <w:p w14:paraId="681A59A1" w14:textId="77777777" w:rsidR="001B665C" w:rsidRPr="009C4695" w:rsidRDefault="009C4695">
      <w:pPr>
        <w:pStyle w:val="Instructionsberschrift2"/>
        <w:ind w:left="357" w:hanging="357"/>
        <w:rPr>
          <w:rFonts w:ascii="Times New Roman" w:hAnsi="Times New Roman" w:cs="Times New Roman"/>
          <w:sz w:val="24"/>
        </w:rPr>
      </w:pPr>
      <w:bookmarkStart w:id="90" w:name="_Toc88218357"/>
      <w:r w:rsidRPr="009C4695">
        <w:rPr>
          <w:rFonts w:ascii="Times New Roman" w:hAnsi="Times New Roman"/>
          <w:sz w:val="24"/>
        </w:rPr>
        <w:t>4.5.</w:t>
      </w:r>
      <w:r w:rsidRPr="009C4695">
        <w:rPr>
          <w:rFonts w:ascii="Times New Roman" w:hAnsi="Times New Roman"/>
          <w:sz w:val="24"/>
        </w:rPr>
        <w:t xml:space="preserve"> I </w:t>
      </w:r>
      <w:r w:rsidRPr="009C4695">
        <w:rPr>
          <w:rFonts w:ascii="Times New Roman" w:hAnsi="Times New Roman"/>
          <w:sz w:val="24"/>
        </w:rPr>
        <w:t>08.03</w:t>
      </w:r>
      <w:r w:rsidRPr="009C4695">
        <w:rPr>
          <w:rFonts w:ascii="Times New Roman" w:hAnsi="Times New Roman"/>
          <w:sz w:val="24"/>
        </w:rPr>
        <w:t xml:space="preserve"> — РАВНИЩЕ НА РИСКА ОТ КОНЦЕНТРАЦИЯ — ОБЩО ДЕПОЗИРАНИ СОБСТВЕНИ ПАРИЧНИ СРЕДСТВА (I </w:t>
      </w:r>
      <w:r w:rsidRPr="009C4695">
        <w:rPr>
          <w:rFonts w:ascii="Times New Roman" w:hAnsi="Times New Roman"/>
          <w:sz w:val="24"/>
        </w:rPr>
        <w:t>8.3</w:t>
      </w:r>
      <w:r w:rsidRPr="009C4695">
        <w:rPr>
          <w:rFonts w:ascii="Times New Roman" w:hAnsi="Times New Roman"/>
          <w:sz w:val="24"/>
        </w:rPr>
        <w:t>)</w:t>
      </w:r>
      <w:bookmarkEnd w:id="90"/>
    </w:p>
    <w:p w14:paraId="55ED6940" w14:textId="77777777" w:rsidR="001B665C" w:rsidRPr="009C4695" w:rsidRDefault="009C4695">
      <w:pPr>
        <w:pStyle w:val="Instructionsberschrift2"/>
        <w:ind w:left="357" w:hanging="357"/>
        <w:rPr>
          <w:rFonts w:ascii="Times New Roman" w:hAnsi="Times New Roman" w:cs="Times New Roman"/>
          <w:sz w:val="24"/>
          <w:u w:val="none"/>
        </w:rPr>
      </w:pPr>
      <w:bookmarkStart w:id="91" w:name="_Toc88218358"/>
      <w:r w:rsidRPr="009C4695">
        <w:rPr>
          <w:rFonts w:ascii="Times New Roman" w:hAnsi="Times New Roman"/>
          <w:sz w:val="24"/>
          <w:u w:val="none"/>
        </w:rPr>
        <w:t>4.5.1.</w:t>
      </w:r>
      <w:r w:rsidRPr="009C4695">
        <w:rPr>
          <w:rFonts w:ascii="Times New Roman" w:hAnsi="Times New Roman"/>
          <w:sz w:val="24"/>
          <w:u w:val="none"/>
        </w:rPr>
        <w:tab/>
      </w:r>
      <w:r w:rsidRPr="009C4695">
        <w:rPr>
          <w:rFonts w:ascii="Times New Roman" w:hAnsi="Times New Roman"/>
          <w:sz w:val="24"/>
        </w:rPr>
        <w:t>Указания относно определени колони</w:t>
      </w:r>
      <w:bookmarkEnd w:id="91"/>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1B665C" w:rsidRPr="009C4695" w14:paraId="3129CE66" w14:textId="77777777">
        <w:tc>
          <w:tcPr>
            <w:tcW w:w="1389" w:type="dxa"/>
            <w:shd w:val="clear" w:color="auto" w:fill="D9D9D9"/>
          </w:tcPr>
          <w:p w14:paraId="0FEBAE72"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Колони</w:t>
            </w:r>
          </w:p>
        </w:tc>
        <w:tc>
          <w:tcPr>
            <w:tcW w:w="7620" w:type="dxa"/>
            <w:shd w:val="clear" w:color="auto" w:fill="D9D9D9"/>
          </w:tcPr>
          <w:p w14:paraId="5F8FF7FF"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Препратки към законодателни актове и указания</w:t>
            </w:r>
          </w:p>
        </w:tc>
      </w:tr>
      <w:tr w:rsidR="001B665C" w:rsidRPr="009C4695" w14:paraId="60FB1E4D" w14:textId="77777777">
        <w:tc>
          <w:tcPr>
            <w:tcW w:w="1389" w:type="dxa"/>
          </w:tcPr>
          <w:p w14:paraId="2BDFF3F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0010-0060</w:t>
            </w:r>
          </w:p>
        </w:tc>
        <w:tc>
          <w:tcPr>
            <w:tcW w:w="7620" w:type="dxa"/>
          </w:tcPr>
          <w:p w14:paraId="499E8366"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Общо депозирани собствени парични средства</w:t>
            </w:r>
          </w:p>
          <w:p w14:paraId="6123BCE4"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54, параграф 2, букви г) и е) от Регламент (ЕС) 2019/2033.</w:t>
            </w:r>
          </w:p>
          <w:p w14:paraId="331252B1"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Инвестиционният посредник докладва идентификационните данни на петимата контрагенти, ако има такива, или група от свързани контрагенти, в к</w:t>
            </w:r>
            <w:r w:rsidRPr="009C4695">
              <w:rPr>
                <w:rFonts w:ascii="Times New Roman" w:hAnsi="Times New Roman"/>
                <w:bCs/>
              </w:rPr>
              <w:t xml:space="preserve">оито са депозирани най-големите размери собствени парични средства на посредника. </w:t>
            </w:r>
          </w:p>
        </w:tc>
      </w:tr>
      <w:tr w:rsidR="001B665C" w:rsidRPr="009C4695" w14:paraId="7A9145EF" w14:textId="77777777">
        <w:tc>
          <w:tcPr>
            <w:tcW w:w="1389" w:type="dxa"/>
          </w:tcPr>
          <w:p w14:paraId="1CC64D30"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w:t>
            </w:r>
          </w:p>
        </w:tc>
        <w:tc>
          <w:tcPr>
            <w:tcW w:w="7620" w:type="dxa"/>
          </w:tcPr>
          <w:p w14:paraId="7E8BDC69" w14:textId="77777777" w:rsidR="001B665C" w:rsidRPr="009C4695" w:rsidRDefault="009C4695">
            <w:pPr>
              <w:pStyle w:val="InstructionsText"/>
              <w:rPr>
                <w:rStyle w:val="InstructionsTabelleberschrift"/>
                <w:rFonts w:ascii="Times New Roman" w:hAnsi="Times New Roman"/>
                <w:sz w:val="22"/>
                <w:szCs w:val="22"/>
              </w:rPr>
            </w:pPr>
            <w:r w:rsidRPr="009C4695">
              <w:rPr>
                <w:rStyle w:val="InstructionsTabelleberschrift"/>
                <w:rFonts w:ascii="Times New Roman" w:hAnsi="Times New Roman"/>
                <w:sz w:val="22"/>
                <w:szCs w:val="22"/>
              </w:rPr>
              <w:t>Код</w:t>
            </w:r>
          </w:p>
          <w:p w14:paraId="5693AE44"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Style w:val="FormatvorlageInstructionsTabelleText"/>
                <w:rFonts w:ascii="Times New Roman" w:hAnsi="Times New Roman"/>
                <w:sz w:val="22"/>
              </w:rPr>
              <w:t xml:space="preserve">Кодът като част от идентификатора на реда трябва да бъде индивидуален за всеки субект, за който се отнася докладваната информация. За инвестиционните посредници и </w:t>
            </w:r>
            <w:r w:rsidRPr="009C4695">
              <w:rPr>
                <w:rStyle w:val="FormatvorlageInstructionsTabelleText"/>
                <w:rFonts w:ascii="Times New Roman" w:hAnsi="Times New Roman"/>
                <w:sz w:val="22"/>
              </w:rPr>
              <w:t>застрахователните предприятия кодът е ИКПС. За останалите субекти кодът е ИКПС или, ако няма такъв, национален код. Кодът е индивидуален и се използва последователно във всички образци и във времето. Полето с кода трябва винаги да бъде попълнено.</w:t>
            </w:r>
          </w:p>
        </w:tc>
      </w:tr>
      <w:tr w:rsidR="001B665C" w:rsidRPr="009C4695" w14:paraId="3A8B5387" w14:textId="77777777">
        <w:tc>
          <w:tcPr>
            <w:tcW w:w="1389" w:type="dxa"/>
          </w:tcPr>
          <w:p w14:paraId="3234DCD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0020</w:t>
            </w:r>
          </w:p>
        </w:tc>
        <w:tc>
          <w:tcPr>
            <w:tcW w:w="7620" w:type="dxa"/>
          </w:tcPr>
          <w:p w14:paraId="3109A14A" w14:textId="77777777" w:rsidR="001B665C" w:rsidRPr="009C4695" w:rsidRDefault="009C4695">
            <w:pPr>
              <w:pStyle w:val="InstructionsText"/>
              <w:rPr>
                <w:rStyle w:val="InstructionsTabelleberschrift"/>
                <w:rFonts w:ascii="Times New Roman" w:eastAsiaTheme="minorHAnsi" w:hAnsi="Times New Roman"/>
                <w:bCs/>
                <w:sz w:val="22"/>
                <w:szCs w:val="22"/>
              </w:rPr>
            </w:pPr>
            <w:r w:rsidRPr="009C4695">
              <w:rPr>
                <w:rStyle w:val="InstructionsTabelleberschrift"/>
                <w:rFonts w:ascii="Times New Roman" w:hAnsi="Times New Roman"/>
                <w:sz w:val="22"/>
                <w:szCs w:val="22"/>
              </w:rPr>
              <w:t>Вид на кода</w:t>
            </w:r>
          </w:p>
          <w:p w14:paraId="597D64A7"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Инвестиционните посредници посочват вида код, който са посочили в колона 0010 като „ИКПС“ или „Национален код“.</w:t>
            </w:r>
          </w:p>
        </w:tc>
      </w:tr>
      <w:tr w:rsidR="001B665C" w:rsidRPr="009C4695" w14:paraId="2776C599" w14:textId="77777777">
        <w:tc>
          <w:tcPr>
            <w:tcW w:w="1389" w:type="dxa"/>
          </w:tcPr>
          <w:p w14:paraId="0E103B5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0030</w:t>
            </w:r>
          </w:p>
        </w:tc>
        <w:tc>
          <w:tcPr>
            <w:tcW w:w="7620" w:type="dxa"/>
          </w:tcPr>
          <w:p w14:paraId="1FC1FFAE"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Наименование</w:t>
            </w:r>
          </w:p>
          <w:p w14:paraId="707A861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Когато се посочва група от свързани контрагенти, наименованието трябва да съответства на наименованието на дружес</w:t>
            </w:r>
            <w:r w:rsidRPr="009C4695">
              <w:rPr>
                <w:rFonts w:ascii="Times New Roman" w:hAnsi="Times New Roman"/>
              </w:rPr>
              <w:t>твото майка. Във всички останали случаи наименованието трябва да съответства на отделния контрагент.</w:t>
            </w:r>
          </w:p>
        </w:tc>
      </w:tr>
      <w:tr w:rsidR="001B665C" w:rsidRPr="009C4695" w14:paraId="1C9E6AB0" w14:textId="77777777">
        <w:tc>
          <w:tcPr>
            <w:tcW w:w="1389" w:type="dxa"/>
          </w:tcPr>
          <w:p w14:paraId="12873CB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0040</w:t>
            </w:r>
          </w:p>
        </w:tc>
        <w:tc>
          <w:tcPr>
            <w:tcW w:w="7620" w:type="dxa"/>
          </w:tcPr>
          <w:p w14:paraId="693068C1"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Група/отделно лице</w:t>
            </w:r>
          </w:p>
          <w:p w14:paraId="012FAA21" w14:textId="77777777" w:rsidR="001B665C" w:rsidRPr="009C4695" w:rsidRDefault="009C4695">
            <w:pPr>
              <w:pStyle w:val="Default"/>
              <w:spacing w:after="120"/>
              <w:jc w:val="both"/>
              <w:rPr>
                <w:sz w:val="22"/>
                <w:szCs w:val="22"/>
              </w:rPr>
            </w:pPr>
            <w:r w:rsidRPr="009C4695">
              <w:rPr>
                <w:sz w:val="22"/>
                <w:szCs w:val="22"/>
              </w:rPr>
              <w:t>Инвестиционният посредник докладва „1“ за експозициите към клиенти, които са отделни лица, или „2“ за експозициите към групи от св</w:t>
            </w:r>
            <w:r w:rsidRPr="009C4695">
              <w:rPr>
                <w:sz w:val="22"/>
                <w:szCs w:val="22"/>
              </w:rPr>
              <w:t xml:space="preserve">ързани клиенти. </w:t>
            </w:r>
          </w:p>
        </w:tc>
      </w:tr>
      <w:tr w:rsidR="001B665C" w:rsidRPr="009C4695" w14:paraId="47E452F9" w14:textId="77777777">
        <w:tc>
          <w:tcPr>
            <w:tcW w:w="1389" w:type="dxa"/>
          </w:tcPr>
          <w:p w14:paraId="046FAC5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0050</w:t>
            </w:r>
          </w:p>
        </w:tc>
        <w:tc>
          <w:tcPr>
            <w:tcW w:w="7620" w:type="dxa"/>
          </w:tcPr>
          <w:p w14:paraId="4B33791B"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Размер на паричните средства на посредника, депозирани в институцията</w:t>
            </w:r>
          </w:p>
          <w:p w14:paraId="10B9EDCC"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Инвестиционният посредник докладва общия размер на собствените парични средства, държани във всяка институция към референтната дата.</w:t>
            </w:r>
          </w:p>
        </w:tc>
      </w:tr>
      <w:tr w:rsidR="001B665C" w:rsidRPr="009C4695" w14:paraId="5E317AF7" w14:textId="77777777">
        <w:tc>
          <w:tcPr>
            <w:tcW w:w="1389" w:type="dxa"/>
          </w:tcPr>
          <w:p w14:paraId="1D4FE63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0060</w:t>
            </w:r>
          </w:p>
        </w:tc>
        <w:tc>
          <w:tcPr>
            <w:tcW w:w="7620" w:type="dxa"/>
          </w:tcPr>
          <w:p w14:paraId="1D3F7199"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 xml:space="preserve">Процент на </w:t>
            </w:r>
            <w:r w:rsidRPr="009C4695">
              <w:rPr>
                <w:rFonts w:ascii="Times New Roman" w:hAnsi="Times New Roman"/>
                <w:b/>
                <w:bCs/>
                <w:u w:val="single"/>
              </w:rPr>
              <w:t>собствените парични средства на посредника, депозирани в институцията</w:t>
            </w:r>
          </w:p>
          <w:p w14:paraId="25F5B51A"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Инвестиционният посредник докладва размера на собствените парични средства, депозирани към датата, към която се съставя докладът, във всеки от контрагентите или групите от свързани контр</w:t>
            </w:r>
            <w:r w:rsidRPr="009C4695">
              <w:rPr>
                <w:rFonts w:ascii="Times New Roman" w:hAnsi="Times New Roman"/>
                <w:bCs/>
              </w:rPr>
              <w:t>агенти, за които се докладва информация, изразен като процент от общия размер на собствените парични средства на инвестиционния посредник.</w:t>
            </w:r>
          </w:p>
        </w:tc>
      </w:tr>
    </w:tbl>
    <w:p w14:paraId="2B472B60" w14:textId="77777777" w:rsidR="001B665C" w:rsidRPr="009C4695" w:rsidRDefault="001B665C">
      <w:pPr>
        <w:spacing w:after="0"/>
        <w:rPr>
          <w:rFonts w:ascii="Times New Roman" w:hAnsi="Times New Roman" w:cs="Times New Roman"/>
          <w:u w:val="single"/>
        </w:rPr>
      </w:pPr>
    </w:p>
    <w:p w14:paraId="6457CCF4" w14:textId="77777777" w:rsidR="001B665C" w:rsidRPr="009C4695" w:rsidRDefault="009C4695">
      <w:pPr>
        <w:pStyle w:val="Instructionsberschrift2"/>
        <w:ind w:left="357" w:hanging="357"/>
        <w:rPr>
          <w:rFonts w:ascii="Times New Roman" w:hAnsi="Times New Roman" w:cs="Times New Roman"/>
          <w:sz w:val="24"/>
        </w:rPr>
      </w:pPr>
      <w:bookmarkStart w:id="92" w:name="_Toc88218359"/>
      <w:r w:rsidRPr="009C4695">
        <w:rPr>
          <w:rFonts w:ascii="Times New Roman" w:hAnsi="Times New Roman"/>
          <w:sz w:val="24"/>
        </w:rPr>
        <w:t>4.6.</w:t>
      </w:r>
      <w:r w:rsidRPr="009C4695">
        <w:rPr>
          <w:rFonts w:ascii="Times New Roman" w:hAnsi="Times New Roman"/>
          <w:sz w:val="24"/>
          <w:u w:val="none"/>
        </w:rPr>
        <w:t xml:space="preserve"> </w:t>
      </w:r>
      <w:r w:rsidRPr="009C4695">
        <w:rPr>
          <w:rFonts w:ascii="Times New Roman" w:hAnsi="Times New Roman"/>
          <w:sz w:val="24"/>
        </w:rPr>
        <w:t xml:space="preserve">I </w:t>
      </w:r>
      <w:r w:rsidRPr="009C4695">
        <w:rPr>
          <w:rFonts w:ascii="Times New Roman" w:hAnsi="Times New Roman"/>
          <w:sz w:val="24"/>
        </w:rPr>
        <w:t>08.04</w:t>
      </w:r>
      <w:r w:rsidRPr="009C4695">
        <w:rPr>
          <w:rFonts w:ascii="Times New Roman" w:hAnsi="Times New Roman"/>
          <w:sz w:val="24"/>
        </w:rPr>
        <w:t xml:space="preserve"> — РАВНИЩЕ НА РИСКА ОТ КОНЦЕНТРАЦИЯ — ОБЩО ПЕЧАЛБА (I </w:t>
      </w:r>
      <w:r w:rsidRPr="009C4695">
        <w:rPr>
          <w:rFonts w:ascii="Times New Roman" w:hAnsi="Times New Roman"/>
          <w:sz w:val="24"/>
        </w:rPr>
        <w:t>8.4</w:t>
      </w:r>
      <w:r w:rsidRPr="009C4695">
        <w:rPr>
          <w:rFonts w:ascii="Times New Roman" w:hAnsi="Times New Roman"/>
          <w:sz w:val="24"/>
        </w:rPr>
        <w:t>)</w:t>
      </w:r>
      <w:bookmarkEnd w:id="92"/>
    </w:p>
    <w:p w14:paraId="175E86A2" w14:textId="77777777" w:rsidR="001B665C" w:rsidRPr="009C4695" w:rsidRDefault="009C4695">
      <w:pPr>
        <w:pStyle w:val="Instructionsberschrift2"/>
        <w:ind w:left="357" w:hanging="357"/>
        <w:rPr>
          <w:rFonts w:ascii="Times New Roman" w:hAnsi="Times New Roman" w:cs="Times New Roman"/>
        </w:rPr>
      </w:pPr>
      <w:bookmarkStart w:id="93" w:name="_Toc88218360"/>
      <w:r w:rsidRPr="009C4695">
        <w:rPr>
          <w:rFonts w:ascii="Times New Roman" w:hAnsi="Times New Roman"/>
          <w:sz w:val="24"/>
          <w:u w:val="none"/>
        </w:rPr>
        <w:t>4.6.1.</w:t>
      </w:r>
      <w:r w:rsidRPr="009C4695">
        <w:rPr>
          <w:rFonts w:ascii="Times New Roman" w:hAnsi="Times New Roman"/>
          <w:sz w:val="24"/>
          <w:u w:val="none"/>
        </w:rPr>
        <w:tab/>
      </w:r>
      <w:r w:rsidRPr="009C4695">
        <w:rPr>
          <w:rFonts w:ascii="Times New Roman" w:hAnsi="Times New Roman"/>
          <w:sz w:val="24"/>
        </w:rPr>
        <w:t>Указания относно определени колони</w:t>
      </w:r>
      <w:bookmarkEnd w:id="93"/>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1B665C" w:rsidRPr="009C4695" w14:paraId="460F9468" w14:textId="77777777">
        <w:tc>
          <w:tcPr>
            <w:tcW w:w="1389" w:type="dxa"/>
            <w:shd w:val="clear" w:color="auto" w:fill="D9D9D9"/>
          </w:tcPr>
          <w:p w14:paraId="205FAE1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Колони</w:t>
            </w:r>
          </w:p>
        </w:tc>
        <w:tc>
          <w:tcPr>
            <w:tcW w:w="7620" w:type="dxa"/>
            <w:shd w:val="clear" w:color="auto" w:fill="D9D9D9"/>
          </w:tcPr>
          <w:p w14:paraId="11A6C63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Препратки към законодателни актове и указания</w:t>
            </w:r>
          </w:p>
        </w:tc>
      </w:tr>
      <w:tr w:rsidR="001B665C" w:rsidRPr="009C4695" w14:paraId="3871EB60" w14:textId="77777777">
        <w:tc>
          <w:tcPr>
            <w:tcW w:w="1389" w:type="dxa"/>
          </w:tcPr>
          <w:p w14:paraId="5EBD44D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0010-0080</w:t>
            </w:r>
          </w:p>
        </w:tc>
        <w:tc>
          <w:tcPr>
            <w:tcW w:w="7620" w:type="dxa"/>
          </w:tcPr>
          <w:p w14:paraId="1E074EB1"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Общо печалба</w:t>
            </w:r>
          </w:p>
          <w:p w14:paraId="19629A92"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54, параграф 2, букви д) и е) от Регламент (ЕС) 2019/2033.</w:t>
            </w:r>
          </w:p>
          <w:p w14:paraId="76D08457"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Инвестиционният посредник докладва идентификационните данни на петимата клиенти, ако има такива, или група от свързани клиенти, от които произтичат най-големите по размер печалби за инвестиционния посредник.</w:t>
            </w:r>
          </w:p>
        </w:tc>
      </w:tr>
      <w:tr w:rsidR="001B665C" w:rsidRPr="009C4695" w14:paraId="40A02920" w14:textId="77777777">
        <w:tc>
          <w:tcPr>
            <w:tcW w:w="1389" w:type="dxa"/>
          </w:tcPr>
          <w:p w14:paraId="055F9FC4"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w:t>
            </w:r>
          </w:p>
        </w:tc>
        <w:tc>
          <w:tcPr>
            <w:tcW w:w="7620" w:type="dxa"/>
          </w:tcPr>
          <w:p w14:paraId="4080C62B" w14:textId="77777777" w:rsidR="001B665C" w:rsidRPr="009C4695" w:rsidRDefault="009C4695">
            <w:pPr>
              <w:pStyle w:val="InstructionsText"/>
              <w:rPr>
                <w:rStyle w:val="InstructionsTabelleberschrift"/>
                <w:rFonts w:ascii="Times New Roman" w:hAnsi="Times New Roman"/>
                <w:sz w:val="22"/>
                <w:szCs w:val="22"/>
              </w:rPr>
            </w:pPr>
            <w:r w:rsidRPr="009C4695">
              <w:rPr>
                <w:rStyle w:val="InstructionsTabelleberschrift"/>
                <w:rFonts w:ascii="Times New Roman" w:hAnsi="Times New Roman"/>
                <w:sz w:val="22"/>
                <w:szCs w:val="22"/>
              </w:rPr>
              <w:t>Код</w:t>
            </w:r>
          </w:p>
          <w:p w14:paraId="273F40A8" w14:textId="77777777" w:rsidR="001B665C" w:rsidRPr="009C4695" w:rsidRDefault="009C4695">
            <w:pPr>
              <w:spacing w:after="120" w:line="240" w:lineRule="auto"/>
              <w:jc w:val="both"/>
              <w:rPr>
                <w:rFonts w:ascii="Times New Roman" w:eastAsia="Times New Roman" w:hAnsi="Times New Roman" w:cs="Times New Roman"/>
                <w:bCs/>
              </w:rPr>
            </w:pPr>
            <w:r w:rsidRPr="009C4695">
              <w:rPr>
                <w:rStyle w:val="FormatvorlageInstructionsTabelleText"/>
                <w:rFonts w:ascii="Times New Roman" w:hAnsi="Times New Roman"/>
                <w:sz w:val="22"/>
              </w:rPr>
              <w:t>Кодът като част от идентификатора на р</w:t>
            </w:r>
            <w:r w:rsidRPr="009C4695">
              <w:rPr>
                <w:rStyle w:val="FormatvorlageInstructionsTabelleText"/>
                <w:rFonts w:ascii="Times New Roman" w:hAnsi="Times New Roman"/>
                <w:sz w:val="22"/>
              </w:rPr>
              <w:t>еда трябва да бъде индивидуален за всеки субект, за който се отнася докладваната информация. За инвестиционните посредници и застрахователните предприятия кодът е ИКПС. За останалите субекти кодът е ИКПС или, ако няма такъв, национален код. Кодът е индивид</w:t>
            </w:r>
            <w:r w:rsidRPr="009C4695">
              <w:rPr>
                <w:rStyle w:val="FormatvorlageInstructionsTabelleText"/>
                <w:rFonts w:ascii="Times New Roman" w:hAnsi="Times New Roman"/>
                <w:sz w:val="22"/>
              </w:rPr>
              <w:t>уален и се използва последователно във всички образци и във времето. Полето с кода трябва винаги да бъде попълнено.</w:t>
            </w:r>
          </w:p>
        </w:tc>
      </w:tr>
      <w:tr w:rsidR="001B665C" w:rsidRPr="009C4695" w14:paraId="4BA3E644" w14:textId="77777777">
        <w:tc>
          <w:tcPr>
            <w:tcW w:w="1389" w:type="dxa"/>
          </w:tcPr>
          <w:p w14:paraId="5B567E0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0020</w:t>
            </w:r>
          </w:p>
        </w:tc>
        <w:tc>
          <w:tcPr>
            <w:tcW w:w="7620" w:type="dxa"/>
          </w:tcPr>
          <w:p w14:paraId="202D9E5F" w14:textId="77777777" w:rsidR="001B665C" w:rsidRPr="009C4695" w:rsidRDefault="009C4695">
            <w:pPr>
              <w:pStyle w:val="InstructionsText"/>
              <w:rPr>
                <w:rStyle w:val="InstructionsTabelleberschrift"/>
                <w:rFonts w:ascii="Times New Roman" w:hAnsi="Times New Roman"/>
                <w:sz w:val="22"/>
                <w:szCs w:val="22"/>
              </w:rPr>
            </w:pPr>
            <w:r w:rsidRPr="009C4695">
              <w:rPr>
                <w:rStyle w:val="InstructionsTabelleberschrift"/>
                <w:rFonts w:ascii="Times New Roman" w:hAnsi="Times New Roman"/>
                <w:sz w:val="22"/>
                <w:szCs w:val="22"/>
              </w:rPr>
              <w:t>Вид на кода</w:t>
            </w:r>
          </w:p>
          <w:p w14:paraId="11217576"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Инвестиционните посредници посочват вида код, който са посочили в колона 0010 като „ИКПС“ или „Национален код“.</w:t>
            </w:r>
          </w:p>
        </w:tc>
      </w:tr>
      <w:tr w:rsidR="001B665C" w:rsidRPr="009C4695" w14:paraId="2B1A20EF" w14:textId="77777777">
        <w:tc>
          <w:tcPr>
            <w:tcW w:w="1389" w:type="dxa"/>
          </w:tcPr>
          <w:p w14:paraId="69C5939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0030</w:t>
            </w:r>
          </w:p>
        </w:tc>
        <w:tc>
          <w:tcPr>
            <w:tcW w:w="7620" w:type="dxa"/>
          </w:tcPr>
          <w:p w14:paraId="5BBC26B4"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Наименование</w:t>
            </w:r>
          </w:p>
          <w:p w14:paraId="5C25A43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Когато се посочва група от свързани клиенти, наименованието трябва да съответства на наименованието на дружеството майка. Във всички останали случаи наименованието трябва да съответства на отделния клиент.</w:t>
            </w:r>
          </w:p>
        </w:tc>
      </w:tr>
      <w:tr w:rsidR="001B665C" w:rsidRPr="009C4695" w14:paraId="2FAE00E2" w14:textId="77777777">
        <w:tc>
          <w:tcPr>
            <w:tcW w:w="1389" w:type="dxa"/>
          </w:tcPr>
          <w:p w14:paraId="246E3ED4"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0040</w:t>
            </w:r>
          </w:p>
        </w:tc>
        <w:tc>
          <w:tcPr>
            <w:tcW w:w="7620" w:type="dxa"/>
          </w:tcPr>
          <w:p w14:paraId="346D01DD"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Група/отделно лице</w:t>
            </w:r>
          </w:p>
          <w:p w14:paraId="54ED53A0"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rPr>
              <w:t>Инвестиционн</w:t>
            </w:r>
            <w:r w:rsidRPr="009C4695">
              <w:rPr>
                <w:rFonts w:ascii="Times New Roman" w:hAnsi="Times New Roman"/>
              </w:rPr>
              <w:t>ият посредник докладва „1“ за експозициите към клиенти, които са отделни лица, или „2“ за експозициите към групи от свързани клиенти.</w:t>
            </w:r>
          </w:p>
        </w:tc>
      </w:tr>
      <w:tr w:rsidR="001B665C" w:rsidRPr="009C4695" w14:paraId="1B5A0981" w14:textId="77777777">
        <w:tc>
          <w:tcPr>
            <w:tcW w:w="1389" w:type="dxa"/>
          </w:tcPr>
          <w:p w14:paraId="4164BD30"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0050</w:t>
            </w:r>
          </w:p>
        </w:tc>
        <w:tc>
          <w:tcPr>
            <w:tcW w:w="7620" w:type="dxa"/>
          </w:tcPr>
          <w:p w14:paraId="50BAA12B"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Общо печалба от този клиент</w:t>
            </w:r>
          </w:p>
          <w:p w14:paraId="22C5DA72"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 xml:space="preserve">Инвестиционният посредник докладва общата печалба от всеки клиент или група от свързани </w:t>
            </w:r>
            <w:r w:rsidRPr="009C4695">
              <w:rPr>
                <w:rFonts w:ascii="Times New Roman" w:hAnsi="Times New Roman"/>
                <w:bCs/>
              </w:rPr>
              <w:t>клиенти, генерирана от началото на счетоводната година. Печалбата се представя разпределена по приходи от лихви и дивиденти, от една страна, и приходи от такси и комисиони и други приходи, от друга страна.</w:t>
            </w:r>
          </w:p>
        </w:tc>
      </w:tr>
      <w:tr w:rsidR="001B665C" w:rsidRPr="009C4695" w14:paraId="27FE5998" w14:textId="77777777">
        <w:tc>
          <w:tcPr>
            <w:tcW w:w="1389" w:type="dxa"/>
          </w:tcPr>
          <w:p w14:paraId="682B5547"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0060—0090</w:t>
            </w:r>
          </w:p>
        </w:tc>
        <w:tc>
          <w:tcPr>
            <w:tcW w:w="7620" w:type="dxa"/>
          </w:tcPr>
          <w:p w14:paraId="61738691"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Приходи от лихви и дивиденти</w:t>
            </w:r>
          </w:p>
        </w:tc>
      </w:tr>
      <w:tr w:rsidR="001B665C" w:rsidRPr="009C4695" w14:paraId="7FAED61C" w14:textId="77777777">
        <w:tc>
          <w:tcPr>
            <w:tcW w:w="1389" w:type="dxa"/>
          </w:tcPr>
          <w:p w14:paraId="63BFEBC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0060 </w:t>
            </w:r>
          </w:p>
        </w:tc>
        <w:tc>
          <w:tcPr>
            <w:tcW w:w="7620" w:type="dxa"/>
          </w:tcPr>
          <w:p w14:paraId="54C5A0D6"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Приходи от лихви и дивиденти – сума, генерирана от позиции в търговския портфейл</w:t>
            </w:r>
          </w:p>
          <w:p w14:paraId="3CB826A1"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 xml:space="preserve">Търговски портфейл съгласно определението в член 4, параграф 1, точка 54 от Регламент (ЕС) 2019/2033. </w:t>
            </w:r>
          </w:p>
        </w:tc>
      </w:tr>
      <w:tr w:rsidR="001B665C" w:rsidRPr="009C4695" w14:paraId="4D342A5E" w14:textId="77777777">
        <w:tc>
          <w:tcPr>
            <w:tcW w:w="1389" w:type="dxa"/>
          </w:tcPr>
          <w:p w14:paraId="7158F864"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0070</w:t>
            </w:r>
          </w:p>
        </w:tc>
        <w:tc>
          <w:tcPr>
            <w:tcW w:w="7620" w:type="dxa"/>
          </w:tcPr>
          <w:p w14:paraId="7D3DF6DB"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 xml:space="preserve">Приходи от лихви и дивиденти – сума, генерирана от позиции, </w:t>
            </w:r>
            <w:r w:rsidRPr="009C4695">
              <w:rPr>
                <w:rFonts w:ascii="Times New Roman" w:hAnsi="Times New Roman"/>
                <w:b/>
                <w:bCs/>
                <w:u w:val="single"/>
              </w:rPr>
              <w:t>невписани в търговския портфейл</w:t>
            </w:r>
          </w:p>
        </w:tc>
      </w:tr>
      <w:tr w:rsidR="001B665C" w:rsidRPr="009C4695" w14:paraId="200B5DB4" w14:textId="77777777">
        <w:tc>
          <w:tcPr>
            <w:tcW w:w="1389" w:type="dxa"/>
          </w:tcPr>
          <w:p w14:paraId="654A26E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0080</w:t>
            </w:r>
          </w:p>
        </w:tc>
        <w:tc>
          <w:tcPr>
            <w:tcW w:w="7620" w:type="dxa"/>
          </w:tcPr>
          <w:p w14:paraId="68C31BB8"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Приходи от лихви и дивиденти – от които: сума, генерирана от задбалансови позиции</w:t>
            </w:r>
          </w:p>
        </w:tc>
      </w:tr>
      <w:tr w:rsidR="001B665C" w:rsidRPr="009C4695" w14:paraId="452442F7" w14:textId="77777777">
        <w:tc>
          <w:tcPr>
            <w:tcW w:w="1389" w:type="dxa"/>
          </w:tcPr>
          <w:p w14:paraId="6F167F8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0090</w:t>
            </w:r>
          </w:p>
        </w:tc>
        <w:tc>
          <w:tcPr>
            <w:tcW w:w="7620" w:type="dxa"/>
          </w:tcPr>
          <w:p w14:paraId="4D2766A3"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Процент на приходите от лихви и дивиденти от този клиент</w:t>
            </w:r>
          </w:p>
          <w:p w14:paraId="7B995A25"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Инвестиционният посредник докладва приходите от лихви и дивиденти, генери</w:t>
            </w:r>
            <w:r w:rsidRPr="009C4695">
              <w:rPr>
                <w:rFonts w:ascii="Times New Roman" w:hAnsi="Times New Roman"/>
                <w:bCs/>
              </w:rPr>
              <w:t>рани от всеки от клиентите или групите свързани клиенти, изразени като процент от общите приходи от лихви и дивиденти на инвестиционния посредник.</w:t>
            </w:r>
          </w:p>
        </w:tc>
      </w:tr>
      <w:tr w:rsidR="001B665C" w:rsidRPr="009C4695" w14:paraId="51C16A00" w14:textId="77777777">
        <w:tc>
          <w:tcPr>
            <w:tcW w:w="1389" w:type="dxa"/>
          </w:tcPr>
          <w:p w14:paraId="1B29CB9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0100—0110</w:t>
            </w:r>
          </w:p>
        </w:tc>
        <w:tc>
          <w:tcPr>
            <w:tcW w:w="7620" w:type="dxa"/>
          </w:tcPr>
          <w:p w14:paraId="2D73E268"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Такси и комисиони и други приходи</w:t>
            </w:r>
          </w:p>
        </w:tc>
      </w:tr>
      <w:tr w:rsidR="001B665C" w:rsidRPr="009C4695" w14:paraId="14B9EE24" w14:textId="77777777">
        <w:tc>
          <w:tcPr>
            <w:tcW w:w="1389" w:type="dxa"/>
          </w:tcPr>
          <w:p w14:paraId="040C610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0100 </w:t>
            </w:r>
          </w:p>
        </w:tc>
        <w:tc>
          <w:tcPr>
            <w:tcW w:w="7620" w:type="dxa"/>
          </w:tcPr>
          <w:p w14:paraId="69F26FDA"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 xml:space="preserve">Такси и комисиони и други приходи — размер </w:t>
            </w:r>
          </w:p>
        </w:tc>
      </w:tr>
      <w:tr w:rsidR="001B665C" w:rsidRPr="009C4695" w14:paraId="52F17AE6" w14:textId="77777777">
        <w:tc>
          <w:tcPr>
            <w:tcW w:w="1389" w:type="dxa"/>
          </w:tcPr>
          <w:p w14:paraId="3BF19CC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0110</w:t>
            </w:r>
          </w:p>
        </w:tc>
        <w:tc>
          <w:tcPr>
            <w:tcW w:w="7620" w:type="dxa"/>
          </w:tcPr>
          <w:p w14:paraId="3F18D6B0"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Процент на таксите и комисионите и другите приходи от този клиент</w:t>
            </w:r>
          </w:p>
          <w:p w14:paraId="36F0E798"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Инвестиционният посредник докладва приходите от такси и комисиони и други приходи, генерирани от всеки от клиентите или групите свързани кли</w:t>
            </w:r>
            <w:r w:rsidRPr="009C4695">
              <w:rPr>
                <w:rFonts w:ascii="Times New Roman" w:hAnsi="Times New Roman"/>
                <w:bCs/>
              </w:rPr>
              <w:t>енти, изразени като процент от общите приходи от такси и комисиони на инвестиционния посредник.</w:t>
            </w:r>
          </w:p>
        </w:tc>
      </w:tr>
    </w:tbl>
    <w:p w14:paraId="1504AABD" w14:textId="77777777" w:rsidR="001B665C" w:rsidRPr="009C4695" w:rsidRDefault="001B665C">
      <w:pPr>
        <w:spacing w:after="0"/>
        <w:rPr>
          <w:rFonts w:ascii="Times New Roman" w:hAnsi="Times New Roman" w:cs="Times New Roman"/>
          <w:u w:val="single"/>
        </w:rPr>
      </w:pPr>
    </w:p>
    <w:p w14:paraId="6F16DEB0" w14:textId="77777777" w:rsidR="001B665C" w:rsidRPr="009C4695" w:rsidRDefault="009C4695">
      <w:pPr>
        <w:pStyle w:val="Instructionsberschrift2"/>
        <w:ind w:left="357" w:hanging="357"/>
        <w:rPr>
          <w:rFonts w:ascii="Times New Roman" w:hAnsi="Times New Roman" w:cs="Times New Roman"/>
          <w:sz w:val="24"/>
        </w:rPr>
      </w:pPr>
      <w:bookmarkStart w:id="94" w:name="_Toc88218361"/>
      <w:r w:rsidRPr="009C4695">
        <w:rPr>
          <w:rFonts w:ascii="Times New Roman" w:hAnsi="Times New Roman"/>
          <w:sz w:val="24"/>
        </w:rPr>
        <w:t>4.7.</w:t>
      </w:r>
      <w:r w:rsidRPr="009C4695">
        <w:rPr>
          <w:rFonts w:ascii="Times New Roman" w:hAnsi="Times New Roman"/>
          <w:sz w:val="24"/>
          <w:u w:val="none"/>
        </w:rPr>
        <w:t xml:space="preserve"> </w:t>
      </w:r>
      <w:r w:rsidRPr="009C4695">
        <w:rPr>
          <w:rFonts w:ascii="Times New Roman" w:hAnsi="Times New Roman"/>
          <w:sz w:val="24"/>
        </w:rPr>
        <w:t xml:space="preserve">I </w:t>
      </w:r>
      <w:r w:rsidRPr="009C4695">
        <w:rPr>
          <w:rFonts w:ascii="Times New Roman" w:hAnsi="Times New Roman"/>
          <w:sz w:val="24"/>
        </w:rPr>
        <w:t>08.05</w:t>
      </w:r>
      <w:r w:rsidRPr="009C4695">
        <w:rPr>
          <w:rFonts w:ascii="Times New Roman" w:hAnsi="Times New Roman"/>
          <w:sz w:val="24"/>
        </w:rPr>
        <w:t xml:space="preserve"> — ЕКСПОЗИЦИИ В ТЪРГОВСКИЯ ПОРТФЕЙЛ (I </w:t>
      </w:r>
      <w:r w:rsidRPr="009C4695">
        <w:rPr>
          <w:rFonts w:ascii="Times New Roman" w:hAnsi="Times New Roman"/>
          <w:sz w:val="24"/>
        </w:rPr>
        <w:t>8.5</w:t>
      </w:r>
      <w:r w:rsidRPr="009C4695">
        <w:rPr>
          <w:rFonts w:ascii="Times New Roman" w:hAnsi="Times New Roman"/>
          <w:sz w:val="24"/>
        </w:rPr>
        <w:t>)</w:t>
      </w:r>
      <w:bookmarkEnd w:id="94"/>
    </w:p>
    <w:p w14:paraId="5B69F175" w14:textId="77777777" w:rsidR="001B665C" w:rsidRPr="009C4695" w:rsidRDefault="009C4695">
      <w:pPr>
        <w:pStyle w:val="Instructionsberschrift2"/>
        <w:ind w:left="357" w:hanging="357"/>
        <w:rPr>
          <w:rFonts w:ascii="Times New Roman" w:hAnsi="Times New Roman" w:cs="Times New Roman"/>
        </w:rPr>
      </w:pPr>
      <w:bookmarkStart w:id="95" w:name="_Toc88218362"/>
      <w:r w:rsidRPr="009C4695">
        <w:rPr>
          <w:rFonts w:ascii="Times New Roman" w:hAnsi="Times New Roman"/>
          <w:sz w:val="24"/>
          <w:u w:val="none"/>
        </w:rPr>
        <w:t>4.7.1.</w:t>
      </w:r>
      <w:r w:rsidRPr="009C4695">
        <w:rPr>
          <w:rFonts w:ascii="Times New Roman" w:hAnsi="Times New Roman"/>
          <w:sz w:val="24"/>
          <w:u w:val="none"/>
        </w:rPr>
        <w:tab/>
      </w:r>
      <w:r w:rsidRPr="009C4695">
        <w:rPr>
          <w:rFonts w:ascii="Times New Roman" w:hAnsi="Times New Roman"/>
          <w:sz w:val="24"/>
        </w:rPr>
        <w:t>Указания относно определени колони</w:t>
      </w:r>
      <w:bookmarkEnd w:id="9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1B665C" w:rsidRPr="009C4695" w14:paraId="13B76C3C" w14:textId="77777777">
        <w:tc>
          <w:tcPr>
            <w:tcW w:w="1389" w:type="dxa"/>
            <w:shd w:val="clear" w:color="auto" w:fill="D9D9D9"/>
          </w:tcPr>
          <w:p w14:paraId="0A61088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Колони</w:t>
            </w:r>
          </w:p>
        </w:tc>
        <w:tc>
          <w:tcPr>
            <w:tcW w:w="7620" w:type="dxa"/>
            <w:shd w:val="clear" w:color="auto" w:fill="D9D9D9"/>
          </w:tcPr>
          <w:p w14:paraId="4790A930"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Препратки към законодателни актове и указания</w:t>
            </w:r>
          </w:p>
        </w:tc>
      </w:tr>
      <w:tr w:rsidR="001B665C" w:rsidRPr="009C4695" w14:paraId="549957AD" w14:textId="77777777">
        <w:tc>
          <w:tcPr>
            <w:tcW w:w="1389" w:type="dxa"/>
          </w:tcPr>
          <w:p w14:paraId="7EBFEC72"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0010—0050</w:t>
            </w:r>
          </w:p>
        </w:tc>
        <w:tc>
          <w:tcPr>
            <w:tcW w:w="7620" w:type="dxa"/>
          </w:tcPr>
          <w:p w14:paraId="23DEC987"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Експозиции в търговския портфейл</w:t>
            </w:r>
          </w:p>
          <w:p w14:paraId="34E5FA1D"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54, параграф 2, буква а) от Регламент (ЕС) 2019/2033.</w:t>
            </w:r>
          </w:p>
          <w:p w14:paraId="75B8FB9B"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Инвестиционният посредник докладва информация за петте най-големи експозиции в търговския портфейл, ако има такива.</w:t>
            </w:r>
          </w:p>
        </w:tc>
      </w:tr>
      <w:tr w:rsidR="001B665C" w:rsidRPr="009C4695" w14:paraId="7EAB3E06" w14:textId="77777777">
        <w:tc>
          <w:tcPr>
            <w:tcW w:w="1389" w:type="dxa"/>
          </w:tcPr>
          <w:p w14:paraId="19C5771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w:t>
            </w:r>
          </w:p>
        </w:tc>
        <w:tc>
          <w:tcPr>
            <w:tcW w:w="7620" w:type="dxa"/>
          </w:tcPr>
          <w:p w14:paraId="4777899F" w14:textId="77777777" w:rsidR="001B665C" w:rsidRPr="009C4695" w:rsidRDefault="009C4695">
            <w:pPr>
              <w:pStyle w:val="InstructionsText"/>
              <w:rPr>
                <w:rStyle w:val="InstructionsTabelleberschrift"/>
                <w:rFonts w:ascii="Times New Roman" w:hAnsi="Times New Roman"/>
                <w:sz w:val="22"/>
                <w:szCs w:val="22"/>
              </w:rPr>
            </w:pPr>
            <w:r w:rsidRPr="009C4695">
              <w:rPr>
                <w:rStyle w:val="InstructionsTabelleberschrift"/>
                <w:rFonts w:ascii="Times New Roman" w:hAnsi="Times New Roman"/>
                <w:sz w:val="22"/>
                <w:szCs w:val="22"/>
              </w:rPr>
              <w:t>Код</w:t>
            </w:r>
          </w:p>
          <w:p w14:paraId="4FE77CCA"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Style w:val="FormatvorlageInstructionsTabelleText"/>
                <w:rFonts w:ascii="Times New Roman" w:hAnsi="Times New Roman"/>
                <w:sz w:val="22"/>
              </w:rPr>
              <w:t>Кодът като част от идентифик</w:t>
            </w:r>
            <w:r w:rsidRPr="009C4695">
              <w:rPr>
                <w:rStyle w:val="FormatvorlageInstructionsTabelleText"/>
                <w:rFonts w:ascii="Times New Roman" w:hAnsi="Times New Roman"/>
                <w:sz w:val="22"/>
              </w:rPr>
              <w:t>атора на реда трябва да бъде индивидуален за всеки субект, за който се отнася докладваната информация. За инвестиционните посредници и застрахователните предприятия кодът е ИКПС. За останалите субекти кодът е ИКПС или, ако няма такъв, национален код. Кодът</w:t>
            </w:r>
            <w:r w:rsidRPr="009C4695">
              <w:rPr>
                <w:rStyle w:val="FormatvorlageInstructionsTabelleText"/>
                <w:rFonts w:ascii="Times New Roman" w:hAnsi="Times New Roman"/>
                <w:sz w:val="22"/>
              </w:rPr>
              <w:t xml:space="preserve"> е индивидуален и се използва последователно във всички образци и във времето. Полето с кода трябва винаги да бъде попълнено.</w:t>
            </w:r>
          </w:p>
        </w:tc>
      </w:tr>
      <w:tr w:rsidR="001B665C" w:rsidRPr="009C4695" w14:paraId="32101ABE" w14:textId="77777777">
        <w:tc>
          <w:tcPr>
            <w:tcW w:w="1389" w:type="dxa"/>
          </w:tcPr>
          <w:p w14:paraId="0A777AE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0020</w:t>
            </w:r>
          </w:p>
        </w:tc>
        <w:tc>
          <w:tcPr>
            <w:tcW w:w="7620" w:type="dxa"/>
          </w:tcPr>
          <w:p w14:paraId="24B36443" w14:textId="77777777" w:rsidR="001B665C" w:rsidRPr="009C4695" w:rsidRDefault="009C4695">
            <w:pPr>
              <w:pStyle w:val="InstructionsText"/>
              <w:rPr>
                <w:rStyle w:val="InstructionsTabelleberschrift"/>
                <w:rFonts w:ascii="Times New Roman" w:hAnsi="Times New Roman"/>
                <w:sz w:val="22"/>
                <w:szCs w:val="22"/>
              </w:rPr>
            </w:pPr>
            <w:r w:rsidRPr="009C4695">
              <w:rPr>
                <w:rStyle w:val="InstructionsTabelleberschrift"/>
                <w:rFonts w:ascii="Times New Roman" w:hAnsi="Times New Roman"/>
                <w:sz w:val="22"/>
                <w:szCs w:val="22"/>
              </w:rPr>
              <w:t>Вид на кода</w:t>
            </w:r>
          </w:p>
          <w:p w14:paraId="111A1E7B"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 xml:space="preserve">Инвестиционните посредници посочват вида код, който са посочили в колона 0010 като „ИКПС“ или </w:t>
            </w:r>
            <w:r w:rsidRPr="009C4695">
              <w:rPr>
                <w:rFonts w:ascii="Times New Roman" w:hAnsi="Times New Roman"/>
                <w:bCs/>
              </w:rPr>
              <w:t>„Национален код“.</w:t>
            </w:r>
          </w:p>
        </w:tc>
      </w:tr>
      <w:tr w:rsidR="001B665C" w:rsidRPr="009C4695" w14:paraId="50241AAE" w14:textId="77777777">
        <w:tc>
          <w:tcPr>
            <w:tcW w:w="1389" w:type="dxa"/>
          </w:tcPr>
          <w:p w14:paraId="2EDEBE7F"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0030</w:t>
            </w:r>
          </w:p>
        </w:tc>
        <w:tc>
          <w:tcPr>
            <w:tcW w:w="7620" w:type="dxa"/>
          </w:tcPr>
          <w:p w14:paraId="323ECEF3"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Наименование</w:t>
            </w:r>
          </w:p>
          <w:p w14:paraId="2E961EB0"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Когато се посочва група от свързани контрагенти, наименованието трябва да съответства на наименованието на дружеството майка. Във всички останали случаи наименованието трябва да съответства на отделния контрагент.</w:t>
            </w:r>
          </w:p>
        </w:tc>
      </w:tr>
      <w:tr w:rsidR="001B665C" w:rsidRPr="009C4695" w14:paraId="58421C12" w14:textId="77777777">
        <w:tc>
          <w:tcPr>
            <w:tcW w:w="1389" w:type="dxa"/>
          </w:tcPr>
          <w:p w14:paraId="14206FC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0040</w:t>
            </w:r>
          </w:p>
        </w:tc>
        <w:tc>
          <w:tcPr>
            <w:tcW w:w="7620" w:type="dxa"/>
          </w:tcPr>
          <w:p w14:paraId="3B6C4A8E"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Група/отделно лице</w:t>
            </w:r>
          </w:p>
          <w:p w14:paraId="447504B3"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rPr>
              <w:t>Инвестиционният посредник докладва „1“ за експозициите към клиенти, които са отделни лица, или „2“ за експозициите към групи от свързани клиенти.</w:t>
            </w:r>
          </w:p>
        </w:tc>
      </w:tr>
      <w:tr w:rsidR="001B665C" w:rsidRPr="009C4695" w14:paraId="7C177E31" w14:textId="77777777">
        <w:tc>
          <w:tcPr>
            <w:tcW w:w="1389" w:type="dxa"/>
          </w:tcPr>
          <w:p w14:paraId="7B3BBE9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0050</w:t>
            </w:r>
          </w:p>
        </w:tc>
        <w:tc>
          <w:tcPr>
            <w:tcW w:w="7620" w:type="dxa"/>
          </w:tcPr>
          <w:p w14:paraId="3E0BC82D"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 xml:space="preserve">Процент на експозицията към този контрагент по отношение на собствения </w:t>
            </w:r>
            <w:r w:rsidRPr="009C4695">
              <w:rPr>
                <w:rFonts w:ascii="Times New Roman" w:hAnsi="Times New Roman"/>
                <w:b/>
                <w:bCs/>
                <w:u w:val="single"/>
              </w:rPr>
              <w:t>капитал на инвестиционния посредник (само позиции в търговския портфейл)</w:t>
            </w:r>
          </w:p>
          <w:p w14:paraId="650B4308"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Инвестиционният посредник докладва експозициите в търговския портфейл към датата, към която се съставя докладът, към всеки от контрагентите или групите от свързани контрагенти, за кои</w:t>
            </w:r>
            <w:r w:rsidRPr="009C4695">
              <w:rPr>
                <w:rFonts w:ascii="Times New Roman" w:hAnsi="Times New Roman"/>
                <w:bCs/>
              </w:rPr>
              <w:t>то се докладва информация, изразени като процент от собствения капитал.</w:t>
            </w:r>
          </w:p>
        </w:tc>
      </w:tr>
    </w:tbl>
    <w:p w14:paraId="2C511A68" w14:textId="77777777" w:rsidR="001B665C" w:rsidRPr="009C4695" w:rsidRDefault="001B665C">
      <w:pPr>
        <w:spacing w:after="0"/>
        <w:rPr>
          <w:rFonts w:ascii="Times New Roman" w:hAnsi="Times New Roman" w:cs="Times New Roman"/>
          <w:u w:val="single"/>
        </w:rPr>
      </w:pPr>
    </w:p>
    <w:p w14:paraId="3E6EE451" w14:textId="77777777" w:rsidR="001B665C" w:rsidRPr="009C4695" w:rsidRDefault="009C4695">
      <w:pPr>
        <w:pStyle w:val="Instructionsberschrift2"/>
        <w:ind w:left="357" w:hanging="357"/>
        <w:rPr>
          <w:rFonts w:ascii="Times New Roman" w:hAnsi="Times New Roman" w:cs="Times New Roman"/>
          <w:sz w:val="24"/>
        </w:rPr>
      </w:pPr>
      <w:bookmarkStart w:id="96" w:name="_Toc88218363"/>
      <w:r w:rsidRPr="009C4695">
        <w:rPr>
          <w:rFonts w:ascii="Times New Roman" w:hAnsi="Times New Roman"/>
          <w:sz w:val="24"/>
        </w:rPr>
        <w:t>4.8.</w:t>
      </w:r>
      <w:r w:rsidRPr="009C4695">
        <w:rPr>
          <w:rFonts w:ascii="Times New Roman" w:hAnsi="Times New Roman"/>
          <w:sz w:val="24"/>
        </w:rPr>
        <w:t xml:space="preserve"> I </w:t>
      </w:r>
      <w:r w:rsidRPr="009C4695">
        <w:rPr>
          <w:rFonts w:ascii="Times New Roman" w:hAnsi="Times New Roman"/>
          <w:sz w:val="24"/>
        </w:rPr>
        <w:t>08.06</w:t>
      </w:r>
      <w:r w:rsidRPr="009C4695">
        <w:rPr>
          <w:rFonts w:ascii="Times New Roman" w:hAnsi="Times New Roman"/>
          <w:sz w:val="24"/>
        </w:rPr>
        <w:t xml:space="preserve"> – ПОЗИЦИИ, НЕВПИСАНИ В ТЪРГОВСКИЯ ПОРТФЕЙЛ, И ЗАДБАЛАНСОВИ ПОЗИЦИИ (I </w:t>
      </w:r>
      <w:r w:rsidRPr="009C4695">
        <w:rPr>
          <w:rFonts w:ascii="Times New Roman" w:hAnsi="Times New Roman"/>
          <w:sz w:val="24"/>
        </w:rPr>
        <w:t>8.6</w:t>
      </w:r>
      <w:r w:rsidRPr="009C4695">
        <w:rPr>
          <w:rFonts w:ascii="Times New Roman" w:hAnsi="Times New Roman"/>
          <w:sz w:val="24"/>
        </w:rPr>
        <w:t>)</w:t>
      </w:r>
      <w:bookmarkEnd w:id="96"/>
    </w:p>
    <w:p w14:paraId="3F39DDC7" w14:textId="77777777" w:rsidR="001B665C" w:rsidRPr="009C4695" w:rsidRDefault="009C4695">
      <w:pPr>
        <w:pStyle w:val="Instructionsberschrift2"/>
        <w:ind w:left="357" w:hanging="357"/>
        <w:rPr>
          <w:rFonts w:ascii="Times New Roman" w:hAnsi="Times New Roman" w:cs="Times New Roman"/>
        </w:rPr>
      </w:pPr>
      <w:bookmarkStart w:id="97" w:name="_Toc88218364"/>
      <w:r w:rsidRPr="009C4695">
        <w:rPr>
          <w:rFonts w:ascii="Times New Roman" w:hAnsi="Times New Roman"/>
          <w:sz w:val="24"/>
          <w:u w:val="none"/>
        </w:rPr>
        <w:t>4.8.1.</w:t>
      </w:r>
      <w:r w:rsidRPr="009C4695">
        <w:rPr>
          <w:rFonts w:ascii="Times New Roman" w:hAnsi="Times New Roman"/>
          <w:sz w:val="24"/>
          <w:u w:val="none"/>
        </w:rPr>
        <w:tab/>
      </w:r>
      <w:r w:rsidRPr="009C4695">
        <w:rPr>
          <w:rFonts w:ascii="Times New Roman" w:hAnsi="Times New Roman"/>
          <w:sz w:val="24"/>
        </w:rPr>
        <w:t>Указания относно определени колони</w:t>
      </w:r>
      <w:bookmarkEnd w:id="97"/>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1B665C" w:rsidRPr="009C4695" w14:paraId="0F9FC3CB" w14:textId="77777777">
        <w:tc>
          <w:tcPr>
            <w:tcW w:w="1389" w:type="dxa"/>
            <w:shd w:val="clear" w:color="auto" w:fill="D9D9D9"/>
          </w:tcPr>
          <w:p w14:paraId="29FDF9C7"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szCs w:val="24"/>
              </w:rPr>
              <w:t>Колони</w:t>
            </w:r>
          </w:p>
        </w:tc>
        <w:tc>
          <w:tcPr>
            <w:tcW w:w="7620" w:type="dxa"/>
            <w:shd w:val="clear" w:color="auto" w:fill="D9D9D9"/>
          </w:tcPr>
          <w:p w14:paraId="0F642302"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szCs w:val="24"/>
              </w:rPr>
              <w:t xml:space="preserve">Препратки към законодателни актове и </w:t>
            </w:r>
            <w:r w:rsidRPr="009C4695">
              <w:rPr>
                <w:rFonts w:ascii="Times New Roman" w:hAnsi="Times New Roman"/>
                <w:szCs w:val="24"/>
              </w:rPr>
              <w:t>указания</w:t>
            </w:r>
          </w:p>
        </w:tc>
      </w:tr>
      <w:tr w:rsidR="001B665C" w:rsidRPr="009C4695" w14:paraId="497D1251" w14:textId="77777777">
        <w:tc>
          <w:tcPr>
            <w:tcW w:w="1389" w:type="dxa"/>
          </w:tcPr>
          <w:p w14:paraId="7F2701D5"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bCs/>
                <w:szCs w:val="24"/>
              </w:rPr>
              <w:t>0010—0050</w:t>
            </w:r>
          </w:p>
        </w:tc>
        <w:tc>
          <w:tcPr>
            <w:tcW w:w="7620" w:type="dxa"/>
          </w:tcPr>
          <w:p w14:paraId="167E4656" w14:textId="77777777" w:rsidR="001B665C" w:rsidRPr="009C4695" w:rsidRDefault="009C4695">
            <w:pPr>
              <w:spacing w:after="120" w:line="240" w:lineRule="auto"/>
              <w:jc w:val="both"/>
              <w:rPr>
                <w:rFonts w:ascii="Times New Roman" w:eastAsia="Times New Roman" w:hAnsi="Times New Roman" w:cs="Times New Roman"/>
                <w:b/>
                <w:bCs/>
                <w:szCs w:val="24"/>
                <w:u w:val="single"/>
              </w:rPr>
            </w:pPr>
            <w:r w:rsidRPr="009C4695">
              <w:rPr>
                <w:rFonts w:ascii="Times New Roman" w:hAnsi="Times New Roman"/>
                <w:b/>
                <w:bCs/>
                <w:szCs w:val="24"/>
                <w:u w:val="single"/>
              </w:rPr>
              <w:t>Позиции, невписани в търговския портфейл, и задбалансови позиции</w:t>
            </w:r>
          </w:p>
          <w:p w14:paraId="055D11C2"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bCs/>
              </w:rPr>
              <w:t>Член 54, параграф 2, буква е) от Регламент (ЕС) 2019/2033.</w:t>
            </w:r>
          </w:p>
          <w:p w14:paraId="5E7F0203" w14:textId="77777777" w:rsidR="001B665C" w:rsidRPr="009C4695" w:rsidRDefault="009C4695">
            <w:pPr>
              <w:spacing w:after="120" w:line="240" w:lineRule="auto"/>
              <w:jc w:val="both"/>
              <w:rPr>
                <w:rFonts w:ascii="Times New Roman" w:eastAsia="Times New Roman" w:hAnsi="Times New Roman" w:cs="Times New Roman"/>
                <w:b/>
                <w:bCs/>
                <w:szCs w:val="24"/>
                <w:u w:val="single"/>
              </w:rPr>
            </w:pPr>
            <w:r w:rsidRPr="009C4695">
              <w:rPr>
                <w:rFonts w:ascii="Times New Roman" w:hAnsi="Times New Roman"/>
                <w:bCs/>
                <w:szCs w:val="24"/>
              </w:rPr>
              <w:t xml:space="preserve">Инвестиционният посредник докладва информация за петте най-големи експозиции, ако има такива, изчислени при </w:t>
            </w:r>
            <w:r w:rsidRPr="009C4695">
              <w:rPr>
                <w:rFonts w:ascii="Times New Roman" w:hAnsi="Times New Roman"/>
                <w:bCs/>
                <w:szCs w:val="24"/>
              </w:rPr>
              <w:t>отчитане на активите, които не са вписани в търговския портфейл.</w:t>
            </w:r>
          </w:p>
        </w:tc>
      </w:tr>
      <w:tr w:rsidR="001B665C" w:rsidRPr="009C4695" w14:paraId="01709918" w14:textId="77777777">
        <w:tc>
          <w:tcPr>
            <w:tcW w:w="1389" w:type="dxa"/>
          </w:tcPr>
          <w:p w14:paraId="5E349679"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bCs/>
                <w:szCs w:val="24"/>
              </w:rPr>
              <w:t>0010</w:t>
            </w:r>
          </w:p>
        </w:tc>
        <w:tc>
          <w:tcPr>
            <w:tcW w:w="7620" w:type="dxa"/>
          </w:tcPr>
          <w:p w14:paraId="227D9320" w14:textId="77777777" w:rsidR="001B665C" w:rsidRPr="009C4695" w:rsidRDefault="009C4695">
            <w:pPr>
              <w:pStyle w:val="InstructionsText"/>
              <w:rPr>
                <w:rStyle w:val="InstructionsTabelleberschrift"/>
                <w:rFonts w:ascii="Times New Roman" w:hAnsi="Times New Roman"/>
                <w:sz w:val="22"/>
              </w:rPr>
            </w:pPr>
            <w:r w:rsidRPr="009C4695">
              <w:rPr>
                <w:rStyle w:val="InstructionsTabelleberschrift"/>
                <w:rFonts w:ascii="Times New Roman" w:hAnsi="Times New Roman"/>
                <w:sz w:val="22"/>
              </w:rPr>
              <w:t>Код</w:t>
            </w:r>
          </w:p>
          <w:p w14:paraId="4681ED12" w14:textId="77777777" w:rsidR="001B665C" w:rsidRPr="009C4695" w:rsidRDefault="009C4695">
            <w:pPr>
              <w:spacing w:after="120" w:line="240" w:lineRule="auto"/>
              <w:jc w:val="both"/>
              <w:rPr>
                <w:rFonts w:ascii="Times New Roman" w:eastAsia="Times New Roman" w:hAnsi="Times New Roman" w:cs="Times New Roman"/>
                <w:b/>
                <w:bCs/>
                <w:szCs w:val="24"/>
                <w:u w:val="single"/>
              </w:rPr>
            </w:pPr>
            <w:r w:rsidRPr="009C4695">
              <w:rPr>
                <w:rStyle w:val="FormatvorlageInstructionsTabelleText"/>
                <w:rFonts w:ascii="Times New Roman" w:hAnsi="Times New Roman"/>
                <w:sz w:val="22"/>
                <w:szCs w:val="24"/>
              </w:rPr>
              <w:t xml:space="preserve">Кодът като част от идентификатора на реда трябва да бъде индивидуален за всеки субект, за който се отнася докладваната информация. За инвестиционните посредници и </w:t>
            </w:r>
            <w:r w:rsidRPr="009C4695">
              <w:rPr>
                <w:rStyle w:val="FormatvorlageInstructionsTabelleText"/>
                <w:rFonts w:ascii="Times New Roman" w:hAnsi="Times New Roman"/>
                <w:sz w:val="22"/>
                <w:szCs w:val="24"/>
              </w:rPr>
              <w:t>застрахователните предприятия кодът е ИКПС. За останалите субекти кодът е ИКПС или, ако няма такъв, национален код. Кодът е индивидуален и се използва последователно във всички образци и във времето. Полето с кода трябва винаги да бъде попълнено.</w:t>
            </w:r>
          </w:p>
        </w:tc>
      </w:tr>
      <w:tr w:rsidR="001B665C" w:rsidRPr="009C4695" w14:paraId="57232D96" w14:textId="77777777">
        <w:tc>
          <w:tcPr>
            <w:tcW w:w="1389" w:type="dxa"/>
          </w:tcPr>
          <w:p w14:paraId="57ADE11E"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bCs/>
                <w:szCs w:val="24"/>
              </w:rPr>
              <w:t>0020</w:t>
            </w:r>
          </w:p>
        </w:tc>
        <w:tc>
          <w:tcPr>
            <w:tcW w:w="7620" w:type="dxa"/>
          </w:tcPr>
          <w:p w14:paraId="44A22CF7" w14:textId="77777777" w:rsidR="001B665C" w:rsidRPr="009C4695" w:rsidRDefault="009C4695">
            <w:pPr>
              <w:pStyle w:val="InstructionsText"/>
              <w:rPr>
                <w:rStyle w:val="InstructionsTabelleberschrift"/>
                <w:rFonts w:ascii="Times New Roman" w:hAnsi="Times New Roman"/>
                <w:sz w:val="22"/>
              </w:rPr>
            </w:pPr>
            <w:r w:rsidRPr="009C4695">
              <w:rPr>
                <w:rStyle w:val="InstructionsTabelleberschrift"/>
                <w:rFonts w:ascii="Times New Roman" w:hAnsi="Times New Roman"/>
                <w:sz w:val="22"/>
              </w:rPr>
              <w:t>Вид</w:t>
            </w:r>
            <w:r w:rsidRPr="009C4695">
              <w:rPr>
                <w:rStyle w:val="InstructionsTabelleberschrift"/>
                <w:rFonts w:ascii="Times New Roman" w:hAnsi="Times New Roman"/>
                <w:sz w:val="22"/>
              </w:rPr>
              <w:t xml:space="preserve"> на кода</w:t>
            </w:r>
          </w:p>
          <w:p w14:paraId="1CA3E8B5" w14:textId="77777777" w:rsidR="001B665C" w:rsidRPr="009C4695" w:rsidRDefault="009C4695">
            <w:pPr>
              <w:spacing w:after="120" w:line="240" w:lineRule="auto"/>
              <w:jc w:val="both"/>
              <w:rPr>
                <w:rFonts w:ascii="Times New Roman" w:eastAsia="Times New Roman" w:hAnsi="Times New Roman" w:cs="Times New Roman"/>
                <w:b/>
                <w:bCs/>
                <w:szCs w:val="24"/>
                <w:u w:val="single"/>
              </w:rPr>
            </w:pPr>
            <w:r w:rsidRPr="009C4695">
              <w:rPr>
                <w:rFonts w:ascii="Times New Roman" w:hAnsi="Times New Roman"/>
                <w:bCs/>
                <w:szCs w:val="24"/>
              </w:rPr>
              <w:t>Инвестиционните посредници посочват вида код, който са посочили в колона 0010 като „ИКПС“ или „Национален код“.</w:t>
            </w:r>
          </w:p>
        </w:tc>
      </w:tr>
      <w:tr w:rsidR="001B665C" w:rsidRPr="009C4695" w14:paraId="48C62403" w14:textId="77777777">
        <w:tc>
          <w:tcPr>
            <w:tcW w:w="1389" w:type="dxa"/>
          </w:tcPr>
          <w:p w14:paraId="7B98B86B"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bCs/>
                <w:szCs w:val="24"/>
              </w:rPr>
              <w:t>0030</w:t>
            </w:r>
          </w:p>
        </w:tc>
        <w:tc>
          <w:tcPr>
            <w:tcW w:w="7620" w:type="dxa"/>
          </w:tcPr>
          <w:p w14:paraId="2CE7D469" w14:textId="77777777" w:rsidR="001B665C" w:rsidRPr="009C4695" w:rsidRDefault="009C4695">
            <w:pPr>
              <w:spacing w:after="120" w:line="240" w:lineRule="auto"/>
              <w:jc w:val="both"/>
              <w:rPr>
                <w:rFonts w:ascii="Times New Roman" w:eastAsia="Times New Roman" w:hAnsi="Times New Roman" w:cs="Times New Roman"/>
                <w:b/>
                <w:bCs/>
                <w:szCs w:val="24"/>
                <w:u w:val="single"/>
              </w:rPr>
            </w:pPr>
            <w:r w:rsidRPr="009C4695">
              <w:rPr>
                <w:rFonts w:ascii="Times New Roman" w:hAnsi="Times New Roman"/>
                <w:b/>
                <w:bCs/>
                <w:szCs w:val="24"/>
                <w:u w:val="single"/>
              </w:rPr>
              <w:t>Наименование</w:t>
            </w:r>
          </w:p>
          <w:p w14:paraId="54CC9D94"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szCs w:val="23"/>
              </w:rPr>
              <w:t>Когато се посочва група от свързани контрагенти, наименованието трябва да съответства на наименованието на дружество</w:t>
            </w:r>
            <w:r w:rsidRPr="009C4695">
              <w:rPr>
                <w:rFonts w:ascii="Times New Roman" w:hAnsi="Times New Roman"/>
                <w:szCs w:val="23"/>
              </w:rPr>
              <w:t>то майка. Във всички останали случаи наименованието трябва да съответства на отделния контрагент.</w:t>
            </w:r>
          </w:p>
        </w:tc>
      </w:tr>
      <w:tr w:rsidR="001B665C" w:rsidRPr="009C4695" w14:paraId="58501ECF" w14:textId="77777777">
        <w:tc>
          <w:tcPr>
            <w:tcW w:w="1389" w:type="dxa"/>
          </w:tcPr>
          <w:p w14:paraId="74605A7B"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bCs/>
                <w:szCs w:val="24"/>
              </w:rPr>
              <w:t>0040</w:t>
            </w:r>
          </w:p>
        </w:tc>
        <w:tc>
          <w:tcPr>
            <w:tcW w:w="7620" w:type="dxa"/>
          </w:tcPr>
          <w:p w14:paraId="2F7C2742" w14:textId="77777777" w:rsidR="001B665C" w:rsidRPr="009C4695" w:rsidRDefault="009C4695">
            <w:pPr>
              <w:spacing w:after="120" w:line="240" w:lineRule="auto"/>
              <w:jc w:val="both"/>
              <w:rPr>
                <w:rFonts w:ascii="Times New Roman" w:eastAsia="Times New Roman" w:hAnsi="Times New Roman" w:cs="Times New Roman"/>
                <w:b/>
                <w:bCs/>
                <w:szCs w:val="24"/>
                <w:u w:val="single"/>
              </w:rPr>
            </w:pPr>
            <w:r w:rsidRPr="009C4695">
              <w:rPr>
                <w:rFonts w:ascii="Times New Roman" w:hAnsi="Times New Roman"/>
                <w:b/>
                <w:bCs/>
                <w:szCs w:val="24"/>
                <w:u w:val="single"/>
              </w:rPr>
              <w:t>Група/отделно лице</w:t>
            </w:r>
          </w:p>
          <w:p w14:paraId="48FACB25" w14:textId="77777777" w:rsidR="001B665C" w:rsidRPr="009C4695" w:rsidRDefault="009C4695">
            <w:pPr>
              <w:spacing w:after="120" w:line="240" w:lineRule="auto"/>
              <w:jc w:val="both"/>
              <w:rPr>
                <w:rFonts w:ascii="Times New Roman" w:eastAsia="Times New Roman" w:hAnsi="Times New Roman" w:cs="Times New Roman"/>
                <w:b/>
                <w:bCs/>
                <w:szCs w:val="24"/>
                <w:u w:val="single"/>
              </w:rPr>
            </w:pPr>
            <w:r w:rsidRPr="009C4695">
              <w:rPr>
                <w:rFonts w:ascii="Times New Roman" w:hAnsi="Times New Roman"/>
                <w:szCs w:val="24"/>
              </w:rPr>
              <w:t>Инвестиционният посредник докладва „1“ за експозициите към клиенти, които са отделни лица, или „2“ за експозициите към групи от свърз</w:t>
            </w:r>
            <w:r w:rsidRPr="009C4695">
              <w:rPr>
                <w:rFonts w:ascii="Times New Roman" w:hAnsi="Times New Roman"/>
                <w:szCs w:val="24"/>
              </w:rPr>
              <w:t>ани клиенти.</w:t>
            </w:r>
          </w:p>
        </w:tc>
      </w:tr>
      <w:tr w:rsidR="001B665C" w:rsidRPr="009C4695" w14:paraId="017D7B8C" w14:textId="77777777">
        <w:tc>
          <w:tcPr>
            <w:tcW w:w="1389" w:type="dxa"/>
          </w:tcPr>
          <w:p w14:paraId="14BAD946" w14:textId="77777777" w:rsidR="001B665C" w:rsidRPr="009C4695" w:rsidRDefault="009C4695">
            <w:pPr>
              <w:spacing w:after="120" w:line="240" w:lineRule="auto"/>
              <w:jc w:val="both"/>
              <w:rPr>
                <w:rFonts w:ascii="Times New Roman" w:eastAsia="Times New Roman" w:hAnsi="Times New Roman" w:cs="Times New Roman"/>
                <w:bCs/>
                <w:szCs w:val="24"/>
              </w:rPr>
            </w:pPr>
            <w:r w:rsidRPr="009C4695">
              <w:rPr>
                <w:rFonts w:ascii="Times New Roman" w:hAnsi="Times New Roman"/>
                <w:bCs/>
                <w:szCs w:val="24"/>
              </w:rPr>
              <w:t>0050</w:t>
            </w:r>
          </w:p>
        </w:tc>
        <w:tc>
          <w:tcPr>
            <w:tcW w:w="7620" w:type="dxa"/>
          </w:tcPr>
          <w:p w14:paraId="5F2DFF63" w14:textId="77777777" w:rsidR="001B665C" w:rsidRPr="009C4695" w:rsidRDefault="009C4695">
            <w:pPr>
              <w:spacing w:after="120" w:line="240" w:lineRule="auto"/>
              <w:jc w:val="both"/>
              <w:rPr>
                <w:rFonts w:ascii="Times New Roman" w:eastAsia="Times New Roman" w:hAnsi="Times New Roman" w:cs="Times New Roman"/>
                <w:b/>
                <w:bCs/>
                <w:szCs w:val="24"/>
                <w:u w:val="single"/>
              </w:rPr>
            </w:pPr>
            <w:r w:rsidRPr="009C4695">
              <w:rPr>
                <w:rFonts w:ascii="Times New Roman" w:hAnsi="Times New Roman"/>
                <w:b/>
                <w:bCs/>
                <w:szCs w:val="24"/>
                <w:u w:val="single"/>
              </w:rPr>
              <w:t>Процент на експозицията спрямо собствения капитал на инвестиционния посредник (включително задбалансови активи и позиции, невписани в търговския портфейл)</w:t>
            </w:r>
          </w:p>
          <w:p w14:paraId="02AB5235" w14:textId="77777777" w:rsidR="001B665C" w:rsidRPr="009C4695" w:rsidRDefault="009C4695">
            <w:pPr>
              <w:spacing w:after="120" w:line="240" w:lineRule="auto"/>
              <w:jc w:val="both"/>
              <w:rPr>
                <w:rFonts w:ascii="Times New Roman" w:eastAsia="Times New Roman" w:hAnsi="Times New Roman" w:cs="Times New Roman"/>
                <w:b/>
                <w:bCs/>
                <w:szCs w:val="24"/>
                <w:u w:val="single"/>
              </w:rPr>
            </w:pPr>
            <w:r w:rsidRPr="009C4695">
              <w:rPr>
                <w:rFonts w:ascii="Times New Roman" w:hAnsi="Times New Roman"/>
                <w:bCs/>
                <w:szCs w:val="24"/>
              </w:rPr>
              <w:t xml:space="preserve">В допълнение към позициите в търговския портфейл инвестиционният </w:t>
            </w:r>
            <w:r w:rsidRPr="009C4695">
              <w:rPr>
                <w:rFonts w:ascii="Times New Roman" w:hAnsi="Times New Roman"/>
                <w:bCs/>
                <w:szCs w:val="24"/>
              </w:rPr>
              <w:t>посредник докладва експозициите, изчислени при отчитане на активите и задбалансовите позиции извън търговския портфейл и изразени като процент от допустимия капитал, към датата, към която се съставя докладът, за всеки от контрагентите или групите от свърза</w:t>
            </w:r>
            <w:r w:rsidRPr="009C4695">
              <w:rPr>
                <w:rFonts w:ascii="Times New Roman" w:hAnsi="Times New Roman"/>
                <w:bCs/>
                <w:szCs w:val="24"/>
              </w:rPr>
              <w:t>ни контрагенти, за които се докладва информация.</w:t>
            </w:r>
          </w:p>
        </w:tc>
      </w:tr>
    </w:tbl>
    <w:p w14:paraId="45F9577E" w14:textId="77777777" w:rsidR="001B665C" w:rsidRPr="009C4695" w:rsidRDefault="001B665C">
      <w:pPr>
        <w:spacing w:after="0"/>
        <w:rPr>
          <w:rFonts w:ascii="Times New Roman" w:hAnsi="Times New Roman" w:cs="Times New Roman"/>
          <w:u w:val="single"/>
        </w:rPr>
      </w:pPr>
    </w:p>
    <w:p w14:paraId="099E5F01" w14:textId="77777777" w:rsidR="001B665C" w:rsidRPr="009C4695" w:rsidRDefault="009C4695">
      <w:pPr>
        <w:pStyle w:val="Instructionsberschrift2"/>
        <w:ind w:left="357" w:hanging="357"/>
        <w:rPr>
          <w:rFonts w:ascii="Times New Roman" w:hAnsi="Times New Roman" w:cs="Times New Roman"/>
          <w:b/>
          <w:sz w:val="24"/>
        </w:rPr>
      </w:pPr>
      <w:bookmarkStart w:id="98" w:name="_Toc88218365"/>
      <w:r w:rsidRPr="009C4695">
        <w:rPr>
          <w:rFonts w:ascii="Times New Roman" w:hAnsi="Times New Roman"/>
          <w:b/>
          <w:sz w:val="24"/>
        </w:rPr>
        <w:t>5. Изисквания за ликвидност</w:t>
      </w:r>
      <w:bookmarkEnd w:id="98"/>
    </w:p>
    <w:p w14:paraId="1BAF4EC1" w14:textId="77777777" w:rsidR="001B665C" w:rsidRPr="009C4695" w:rsidRDefault="009C469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99" w:name="_Toc88218366"/>
      <w:r w:rsidRPr="009C4695">
        <w:rPr>
          <w:rFonts w:ascii="Times New Roman" w:hAnsi="Times New Roman"/>
          <w:sz w:val="24"/>
          <w:szCs w:val="24"/>
          <w:u w:val="single"/>
        </w:rPr>
        <w:t>5.1</w:t>
      </w:r>
      <w:r w:rsidRPr="009C4695">
        <w:rPr>
          <w:rFonts w:ascii="Times New Roman" w:hAnsi="Times New Roman"/>
          <w:sz w:val="24"/>
          <w:szCs w:val="24"/>
          <w:u w:val="single"/>
        </w:rPr>
        <w:t xml:space="preserve"> I </w:t>
      </w:r>
      <w:r w:rsidRPr="009C4695">
        <w:rPr>
          <w:rFonts w:ascii="Times New Roman" w:hAnsi="Times New Roman"/>
          <w:sz w:val="24"/>
          <w:szCs w:val="24"/>
          <w:u w:val="single"/>
        </w:rPr>
        <w:t>09.00</w:t>
      </w:r>
      <w:r w:rsidRPr="009C4695">
        <w:rPr>
          <w:rFonts w:ascii="Times New Roman" w:hAnsi="Times New Roman"/>
          <w:sz w:val="24"/>
          <w:szCs w:val="24"/>
          <w:u w:val="single"/>
        </w:rPr>
        <w:t xml:space="preserve"> — ИЗИСКВАНИЯ ЗА ЛИКВИДНОСТ (I 9)</w:t>
      </w:r>
      <w:bookmarkEnd w:id="99"/>
    </w:p>
    <w:p w14:paraId="2F6D0E18" w14:textId="77777777" w:rsidR="001B665C" w:rsidRPr="009C4695" w:rsidRDefault="009C469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100" w:name="_Toc88218367"/>
      <w:r w:rsidRPr="009C4695">
        <w:rPr>
          <w:rFonts w:ascii="Times New Roman" w:hAnsi="Times New Roman"/>
          <w:sz w:val="24"/>
          <w:szCs w:val="24"/>
        </w:rPr>
        <w:t>5.1.1.</w:t>
      </w:r>
      <w:r w:rsidRPr="009C4695">
        <w:rPr>
          <w:rFonts w:ascii="Times New Roman" w:hAnsi="Times New Roman"/>
          <w:sz w:val="24"/>
          <w:szCs w:val="24"/>
        </w:rPr>
        <w:tab/>
      </w:r>
      <w:r w:rsidRPr="009C4695">
        <w:rPr>
          <w:rFonts w:ascii="Times New Roman" w:hAnsi="Times New Roman"/>
          <w:sz w:val="24"/>
          <w:szCs w:val="24"/>
          <w:u w:val="single"/>
        </w:rPr>
        <w:t>Указания относно определени позиции</w:t>
      </w:r>
      <w:bookmarkEnd w:id="10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665C" w:rsidRPr="009C4695" w14:paraId="191B71DB" w14:textId="77777777">
        <w:tc>
          <w:tcPr>
            <w:tcW w:w="1129" w:type="dxa"/>
            <w:shd w:val="clear" w:color="auto" w:fill="D9D9D9"/>
          </w:tcPr>
          <w:p w14:paraId="05C2693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Ред</w:t>
            </w:r>
          </w:p>
        </w:tc>
        <w:tc>
          <w:tcPr>
            <w:tcW w:w="7620" w:type="dxa"/>
            <w:shd w:val="clear" w:color="auto" w:fill="D9D9D9"/>
          </w:tcPr>
          <w:p w14:paraId="0E4C1DAF"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rPr>
              <w:t>Препратки към законодателни актове и указания</w:t>
            </w:r>
          </w:p>
        </w:tc>
      </w:tr>
      <w:tr w:rsidR="001B665C" w:rsidRPr="009C4695" w14:paraId="392FCDA6" w14:textId="77777777">
        <w:tc>
          <w:tcPr>
            <w:tcW w:w="1129" w:type="dxa"/>
          </w:tcPr>
          <w:p w14:paraId="4CEBA9A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0010</w:t>
            </w:r>
          </w:p>
        </w:tc>
        <w:tc>
          <w:tcPr>
            <w:tcW w:w="7620" w:type="dxa"/>
          </w:tcPr>
          <w:p w14:paraId="07D7AC35"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Изискване за ликвидност</w:t>
            </w:r>
          </w:p>
          <w:p w14:paraId="77F6267F"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 xml:space="preserve">Член </w:t>
            </w:r>
            <w:r w:rsidRPr="009C4695">
              <w:rPr>
                <w:rFonts w:ascii="Times New Roman" w:hAnsi="Times New Roman"/>
                <w:bCs/>
              </w:rPr>
              <w:t>43, параграф 1 от Регламент (ЕС) 2019/2033.</w:t>
            </w:r>
          </w:p>
        </w:tc>
      </w:tr>
      <w:tr w:rsidR="001B665C" w:rsidRPr="009C4695" w14:paraId="4B06A18D" w14:textId="77777777">
        <w:tc>
          <w:tcPr>
            <w:tcW w:w="1129" w:type="dxa"/>
          </w:tcPr>
          <w:p w14:paraId="79F1285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0020</w:t>
            </w:r>
          </w:p>
        </w:tc>
        <w:tc>
          <w:tcPr>
            <w:tcW w:w="7620" w:type="dxa"/>
          </w:tcPr>
          <w:p w14:paraId="33A5F6BD"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Гаранции за клиентите</w:t>
            </w:r>
          </w:p>
          <w:p w14:paraId="00F775D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45 от Регламент (ЕС) 2019/2033.</w:t>
            </w:r>
          </w:p>
          <w:p w14:paraId="306FC5DE" w14:textId="77777777" w:rsidR="001B665C" w:rsidRPr="009C4695" w:rsidRDefault="009C4695">
            <w:pPr>
              <w:pStyle w:val="CommentText"/>
              <w:rPr>
                <w:rFonts w:ascii="Times New Roman" w:eastAsia="Times New Roman" w:hAnsi="Times New Roman" w:cs="Times New Roman"/>
                <w:bCs/>
                <w:sz w:val="22"/>
                <w:szCs w:val="22"/>
              </w:rPr>
            </w:pPr>
            <w:r w:rsidRPr="009C4695">
              <w:rPr>
                <w:rFonts w:ascii="Times New Roman" w:hAnsi="Times New Roman"/>
                <w:bCs/>
                <w:sz w:val="22"/>
                <w:szCs w:val="22"/>
              </w:rPr>
              <w:t xml:space="preserve">Докладваната стойност е 1,6 % от общия размер на гаранциите, предоставени на клиентите съгласно член 45 от Регламент (ЕС) 2019/2033. </w:t>
            </w:r>
          </w:p>
        </w:tc>
      </w:tr>
      <w:tr w:rsidR="001B665C" w:rsidRPr="009C4695" w14:paraId="1D343B12" w14:textId="77777777">
        <w:tc>
          <w:tcPr>
            <w:tcW w:w="1129" w:type="dxa"/>
          </w:tcPr>
          <w:p w14:paraId="587083A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0030</w:t>
            </w:r>
          </w:p>
        </w:tc>
        <w:tc>
          <w:tcPr>
            <w:tcW w:w="7620" w:type="dxa"/>
          </w:tcPr>
          <w:p w14:paraId="6F76EB77"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Общо ликвидни активи</w:t>
            </w:r>
          </w:p>
          <w:p w14:paraId="4034199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43, параграф 1, буква а) и член 43, параграф 2 от Регламент (ЕС) 2019/2033.</w:t>
            </w:r>
          </w:p>
          <w:p w14:paraId="29C7465F" w14:textId="77777777" w:rsidR="001B665C" w:rsidRPr="009C4695" w:rsidRDefault="009C4695">
            <w:pPr>
              <w:pStyle w:val="CommentText"/>
              <w:rPr>
                <w:rFonts w:ascii="Times New Roman" w:eastAsia="Times New Roman" w:hAnsi="Times New Roman" w:cs="Times New Roman"/>
                <w:bCs/>
                <w:sz w:val="22"/>
                <w:szCs w:val="22"/>
              </w:rPr>
            </w:pPr>
            <w:r w:rsidRPr="009C4695">
              <w:rPr>
                <w:rFonts w:ascii="Times New Roman" w:hAnsi="Times New Roman"/>
                <w:bCs/>
                <w:sz w:val="22"/>
                <w:szCs w:val="22"/>
              </w:rPr>
              <w:t>Общият размер на ликвидните активи се докладва след прилагане на съответните процентни намаления.</w:t>
            </w:r>
          </w:p>
          <w:p w14:paraId="5CE3760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Този ред е сборът на редове 0040, 0050, 0060, 0170, 0230</w:t>
            </w:r>
            <w:r w:rsidRPr="009C4695">
              <w:rPr>
                <w:rFonts w:ascii="Times New Roman" w:hAnsi="Times New Roman"/>
                <w:bCs/>
              </w:rPr>
              <w:t>, 0290 и 0300.</w:t>
            </w:r>
          </w:p>
        </w:tc>
      </w:tr>
      <w:tr w:rsidR="001B665C" w:rsidRPr="009C4695" w14:paraId="3C128911" w14:textId="77777777">
        <w:tc>
          <w:tcPr>
            <w:tcW w:w="1129" w:type="dxa"/>
          </w:tcPr>
          <w:p w14:paraId="77CAE86B"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0040</w:t>
            </w:r>
          </w:p>
        </w:tc>
        <w:tc>
          <w:tcPr>
            <w:tcW w:w="7620" w:type="dxa"/>
          </w:tcPr>
          <w:p w14:paraId="3E434AA1"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Свободни от тежести краткосрочни депозити</w:t>
            </w:r>
          </w:p>
          <w:p w14:paraId="3692E2C6"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Член 43, параграф 1, буква г) и член 43, параграф 2 от Регламент (ЕС) 2019/2033.</w:t>
            </w:r>
          </w:p>
        </w:tc>
      </w:tr>
      <w:tr w:rsidR="001B665C" w:rsidRPr="009C4695" w14:paraId="249218BA" w14:textId="77777777">
        <w:tc>
          <w:tcPr>
            <w:tcW w:w="1129" w:type="dxa"/>
          </w:tcPr>
          <w:p w14:paraId="2E21216D"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0050</w:t>
            </w:r>
          </w:p>
        </w:tc>
        <w:tc>
          <w:tcPr>
            <w:tcW w:w="7620" w:type="dxa"/>
          </w:tcPr>
          <w:p w14:paraId="480C1AAE"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Общо отговарящи на условията вземания, дължими в рамките на 30 дни</w:t>
            </w:r>
          </w:p>
          <w:p w14:paraId="1368550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Член 43, параграф 3 от </w:t>
            </w:r>
            <w:r w:rsidRPr="009C4695">
              <w:rPr>
                <w:rFonts w:ascii="Times New Roman" w:hAnsi="Times New Roman"/>
                <w:bCs/>
              </w:rPr>
              <w:t>Регламент (ЕС) 2019/2033 и член 43, параграф 2 от Регламент (ЕС) 2019/2033.</w:t>
            </w:r>
          </w:p>
        </w:tc>
      </w:tr>
      <w:tr w:rsidR="001B665C" w:rsidRPr="009C4695" w14:paraId="6666E2AA" w14:textId="77777777">
        <w:tc>
          <w:tcPr>
            <w:tcW w:w="1129" w:type="dxa"/>
          </w:tcPr>
          <w:p w14:paraId="13CB59B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0060</w:t>
            </w:r>
          </w:p>
        </w:tc>
        <w:tc>
          <w:tcPr>
            <w:tcW w:w="7620" w:type="dxa"/>
          </w:tcPr>
          <w:p w14:paraId="7B3E43AE"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Активи от ниво 1</w:t>
            </w:r>
          </w:p>
          <w:p w14:paraId="1EB767D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10 от Делегиран регламент (ЕС) 2015/61 и член 43, параграф 2 от Регламент (ЕС) 2019/2033.</w:t>
            </w:r>
          </w:p>
          <w:p w14:paraId="7D187AA6" w14:textId="77777777" w:rsidR="001B665C" w:rsidRPr="009C4695" w:rsidRDefault="009C4695">
            <w:pPr>
              <w:pStyle w:val="CommentText"/>
              <w:rPr>
                <w:rFonts w:ascii="Times New Roman" w:eastAsia="Times New Roman" w:hAnsi="Times New Roman" w:cs="Times New Roman"/>
                <w:bCs/>
                <w:sz w:val="22"/>
                <w:szCs w:val="22"/>
              </w:rPr>
            </w:pPr>
            <w:r w:rsidRPr="009C4695">
              <w:rPr>
                <w:rFonts w:ascii="Times New Roman" w:hAnsi="Times New Roman"/>
                <w:bCs/>
                <w:sz w:val="22"/>
                <w:szCs w:val="22"/>
              </w:rPr>
              <w:t xml:space="preserve">Общият размер на ликвидните активи се докладва след </w:t>
            </w:r>
            <w:r w:rsidRPr="009C4695">
              <w:rPr>
                <w:rFonts w:ascii="Times New Roman" w:hAnsi="Times New Roman"/>
                <w:bCs/>
                <w:sz w:val="22"/>
                <w:szCs w:val="22"/>
              </w:rPr>
              <w:t>прилагане на съответните процентни намаления.</w:t>
            </w:r>
          </w:p>
          <w:p w14:paraId="2F262BB1"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Сборът на редове 0070—0160.</w:t>
            </w:r>
          </w:p>
        </w:tc>
      </w:tr>
      <w:tr w:rsidR="001B665C" w:rsidRPr="009C4695" w14:paraId="64C148E2" w14:textId="77777777">
        <w:tc>
          <w:tcPr>
            <w:tcW w:w="1129" w:type="dxa"/>
          </w:tcPr>
          <w:p w14:paraId="14128AE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0070</w:t>
            </w:r>
          </w:p>
        </w:tc>
        <w:tc>
          <w:tcPr>
            <w:tcW w:w="7620" w:type="dxa"/>
          </w:tcPr>
          <w:p w14:paraId="266745B0"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Монети и банкноти</w:t>
            </w:r>
          </w:p>
          <w:p w14:paraId="62E94A40" w14:textId="77777777" w:rsidR="001B665C" w:rsidRPr="009C4695" w:rsidRDefault="009C4695">
            <w:pPr>
              <w:pStyle w:val="InstructionsText"/>
              <w:rPr>
                <w:rFonts w:cs="Times New Roman"/>
                <w:sz w:val="22"/>
                <w:szCs w:val="22"/>
              </w:rPr>
            </w:pPr>
            <w:r w:rsidRPr="009C4695">
              <w:rPr>
                <w:sz w:val="22"/>
                <w:szCs w:val="22"/>
              </w:rPr>
              <w:t>Член 10, параграф 1, буква а) от Делегиран регламент (ЕС) 2015/61.</w:t>
            </w:r>
          </w:p>
          <w:p w14:paraId="2AD266DF" w14:textId="77777777" w:rsidR="001B665C" w:rsidRPr="009C4695" w:rsidRDefault="009C4695">
            <w:pPr>
              <w:pStyle w:val="InstructionsText"/>
              <w:rPr>
                <w:rFonts w:cs="Times New Roman"/>
                <w:sz w:val="22"/>
                <w:szCs w:val="22"/>
              </w:rPr>
            </w:pPr>
            <w:r w:rsidRPr="009C4695">
              <w:rPr>
                <w:sz w:val="22"/>
                <w:szCs w:val="22"/>
              </w:rPr>
              <w:t>Общият размер на паричните средства, произтичащи от монети и банкноти.</w:t>
            </w:r>
          </w:p>
        </w:tc>
      </w:tr>
      <w:tr w:rsidR="001B665C" w:rsidRPr="009C4695" w14:paraId="712EC4AC" w14:textId="77777777">
        <w:tc>
          <w:tcPr>
            <w:tcW w:w="1129" w:type="dxa"/>
          </w:tcPr>
          <w:p w14:paraId="6615F811"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0080</w:t>
            </w:r>
          </w:p>
        </w:tc>
        <w:tc>
          <w:tcPr>
            <w:tcW w:w="7620" w:type="dxa"/>
          </w:tcPr>
          <w:p w14:paraId="73DA8894"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Резерви при це</w:t>
            </w:r>
            <w:r w:rsidRPr="009C4695">
              <w:rPr>
                <w:rFonts w:ascii="Times New Roman" w:hAnsi="Times New Roman"/>
                <w:b/>
                <w:bCs/>
                <w:u w:val="single"/>
              </w:rPr>
              <w:t>нтралната банка с възможност за изтегляне</w:t>
            </w:r>
          </w:p>
          <w:p w14:paraId="21B67EE4" w14:textId="77777777" w:rsidR="001B665C" w:rsidRPr="009C4695" w:rsidRDefault="009C4695">
            <w:pPr>
              <w:pStyle w:val="InstructionsText"/>
              <w:rPr>
                <w:rFonts w:cs="Times New Roman"/>
                <w:sz w:val="22"/>
                <w:szCs w:val="22"/>
              </w:rPr>
            </w:pPr>
            <w:r w:rsidRPr="009C4695">
              <w:rPr>
                <w:sz w:val="22"/>
                <w:szCs w:val="22"/>
              </w:rPr>
              <w:t>Член 10, параграф 1, буква б), подточка iii) от Делегиран регламент (ЕС) 2015/61.</w:t>
            </w:r>
          </w:p>
        </w:tc>
      </w:tr>
      <w:tr w:rsidR="001B665C" w:rsidRPr="009C4695" w14:paraId="583C1790" w14:textId="77777777">
        <w:tc>
          <w:tcPr>
            <w:tcW w:w="1129" w:type="dxa"/>
          </w:tcPr>
          <w:p w14:paraId="2A3BDE24"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0090</w:t>
            </w:r>
          </w:p>
        </w:tc>
        <w:tc>
          <w:tcPr>
            <w:tcW w:w="7620" w:type="dxa"/>
          </w:tcPr>
          <w:p w14:paraId="55C5D508"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Активи на централна банка</w:t>
            </w:r>
          </w:p>
          <w:p w14:paraId="218A7876" w14:textId="77777777" w:rsidR="001B665C" w:rsidRPr="009C4695" w:rsidRDefault="009C4695">
            <w:pPr>
              <w:pStyle w:val="InstructionsText"/>
              <w:rPr>
                <w:rFonts w:cs="Times New Roman"/>
                <w:sz w:val="22"/>
                <w:szCs w:val="22"/>
              </w:rPr>
            </w:pPr>
            <w:r w:rsidRPr="009C4695">
              <w:rPr>
                <w:sz w:val="22"/>
                <w:szCs w:val="22"/>
              </w:rPr>
              <w:t>Член 10, параграф 1, буква б), подточки i) и ii) от Делегиран регламент (ЕС) 2015/61.</w:t>
            </w:r>
          </w:p>
        </w:tc>
      </w:tr>
      <w:tr w:rsidR="001B665C" w:rsidRPr="009C4695" w14:paraId="1B0D3274" w14:textId="77777777">
        <w:tc>
          <w:tcPr>
            <w:tcW w:w="1129" w:type="dxa"/>
          </w:tcPr>
          <w:p w14:paraId="1460E13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0100</w:t>
            </w:r>
          </w:p>
        </w:tc>
        <w:tc>
          <w:tcPr>
            <w:tcW w:w="7620" w:type="dxa"/>
          </w:tcPr>
          <w:p w14:paraId="63AC6553"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Активи на централно правителство</w:t>
            </w:r>
          </w:p>
          <w:p w14:paraId="67B80E6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10, параграф 1, буква в), подточки i) и ii) от Делегиран регламент (ЕС) 2015/61.</w:t>
            </w:r>
          </w:p>
        </w:tc>
      </w:tr>
      <w:tr w:rsidR="001B665C" w:rsidRPr="009C4695" w14:paraId="551B8AEC" w14:textId="77777777">
        <w:tc>
          <w:tcPr>
            <w:tcW w:w="1129" w:type="dxa"/>
          </w:tcPr>
          <w:p w14:paraId="645545F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0110</w:t>
            </w:r>
          </w:p>
        </w:tc>
        <w:tc>
          <w:tcPr>
            <w:tcW w:w="7620" w:type="dxa"/>
          </w:tcPr>
          <w:p w14:paraId="366AB714"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Активи на регионално правителство/местни органи на власт</w:t>
            </w:r>
          </w:p>
          <w:p w14:paraId="36FE4EA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 xml:space="preserve">Член 10, параграф 1, буква в), подточки iii) и iv) от Делегиран регламент </w:t>
            </w:r>
            <w:r w:rsidRPr="009C4695">
              <w:rPr>
                <w:rFonts w:ascii="Times New Roman" w:hAnsi="Times New Roman"/>
                <w:bCs/>
              </w:rPr>
              <w:t>(ЕС) 2015/61.</w:t>
            </w:r>
          </w:p>
        </w:tc>
      </w:tr>
      <w:tr w:rsidR="001B665C" w:rsidRPr="009C4695" w14:paraId="6CC491D4" w14:textId="77777777">
        <w:tc>
          <w:tcPr>
            <w:tcW w:w="1129" w:type="dxa"/>
          </w:tcPr>
          <w:p w14:paraId="1CAD530F"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0120</w:t>
            </w:r>
          </w:p>
        </w:tc>
        <w:tc>
          <w:tcPr>
            <w:tcW w:w="7620" w:type="dxa"/>
          </w:tcPr>
          <w:p w14:paraId="40581953"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Активи на субект от публичния сектор</w:t>
            </w:r>
          </w:p>
          <w:p w14:paraId="0ED06BCF"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10, параграф 1, буква в), подточка v) от Делегиран регламент (ЕС) 2015/61.</w:t>
            </w:r>
          </w:p>
        </w:tc>
      </w:tr>
      <w:tr w:rsidR="001B665C" w:rsidRPr="009C4695" w14:paraId="04F91F29" w14:textId="77777777">
        <w:tc>
          <w:tcPr>
            <w:tcW w:w="1129" w:type="dxa"/>
          </w:tcPr>
          <w:p w14:paraId="4C1B639B"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0130</w:t>
            </w:r>
          </w:p>
        </w:tc>
        <w:tc>
          <w:tcPr>
            <w:tcW w:w="7620" w:type="dxa"/>
          </w:tcPr>
          <w:p w14:paraId="51C9193C"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 xml:space="preserve">Активи на централно правителство и централна банка в местна и чуждестранна валута, които подлежат на </w:t>
            </w:r>
            <w:r w:rsidRPr="009C4695">
              <w:rPr>
                <w:rFonts w:ascii="Times New Roman" w:hAnsi="Times New Roman"/>
                <w:b/>
                <w:bCs/>
                <w:u w:val="single"/>
              </w:rPr>
              <w:t>признаване</w:t>
            </w:r>
          </w:p>
          <w:p w14:paraId="2AD9EA2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10, параграф 1, буква г) от Делегиран регламент (ЕС) 2015/61.</w:t>
            </w:r>
          </w:p>
        </w:tc>
      </w:tr>
      <w:tr w:rsidR="001B665C" w:rsidRPr="009C4695" w14:paraId="777F1BFE" w14:textId="77777777">
        <w:tc>
          <w:tcPr>
            <w:tcW w:w="1129" w:type="dxa"/>
          </w:tcPr>
          <w:p w14:paraId="642D097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0140</w:t>
            </w:r>
          </w:p>
        </w:tc>
        <w:tc>
          <w:tcPr>
            <w:tcW w:w="7620" w:type="dxa"/>
          </w:tcPr>
          <w:p w14:paraId="2ED0DC18"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Активи на кредитна институция (защитени от правителството на държава членка, насърчителен заемодател)</w:t>
            </w:r>
          </w:p>
          <w:p w14:paraId="1D985199" w14:textId="77777777" w:rsidR="001B665C" w:rsidRPr="009C4695" w:rsidRDefault="009C4695">
            <w:pPr>
              <w:pStyle w:val="InstructionsText"/>
              <w:rPr>
                <w:rFonts w:cs="Times New Roman"/>
                <w:b/>
                <w:sz w:val="22"/>
                <w:szCs w:val="22"/>
                <w:u w:val="single"/>
              </w:rPr>
            </w:pPr>
            <w:r w:rsidRPr="009C4695">
              <w:rPr>
                <w:sz w:val="22"/>
                <w:szCs w:val="22"/>
              </w:rPr>
              <w:t>Член 10, параграф 1, буква д), подточки i) и ii) от Делегиран регламен</w:t>
            </w:r>
            <w:r w:rsidRPr="009C4695">
              <w:rPr>
                <w:sz w:val="22"/>
                <w:szCs w:val="22"/>
              </w:rPr>
              <w:t>т (ЕС) 2015/61.</w:t>
            </w:r>
          </w:p>
        </w:tc>
      </w:tr>
      <w:tr w:rsidR="001B665C" w:rsidRPr="009C4695" w14:paraId="4FF34C94" w14:textId="77777777">
        <w:tc>
          <w:tcPr>
            <w:tcW w:w="1129" w:type="dxa"/>
          </w:tcPr>
          <w:p w14:paraId="6261CF11"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0150</w:t>
            </w:r>
          </w:p>
        </w:tc>
        <w:tc>
          <w:tcPr>
            <w:tcW w:w="7620" w:type="dxa"/>
          </w:tcPr>
          <w:p w14:paraId="5D519950"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Активи на многостранна банка за развитие и международни организации</w:t>
            </w:r>
          </w:p>
          <w:p w14:paraId="1E737F9C" w14:textId="77777777" w:rsidR="001B665C" w:rsidRPr="009C4695" w:rsidRDefault="009C4695">
            <w:pPr>
              <w:pStyle w:val="InstructionsText"/>
              <w:rPr>
                <w:rFonts w:cs="Times New Roman"/>
                <w:sz w:val="22"/>
                <w:szCs w:val="22"/>
              </w:rPr>
            </w:pPr>
            <w:r w:rsidRPr="009C4695">
              <w:rPr>
                <w:sz w:val="22"/>
                <w:szCs w:val="22"/>
              </w:rPr>
              <w:t>Член 10, параграф 1, буква ж) от Делегиран регламент (ЕС) 2015/61.</w:t>
            </w:r>
          </w:p>
        </w:tc>
      </w:tr>
      <w:tr w:rsidR="001B665C" w:rsidRPr="009C4695" w14:paraId="30853A41" w14:textId="77777777">
        <w:tc>
          <w:tcPr>
            <w:tcW w:w="1129" w:type="dxa"/>
          </w:tcPr>
          <w:p w14:paraId="43CD997D"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0160</w:t>
            </w:r>
          </w:p>
        </w:tc>
        <w:tc>
          <w:tcPr>
            <w:tcW w:w="7620" w:type="dxa"/>
            <w:vAlign w:val="center"/>
          </w:tcPr>
          <w:p w14:paraId="41863471"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Изключително висококачествени покрити облигации</w:t>
            </w:r>
          </w:p>
          <w:p w14:paraId="54969955"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 xml:space="preserve">Член 10, параграф 1, буква е) от </w:t>
            </w:r>
            <w:r w:rsidRPr="009C4695">
              <w:rPr>
                <w:rFonts w:ascii="Times New Roman" w:hAnsi="Times New Roman"/>
                <w:bCs/>
              </w:rPr>
              <w:t>Делегиран регламент (ЕС) 2015/61.</w:t>
            </w:r>
          </w:p>
        </w:tc>
      </w:tr>
      <w:tr w:rsidR="001B665C" w:rsidRPr="009C4695" w14:paraId="6A87547E" w14:textId="77777777">
        <w:trPr>
          <w:trHeight w:val="885"/>
        </w:trPr>
        <w:tc>
          <w:tcPr>
            <w:tcW w:w="1129" w:type="dxa"/>
          </w:tcPr>
          <w:p w14:paraId="0218AA6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0170</w:t>
            </w:r>
          </w:p>
        </w:tc>
        <w:tc>
          <w:tcPr>
            <w:tcW w:w="7620" w:type="dxa"/>
            <w:vAlign w:val="center"/>
          </w:tcPr>
          <w:p w14:paraId="074EF723"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Активи от ниво 2А</w:t>
            </w:r>
          </w:p>
          <w:p w14:paraId="7B6B9D88"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11 от Делегиран регламент (ЕС) 2015/61 и член 43, параграф 2 от Регламент (ЕС) 2019/2033.</w:t>
            </w:r>
          </w:p>
        </w:tc>
      </w:tr>
      <w:tr w:rsidR="001B665C" w:rsidRPr="009C4695" w14:paraId="6776D59C" w14:textId="77777777">
        <w:tc>
          <w:tcPr>
            <w:tcW w:w="1129" w:type="dxa"/>
          </w:tcPr>
          <w:p w14:paraId="64C15EA1"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6958462A"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 xml:space="preserve">Активи на регионално правителство/местни органи на власт или субекти от публичния сектор </w:t>
            </w:r>
            <w:r w:rsidRPr="009C4695">
              <w:rPr>
                <w:rFonts w:ascii="Times New Roman" w:hAnsi="Times New Roman"/>
                <w:b/>
                <w:bCs/>
                <w:u w:val="single"/>
              </w:rPr>
              <w:t>(държава членка, рисково тегло 20 %)</w:t>
            </w:r>
          </w:p>
          <w:p w14:paraId="7A88A6E0" w14:textId="77777777" w:rsidR="001B665C" w:rsidRPr="009C4695" w:rsidRDefault="009C4695">
            <w:pPr>
              <w:spacing w:after="0"/>
              <w:ind w:left="33"/>
              <w:rPr>
                <w:rFonts w:ascii="Times New Roman" w:eastAsia="Times New Roman" w:hAnsi="Times New Roman" w:cs="Times New Roman"/>
                <w:bCs/>
              </w:rPr>
            </w:pPr>
            <w:r w:rsidRPr="009C4695">
              <w:rPr>
                <w:rFonts w:ascii="Times New Roman" w:hAnsi="Times New Roman"/>
                <w:bCs/>
              </w:rPr>
              <w:t>Член 11, параграф 1, буква а) от Делегиран регламент (ЕС) 2015/61.</w:t>
            </w:r>
          </w:p>
        </w:tc>
      </w:tr>
      <w:tr w:rsidR="001B665C" w:rsidRPr="009C4695" w14:paraId="1DDE1EDC" w14:textId="77777777">
        <w:tc>
          <w:tcPr>
            <w:tcW w:w="1129" w:type="dxa"/>
          </w:tcPr>
          <w:p w14:paraId="54EDB3C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E17185C"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 xml:space="preserve">Активи на централна банка или централно/регионално правителство или местни органи на власт, или субекти от публичния сектор (трета </w:t>
            </w:r>
            <w:r w:rsidRPr="009C4695">
              <w:rPr>
                <w:rFonts w:ascii="Times New Roman" w:hAnsi="Times New Roman"/>
                <w:b/>
                <w:bCs/>
                <w:u w:val="single"/>
              </w:rPr>
              <w:t>държава, рисково тегло 20 %)</w:t>
            </w:r>
          </w:p>
          <w:p w14:paraId="170E624F" w14:textId="77777777" w:rsidR="001B665C" w:rsidRPr="009C4695" w:rsidRDefault="009C4695">
            <w:pPr>
              <w:spacing w:after="0"/>
              <w:ind w:left="33"/>
              <w:rPr>
                <w:rFonts w:ascii="Times New Roman" w:eastAsia="Times New Roman" w:hAnsi="Times New Roman" w:cs="Times New Roman"/>
                <w:bCs/>
              </w:rPr>
            </w:pPr>
            <w:r w:rsidRPr="009C4695">
              <w:rPr>
                <w:rFonts w:ascii="Times New Roman" w:hAnsi="Times New Roman"/>
                <w:bCs/>
              </w:rPr>
              <w:t>Член 11, параграф 1, буква б) от Делегиран регламент (ЕС) 2015/61.</w:t>
            </w:r>
          </w:p>
        </w:tc>
      </w:tr>
      <w:tr w:rsidR="001B665C" w:rsidRPr="009C4695" w14:paraId="60C7F6FA" w14:textId="77777777">
        <w:tc>
          <w:tcPr>
            <w:tcW w:w="1129" w:type="dxa"/>
          </w:tcPr>
          <w:p w14:paraId="6D528D3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2FFCEF9"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Висококачествени покрити облигации (втора степен на кредитно качество)</w:t>
            </w:r>
          </w:p>
          <w:p w14:paraId="7AB3DA3B" w14:textId="77777777" w:rsidR="001B665C" w:rsidRPr="009C4695" w:rsidRDefault="009C4695">
            <w:pPr>
              <w:spacing w:after="0"/>
              <w:ind w:left="33"/>
              <w:rPr>
                <w:rFonts w:ascii="Times New Roman" w:eastAsia="Times New Roman" w:hAnsi="Times New Roman" w:cs="Times New Roman"/>
                <w:b/>
                <w:bCs/>
                <w:u w:val="single"/>
              </w:rPr>
            </w:pPr>
            <w:r w:rsidRPr="009C4695">
              <w:rPr>
                <w:rFonts w:ascii="Times New Roman" w:hAnsi="Times New Roman"/>
                <w:bCs/>
              </w:rPr>
              <w:t>Член 11, параграф 1, буква в) от Делегиран регламент (ЕС) 2015/61.</w:t>
            </w:r>
          </w:p>
        </w:tc>
      </w:tr>
      <w:tr w:rsidR="001B665C" w:rsidRPr="009C4695" w14:paraId="0191A70B" w14:textId="77777777">
        <w:tc>
          <w:tcPr>
            <w:tcW w:w="1129" w:type="dxa"/>
          </w:tcPr>
          <w:p w14:paraId="725AC43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F2735D3"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Висококаче</w:t>
            </w:r>
            <w:r w:rsidRPr="009C4695">
              <w:rPr>
                <w:rFonts w:ascii="Times New Roman" w:hAnsi="Times New Roman"/>
                <w:b/>
                <w:bCs/>
                <w:u w:val="single"/>
              </w:rPr>
              <w:t>ствени покрити облигации (трета държава, първа степен на кредитно качество)</w:t>
            </w:r>
          </w:p>
          <w:p w14:paraId="3E48953A" w14:textId="77777777" w:rsidR="001B665C" w:rsidRPr="009C4695" w:rsidRDefault="009C4695">
            <w:pPr>
              <w:spacing w:after="0"/>
              <w:ind w:left="33"/>
              <w:rPr>
                <w:rFonts w:ascii="Times New Roman" w:eastAsia="Times New Roman" w:hAnsi="Times New Roman" w:cs="Times New Roman"/>
                <w:b/>
                <w:bCs/>
                <w:u w:val="single"/>
              </w:rPr>
            </w:pPr>
            <w:r w:rsidRPr="009C4695">
              <w:rPr>
                <w:rFonts w:ascii="Times New Roman" w:hAnsi="Times New Roman"/>
                <w:bCs/>
              </w:rPr>
              <w:t>Член 11, параграф 1, буква г) от Делегиран регламент (ЕС) 2015/61.</w:t>
            </w:r>
          </w:p>
        </w:tc>
      </w:tr>
      <w:tr w:rsidR="001B665C" w:rsidRPr="009C4695" w14:paraId="20ED8427" w14:textId="77777777">
        <w:tc>
          <w:tcPr>
            <w:tcW w:w="1129" w:type="dxa"/>
          </w:tcPr>
          <w:p w14:paraId="4BC203B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D15A8EC"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Корпоративни дългови ценни книжа (първа степен на кредитно качество)</w:t>
            </w:r>
          </w:p>
          <w:p w14:paraId="72FE4D6F" w14:textId="77777777" w:rsidR="001B665C" w:rsidRPr="009C4695" w:rsidRDefault="009C4695">
            <w:pPr>
              <w:spacing w:after="0"/>
              <w:ind w:left="33"/>
              <w:rPr>
                <w:rFonts w:ascii="Times New Roman" w:eastAsia="Times New Roman" w:hAnsi="Times New Roman" w:cs="Times New Roman"/>
                <w:b/>
                <w:bCs/>
                <w:u w:val="single"/>
              </w:rPr>
            </w:pPr>
            <w:r w:rsidRPr="009C4695">
              <w:rPr>
                <w:rFonts w:ascii="Times New Roman" w:hAnsi="Times New Roman"/>
                <w:bCs/>
              </w:rPr>
              <w:t xml:space="preserve">Член 11, параграф 1, буква д) от </w:t>
            </w:r>
            <w:r w:rsidRPr="009C4695">
              <w:rPr>
                <w:rFonts w:ascii="Times New Roman" w:hAnsi="Times New Roman"/>
                <w:bCs/>
              </w:rPr>
              <w:t>Делегиран регламент (ЕС) 2015/61.</w:t>
            </w:r>
          </w:p>
        </w:tc>
      </w:tr>
      <w:tr w:rsidR="001B665C" w:rsidRPr="009C4695" w14:paraId="67896DFD" w14:textId="77777777">
        <w:trPr>
          <w:trHeight w:val="1001"/>
        </w:trPr>
        <w:tc>
          <w:tcPr>
            <w:tcW w:w="1129" w:type="dxa"/>
          </w:tcPr>
          <w:p w14:paraId="52F38423"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32126DA"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Активи от ниво 2Б</w:t>
            </w:r>
          </w:p>
          <w:p w14:paraId="09DC67DE"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12 от Делегиран регламент (ЕС) 2015/61 и член 43, параграф 2 от Регламент (ЕС) 2019/2033.</w:t>
            </w:r>
          </w:p>
        </w:tc>
      </w:tr>
      <w:tr w:rsidR="001B665C" w:rsidRPr="009C4695" w14:paraId="237A1854" w14:textId="77777777">
        <w:tc>
          <w:tcPr>
            <w:tcW w:w="1129" w:type="dxa"/>
          </w:tcPr>
          <w:p w14:paraId="1E4D618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9A3FB26"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Обезпечени с активи ценни книжа</w:t>
            </w:r>
          </w:p>
          <w:p w14:paraId="42E698A0"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 xml:space="preserve">Член 12, параграф 1, буква а) и член 13, параграф 2, буква ж) </w:t>
            </w:r>
            <w:r w:rsidRPr="009C4695">
              <w:rPr>
                <w:rFonts w:ascii="Times New Roman" w:hAnsi="Times New Roman"/>
                <w:bCs/>
              </w:rPr>
              <w:t>от Делегиран регламент (ЕС) 2015/61.</w:t>
            </w:r>
          </w:p>
        </w:tc>
      </w:tr>
      <w:tr w:rsidR="001B665C" w:rsidRPr="009C4695" w14:paraId="19D3443D" w14:textId="77777777">
        <w:tc>
          <w:tcPr>
            <w:tcW w:w="1129" w:type="dxa"/>
          </w:tcPr>
          <w:p w14:paraId="1E041F11"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F288CC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
                <w:bCs/>
                <w:u w:val="single"/>
              </w:rPr>
              <w:t>Корпоративни дългови ценни книжа</w:t>
            </w:r>
          </w:p>
          <w:p w14:paraId="71AD20E1" w14:textId="77777777" w:rsidR="001B665C" w:rsidRPr="009C4695" w:rsidRDefault="009C4695">
            <w:pPr>
              <w:spacing w:after="0"/>
              <w:ind w:left="33"/>
              <w:rPr>
                <w:rFonts w:ascii="Times New Roman" w:hAnsi="Times New Roman" w:cs="Times New Roman"/>
                <w:bCs/>
              </w:rPr>
            </w:pPr>
            <w:r w:rsidRPr="009C4695">
              <w:rPr>
                <w:rFonts w:ascii="Times New Roman" w:hAnsi="Times New Roman"/>
                <w:bCs/>
              </w:rPr>
              <w:t>Член 12, параграф 1, буква б) от Делегиран регламент (ЕС) 2015/61.</w:t>
            </w:r>
          </w:p>
        </w:tc>
      </w:tr>
      <w:tr w:rsidR="001B665C" w:rsidRPr="009C4695" w14:paraId="7DA3CF67" w14:textId="77777777">
        <w:tc>
          <w:tcPr>
            <w:tcW w:w="1129" w:type="dxa"/>
          </w:tcPr>
          <w:p w14:paraId="58ED8C3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C29BCDB"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Акции (основен борсов индекс)</w:t>
            </w:r>
          </w:p>
          <w:p w14:paraId="583ED5FA" w14:textId="77777777" w:rsidR="001B665C" w:rsidRPr="009C4695" w:rsidRDefault="009C4695">
            <w:pPr>
              <w:spacing w:after="0"/>
              <w:ind w:left="33"/>
              <w:rPr>
                <w:rFonts w:ascii="Times New Roman" w:eastAsia="Times New Roman" w:hAnsi="Times New Roman" w:cs="Times New Roman"/>
                <w:b/>
                <w:bCs/>
                <w:u w:val="single"/>
              </w:rPr>
            </w:pPr>
            <w:r w:rsidRPr="009C4695">
              <w:rPr>
                <w:rFonts w:ascii="Times New Roman" w:hAnsi="Times New Roman"/>
                <w:bCs/>
              </w:rPr>
              <w:t>Член 12, параграф 1, буква в) от Делегиран регламент (ЕС) 2015/61.</w:t>
            </w:r>
          </w:p>
        </w:tc>
      </w:tr>
      <w:tr w:rsidR="001B665C" w:rsidRPr="009C4695" w14:paraId="26C7C00E" w14:textId="77777777">
        <w:tc>
          <w:tcPr>
            <w:tcW w:w="1129" w:type="dxa"/>
          </w:tcPr>
          <w:p w14:paraId="10589EBA"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2CE063C"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Ликвидни улеснения от централни банки с ограничено ползване и с поето задължение</w:t>
            </w:r>
          </w:p>
          <w:p w14:paraId="24D1FC46"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Член 12, параграф 1, буква г) от Делегиран регламент (ЕС) 2015/61.</w:t>
            </w:r>
          </w:p>
        </w:tc>
      </w:tr>
      <w:tr w:rsidR="001B665C" w:rsidRPr="009C4695" w14:paraId="0DCA359B" w14:textId="77777777">
        <w:tc>
          <w:tcPr>
            <w:tcW w:w="1129" w:type="dxa"/>
          </w:tcPr>
          <w:p w14:paraId="581F9C85"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FC48670"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Висококачествени покрити облигации (рисково тегло 35 %)</w:t>
            </w:r>
          </w:p>
          <w:p w14:paraId="416654A6" w14:textId="77777777" w:rsidR="001B665C" w:rsidRPr="009C4695" w:rsidRDefault="009C4695">
            <w:pPr>
              <w:spacing w:after="0"/>
              <w:ind w:left="33"/>
              <w:rPr>
                <w:rFonts w:ascii="Times New Roman" w:eastAsia="Times New Roman" w:hAnsi="Times New Roman" w:cs="Times New Roman"/>
                <w:b/>
                <w:bCs/>
                <w:u w:val="single"/>
              </w:rPr>
            </w:pPr>
            <w:r w:rsidRPr="009C4695">
              <w:rPr>
                <w:rFonts w:ascii="Times New Roman" w:hAnsi="Times New Roman"/>
                <w:bCs/>
              </w:rPr>
              <w:t xml:space="preserve">Член 15, параграф 2, буква е) от </w:t>
            </w:r>
            <w:r w:rsidRPr="009C4695">
              <w:rPr>
                <w:rFonts w:ascii="Times New Roman" w:hAnsi="Times New Roman"/>
                <w:bCs/>
              </w:rPr>
              <w:t>Делегиран регламент (ЕС) 2015/61.</w:t>
            </w:r>
          </w:p>
        </w:tc>
      </w:tr>
      <w:tr w:rsidR="001B665C" w:rsidRPr="009C4695" w14:paraId="0BDC9DAB" w14:textId="77777777">
        <w:trPr>
          <w:trHeight w:val="1061"/>
        </w:trPr>
        <w:tc>
          <w:tcPr>
            <w:tcW w:w="1129" w:type="dxa"/>
          </w:tcPr>
          <w:p w14:paraId="217731DC"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4C08163"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Квалифицирани акции/дялове в предприятия за колективно инвестиране</w:t>
            </w:r>
          </w:p>
          <w:p w14:paraId="1830A336"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Член 15 от Делегиран регламент (ЕС) 2015/61.</w:t>
            </w:r>
          </w:p>
          <w:p w14:paraId="1CF205FE"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Член 43, параграф 1, буква б) от Регламент (ЕС) 2019/2033.</w:t>
            </w:r>
          </w:p>
        </w:tc>
      </w:tr>
      <w:tr w:rsidR="001B665C" w14:paraId="1C071C70" w14:textId="77777777">
        <w:trPr>
          <w:trHeight w:val="568"/>
        </w:trPr>
        <w:tc>
          <w:tcPr>
            <w:tcW w:w="1129" w:type="dxa"/>
          </w:tcPr>
          <w:p w14:paraId="29996C09" w14:textId="77777777" w:rsidR="001B665C" w:rsidRPr="009C4695" w:rsidRDefault="009C4695">
            <w:pPr>
              <w:spacing w:after="120" w:line="240" w:lineRule="auto"/>
              <w:jc w:val="both"/>
              <w:rPr>
                <w:rFonts w:ascii="Times New Roman" w:eastAsia="Times New Roman" w:hAnsi="Times New Roman" w:cs="Times New Roman"/>
                <w:bCs/>
              </w:rPr>
            </w:pPr>
            <w:r w:rsidRPr="009C4695">
              <w:rPr>
                <w:rFonts w:ascii="Times New Roman" w:hAnsi="Times New Roman"/>
                <w:bCs/>
              </w:rPr>
              <w:t>0300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DD2509C" w14:textId="77777777" w:rsidR="001B665C" w:rsidRPr="009C4695"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
                <w:bCs/>
                <w:u w:val="single"/>
              </w:rPr>
              <w:t xml:space="preserve">Общо други допустими финансови </w:t>
            </w:r>
            <w:r w:rsidRPr="009C4695">
              <w:rPr>
                <w:rFonts w:ascii="Times New Roman" w:hAnsi="Times New Roman"/>
                <w:b/>
                <w:bCs/>
                <w:u w:val="single"/>
              </w:rPr>
              <w:t>инструменти</w:t>
            </w:r>
          </w:p>
          <w:p w14:paraId="086B6B7C" w14:textId="77777777" w:rsidR="001B665C" w:rsidRDefault="009C4695">
            <w:pPr>
              <w:spacing w:after="120" w:line="240" w:lineRule="auto"/>
              <w:jc w:val="both"/>
              <w:rPr>
                <w:rFonts w:ascii="Times New Roman" w:eastAsia="Times New Roman" w:hAnsi="Times New Roman" w:cs="Times New Roman"/>
                <w:b/>
                <w:bCs/>
                <w:u w:val="single"/>
              </w:rPr>
            </w:pPr>
            <w:r w:rsidRPr="009C4695">
              <w:rPr>
                <w:rFonts w:ascii="Times New Roman" w:hAnsi="Times New Roman"/>
                <w:bCs/>
              </w:rPr>
              <w:t>Член 43, параграф 1, буква в) от Регламент (ЕС) 2019/2033.</w:t>
            </w:r>
          </w:p>
        </w:tc>
      </w:tr>
    </w:tbl>
    <w:p w14:paraId="57DAA47E" w14:textId="77777777" w:rsidR="001B665C" w:rsidRDefault="001B665C">
      <w:pPr>
        <w:keepNext/>
        <w:spacing w:before="240" w:after="240" w:line="240" w:lineRule="auto"/>
        <w:jc w:val="both"/>
        <w:outlineLvl w:val="1"/>
      </w:pPr>
    </w:p>
    <w:sectPr w:rsidR="001B665C">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48D57" w14:textId="77777777" w:rsidR="001B665C" w:rsidRDefault="001B665C">
      <w:pPr>
        <w:pStyle w:val="Footer"/>
      </w:pPr>
    </w:p>
  </w:endnote>
  <w:endnote w:type="continuationSeparator" w:id="0">
    <w:p w14:paraId="7D1125D2" w14:textId="77777777" w:rsidR="001B665C" w:rsidRDefault="001B665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3F337" w14:textId="77777777" w:rsidR="001B665C" w:rsidRDefault="001B66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F36E4" w14:textId="77777777" w:rsidR="001B665C" w:rsidRDefault="009C4695">
    <w:pPr>
      <w:pStyle w:val="Footer"/>
      <w:tabs>
        <w:tab w:val="clear" w:pos="4513"/>
        <w:tab w:val="clear" w:pos="9026"/>
        <w:tab w:val="right" w:pos="9071"/>
      </w:tabs>
    </w:pPr>
    <w:r>
      <w:t>BG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48</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34A94" w14:textId="77777777" w:rsidR="001B665C" w:rsidRDefault="001B66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54B43" w14:textId="77777777" w:rsidR="001B665C" w:rsidRDefault="001B665C">
      <w:pPr>
        <w:pStyle w:val="Footer"/>
      </w:pPr>
    </w:p>
  </w:footnote>
  <w:footnote w:type="continuationSeparator" w:id="0">
    <w:p w14:paraId="51D5FA7C" w14:textId="77777777" w:rsidR="001B665C" w:rsidRDefault="001B665C">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D80E0" w14:textId="77777777" w:rsidR="001B665C" w:rsidRDefault="009C4695">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EE5B0" w14:textId="445BA441" w:rsidR="001B665C" w:rsidRDefault="009C4695">
    <w:pPr>
      <w:pStyle w:val="Header"/>
    </w:pPr>
    <w:r>
      <w:rPr>
        <w:noProof/>
      </w:rPr>
      <mc:AlternateContent>
        <mc:Choice Requires="wps">
          <w:drawing>
            <wp:anchor distT="0" distB="0" distL="114300" distR="114300" simplePos="0" relativeHeight="251659264" behindDoc="0" locked="0" layoutInCell="0" allowOverlap="1" wp14:anchorId="0AB936D8" wp14:editId="51B6E514">
              <wp:simplePos x="0" y="0"/>
              <wp:positionH relativeFrom="page">
                <wp:posOffset>0</wp:posOffset>
              </wp:positionH>
              <wp:positionV relativeFrom="page">
                <wp:posOffset>190500</wp:posOffset>
              </wp:positionV>
              <wp:extent cx="7560310" cy="273050"/>
              <wp:effectExtent l="0" t="0" r="0" b="12700"/>
              <wp:wrapNone/>
              <wp:docPr id="1" name="MSIPCMe15d4d48b8450f6bb8a374da"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9FF345C" w14:textId="6253A549" w:rsidR="009C4695" w:rsidRPr="009C4695" w:rsidRDefault="009C4695" w:rsidP="009C4695">
                          <w:pPr>
                            <w:spacing w:after="0"/>
                            <w:rPr>
                              <w:rFonts w:ascii="Calibri" w:hAnsi="Calibri" w:cs="Calibri"/>
                              <w:color w:val="000000"/>
                              <w:sz w:val="24"/>
                            </w:rPr>
                          </w:pPr>
                          <w:r w:rsidRPr="009C4695">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0AB936D8" id="_x0000_t202" coordsize="21600,21600" o:spt="202" path="m,l,21600r21600,l21600,xe">
              <v:stroke joinstyle="miter"/>
              <v:path gradientshapeok="t" o:connecttype="rect"/>
            </v:shapetype>
            <v:shape id="MSIPCMe15d4d48b8450f6bb8a374da"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jfNsQIAAEcFAAAOAAAAZHJzL2Uyb0RvYy54bWysVE1v2zAMvQ/YfxB02Gmt7cROUq9OkaXo&#10;FiBtA6RDz7IsxwZsSZWUxtmw/z5KltO122nYxaZIih+Pj7q86toGPTOla8EzHJ2HGDFORVHzXYa/&#10;PdyczTDShvCCNIKzDB+Zxlfz9+8uDzJlI1GJpmAKQRCu04PMcGWMTINA04q1RJ8LyTgYS6FaYuCo&#10;dkGhyAGit00wCsNJcBCqkEpQpjVor3sjnrv4ZcmouS9LzQxqMgy1GfdV7pvbbzC/JOlOEVnV1JdB&#10;/qGKltQckp5CXRND0F7Vf4Rqa6qEFqU5p6INRFnWlLkeoJsofNPNtiKSuV4AHC1PMOn/F5bePW8U&#10;qguYHUactDCi2+1qs7xlUVLERTzLZ3ESlpM8n5HxNC4IRgXTFBD88eFpL8ynr0RXS1Gw/pSexZNJ&#10;HEVJOP3o7azeVcZbZzEwxBse68JUXp9cJCf9piGUtYwPd4YwBIjSyz7Aihes8wH630bVLVHHV15b&#10;oABw0/tF/u6DkF4TnhKvWTnkBOVPS42D1CkgtJWAkek+i87C5PUalHbiXala+4dZIrADyY4nYrHO&#10;IArKaTIJxxGYKNhG03GYOOYFL7el0uYLEy2yQoYVVO34RJ7X2kBGcB1cbDIubuqmceRtODpkeDKG&#10;kK8scKPhcNH20NdqJdPlnW8gF8UR+lKiXwot6U0NyddEmw1RsAVQL2y2uYdP2QhIIryEUSXU97/p&#10;rT+QE6wYHWCrMqyf9kQxjJoVB9qOkjgM7R66EwjKCRdRHMMhH7R83y4FbCxwEspyovU1zSCWSrSP&#10;sPkLmw5MhFNImmEziEsDJzDAy0HZYuFk2DhJzJpvJbWhLVoW04fukSjpgTcwsjsxLB5J3+Df+/Y4&#10;L/ZGlLUbjkW2h9MDDtvqZuZfFvsc/H52Xi/v3/wXAAAA//8DAFBLAwQUAAYACAAAACEAaQHeI9wA&#10;AAAHAQAADwAAAGRycy9kb3ducmV2LnhtbEyPwU7DMBBE70j8g7VI3KhdKhWaZlOhIA5IHKDlA5x4&#10;SQLxOoq3afr3uCc4rUYzmnmb72bfq4nG2AVGWC4MKOI6uI4bhM/Dy90jqCiWne0DE8KZIuyK66vc&#10;Zi6c+IOmvTQqlXDMLEIrMmRax7olb+MiDMTJ+wqjt5Lk2Gg32lMq972+N2atve04LbR2oLKl+md/&#10;9Ahl+e4OZ2ne+Pm7mytXvU61HxBvb+anLSihWf7CcMFP6FAkpioc2UXVI6RHBGFl0r24y41Zg6oQ&#10;HlYGdJHr//zFLwAAAP//AwBQSwECLQAUAAYACAAAACEAtoM4kv4AAADhAQAAEwAAAAAAAAAAAAAA&#10;AAAAAAAAW0NvbnRlbnRfVHlwZXNdLnhtbFBLAQItABQABgAIAAAAIQA4/SH/1gAAAJQBAAALAAAA&#10;AAAAAAAAAAAAAC8BAABfcmVscy8ucmVsc1BLAQItABQABgAIAAAAIQDcRjfNsQIAAEcFAAAOAAAA&#10;AAAAAAAAAAAAAC4CAABkcnMvZTJvRG9jLnhtbFBLAQItABQABgAIAAAAIQBpAd4j3AAAAAcBAAAP&#10;AAAAAAAAAAAAAAAAAAsFAABkcnMvZG93bnJldi54bWxQSwUGAAAAAAQABADzAAAAFAYAAAAA&#10;" o:allowincell="f" filled="f" stroked="f" strokeweight=".5pt">
              <v:fill o:detectmouseclick="t"/>
              <v:textbox inset="20pt,0,,0">
                <w:txbxContent>
                  <w:p w14:paraId="59FF345C" w14:textId="6253A549" w:rsidR="009C4695" w:rsidRPr="009C4695" w:rsidRDefault="009C4695" w:rsidP="009C4695">
                    <w:pPr>
                      <w:spacing w:after="0"/>
                      <w:rPr>
                        <w:rFonts w:ascii="Calibri" w:hAnsi="Calibri" w:cs="Calibri"/>
                        <w:color w:val="000000"/>
                        <w:sz w:val="24"/>
                      </w:rPr>
                    </w:pPr>
                    <w:r w:rsidRPr="009C4695">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CD8AB" w14:textId="77777777" w:rsidR="001B665C" w:rsidRDefault="009C4695">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27A00"/>
    <w:multiLevelType w:val="hybridMultilevel"/>
    <w:tmpl w:val="451EE6F2"/>
    <w:lvl w:ilvl="0" w:tplc="F95A7C40">
      <w:start w:val="2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B3C78B8"/>
    <w:multiLevelType w:val="multilevel"/>
    <w:tmpl w:val="D0A03A1E"/>
    <w:name w:val="Point"/>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rPr>
        <w:rFonts w:hint="default"/>
      </w:rPr>
    </w:lvl>
    <w:lvl w:ilvl="2">
      <w:start w:val="1"/>
      <w:numFmt w:val="decimal"/>
      <w:pStyle w:val="Point1number"/>
      <w:lvlText w:val="(%3)"/>
      <w:lvlJc w:val="left"/>
      <w:pPr>
        <w:tabs>
          <w:tab w:val="num" w:pos="1417"/>
        </w:tabs>
        <w:ind w:left="1417" w:hanging="567"/>
      </w:pPr>
      <w:rPr>
        <w:rFonts w:hint="default"/>
      </w:rPr>
    </w:lvl>
    <w:lvl w:ilvl="3">
      <w:start w:val="1"/>
      <mc:AlternateContent>
        <mc:Choice Requires="w14">
          <w:numFmt w:val="custom" w:format="а, й, к, ..."/>
        </mc:Choice>
        <mc:Fallback>
          <w:numFmt w:val="decimal"/>
        </mc:Fallback>
      </mc:AlternateContent>
      <w:pStyle w:val="Point1letter"/>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3802EC7"/>
    <w:multiLevelType w:val="multilevel"/>
    <w:tmpl w:val="7026F54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1"/>
      <w:numFmt w:val="decimal"/>
      <w:lvlText w:val="%3."/>
      <w:lvlJc w:val="left"/>
      <w:pPr>
        <w:ind w:left="1224" w:hanging="504"/>
      </w:pPr>
      <w:rPr>
        <w:rFonts w:hint="default"/>
      </w:rPr>
    </w:lvl>
    <w:lvl w:ilvl="3">
      <w:start w:val="1"/>
      <mc:AlternateContent>
        <mc:Choice Requires="w14">
          <w:numFmt w:val="custom" w:format="а, й, к, ..."/>
        </mc:Choice>
        <mc:Fallback>
          <w:numFmt w:val="decimal"/>
        </mc:Fallback>
      </mc:AlternateContent>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90357E"/>
    <w:multiLevelType w:val="hybridMultilevel"/>
    <w:tmpl w:val="DA8CD66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48F510BB"/>
    <w:multiLevelType w:val="hybridMultilevel"/>
    <w:tmpl w:val="24008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C027C80"/>
    <w:multiLevelType w:val="hybridMultilevel"/>
    <w:tmpl w:val="5B589FB0"/>
    <w:lvl w:ilvl="0" w:tplc="566E1830">
      <w:start w:val="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4D5D5E"/>
    <w:multiLevelType w:val="hybridMultilevel"/>
    <w:tmpl w:val="53C41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D6692A"/>
    <w:multiLevelType w:val="hybridMultilevel"/>
    <w:tmpl w:val="0554A25E"/>
    <w:lvl w:ilvl="0" w:tplc="0415000F">
      <w:start w:val="1"/>
      <w:numFmt w:val="decimal"/>
      <w:lvlText w:val="%1."/>
      <w:lvlJc w:val="left"/>
      <w:pPr>
        <w:ind w:left="770" w:hanging="360"/>
      </w:pPr>
    </w:lvl>
    <w:lvl w:ilvl="1" w:tplc="04150019">
      <w:start w:val="1"/>
      <w:numFmt w:val="lowerLetter"/>
      <w:lvlText w:val="%2."/>
      <w:lvlJc w:val="left"/>
      <w:pPr>
        <w:ind w:left="1490" w:hanging="360"/>
      </w:pPr>
    </w:lvl>
    <w:lvl w:ilvl="2" w:tplc="0415001B">
      <w:start w:val="1"/>
      <w:numFmt w:val="lowerRoman"/>
      <w:lvlText w:val="%3."/>
      <w:lvlJc w:val="right"/>
      <w:pPr>
        <w:ind w:left="2210" w:hanging="180"/>
      </w:pPr>
    </w:lvl>
    <w:lvl w:ilvl="3" w:tplc="0415000F">
      <w:start w:val="1"/>
      <w:numFmt w:val="decimal"/>
      <w:lvlText w:val="%4."/>
      <w:lvlJc w:val="left"/>
      <w:pPr>
        <w:ind w:left="2930" w:hanging="360"/>
      </w:pPr>
    </w:lvl>
    <w:lvl w:ilvl="4" w:tplc="04150019">
      <w:start w:val="1"/>
      <w:numFmt w:val="lowerLetter"/>
      <w:lvlText w:val="%5."/>
      <w:lvlJc w:val="left"/>
      <w:pPr>
        <w:ind w:left="3650" w:hanging="360"/>
      </w:pPr>
    </w:lvl>
    <w:lvl w:ilvl="5" w:tplc="0415001B">
      <w:start w:val="1"/>
      <w:numFmt w:val="lowerRoman"/>
      <w:lvlText w:val="%6."/>
      <w:lvlJc w:val="right"/>
      <w:pPr>
        <w:ind w:left="4370" w:hanging="180"/>
      </w:pPr>
    </w:lvl>
    <w:lvl w:ilvl="6" w:tplc="0415000F">
      <w:start w:val="1"/>
      <w:numFmt w:val="decimal"/>
      <w:lvlText w:val="%7."/>
      <w:lvlJc w:val="left"/>
      <w:pPr>
        <w:ind w:left="5090" w:hanging="360"/>
      </w:pPr>
    </w:lvl>
    <w:lvl w:ilvl="7" w:tplc="04150019">
      <w:start w:val="1"/>
      <w:numFmt w:val="lowerLetter"/>
      <w:lvlText w:val="%8."/>
      <w:lvlJc w:val="left"/>
      <w:pPr>
        <w:ind w:left="5810" w:hanging="360"/>
      </w:pPr>
    </w:lvl>
    <w:lvl w:ilvl="8" w:tplc="0415001B">
      <w:start w:val="1"/>
      <w:numFmt w:val="lowerRoman"/>
      <w:lvlText w:val="%9."/>
      <w:lvlJc w:val="right"/>
      <w:pPr>
        <w:ind w:left="6530" w:hanging="180"/>
      </w:pPr>
    </w:lvl>
  </w:abstractNum>
  <w:abstractNum w:abstractNumId="21" w15:restartNumberingAfterBreak="0">
    <w:nsid w:val="7DDE010F"/>
    <w:multiLevelType w:val="hybridMultilevel"/>
    <w:tmpl w:val="8A02D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E3092E"/>
    <w:multiLevelType w:val="hybridMultilevel"/>
    <w:tmpl w:val="280CAFBC"/>
    <w:lvl w:ilvl="0" w:tplc="202C8F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1"/>
  </w:num>
  <w:num w:numId="5">
    <w:abstractNumId w:val="6"/>
  </w:num>
  <w:num w:numId="6">
    <w:abstractNumId w:val="19"/>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5"/>
  </w:num>
  <w:num w:numId="14">
    <w:abstractNumId w:val="22"/>
  </w:num>
  <w:num w:numId="15">
    <w:abstractNumId w:val="16"/>
  </w:num>
  <w:num w:numId="16">
    <w:abstractNumId w:val="15"/>
  </w:num>
  <w:num w:numId="17">
    <w:abstractNumId w:val="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21"/>
  </w:num>
  <w:num w:numId="21">
    <w:abstractNumId w:val="2"/>
  </w:num>
  <w:num w:numId="22">
    <w:abstractNumId w:val="4"/>
  </w:num>
  <w:num w:numId="23">
    <w:abstractNumId w:val="3"/>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3."/>
        <w:lvlJc w:val="left"/>
        <w:pPr>
          <w:ind w:left="1224" w:hanging="504"/>
        </w:pPr>
        <w:rPr>
          <w:rFonts w:hint="default"/>
        </w:rPr>
      </w:lvl>
    </w:lvlOverride>
    <w:lvlOverride w:ilvl="3">
      <w:lvl w:ilvl="3">
        <w:start w:val="1"/>
        <mc:AlternateContent>
          <mc:Choice Requires="w14">
            <w:numFmt w:val="custom" w:format="а, й, к, ..."/>
          </mc:Choice>
          <mc:Fallback>
            <w:numFmt w:val="decimal"/>
          </mc:Fallback>
        </mc:AlternateContent>
        <w:lvlText w:val="%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0" w:nlCheck="1" w:checkStyle="0"/>
  <w:revisionView w:markup="0"/>
  <w:defaultTabStop w:val="720"/>
  <w:hyphenationZone w:val="283"/>
  <w:characterSpacingControl w:val="doNotCompress"/>
  <w:hdrShapeDefaults>
    <o:shapedefaults v:ext="edit" spidmax="2560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1B665C"/>
    <w:rsid w:val="001B665C"/>
    <w:rsid w:val="009C469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56001"/>
    <o:shapelayout v:ext="edit">
      <o:idmap v:ext="edit" data="1"/>
    </o:shapelayout>
  </w:shapeDefaults>
  <w:decimalSymbol w:val="."/>
  <w:listSeparator w:val=","/>
  <w14:docId w14:val="1B4DF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bg-BG"/>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ind w:left="33"/>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2"/>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2"/>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2"/>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2"/>
      </w:numPr>
      <w:spacing w:before="120" w:after="120" w:line="240" w:lineRule="auto"/>
      <w:jc w:val="both"/>
    </w:pPr>
    <w:rPr>
      <w:rFonts w:ascii="Times New Roman" w:hAnsi="Times New Roman" w:cs="Times New Roman"/>
      <w:sz w:val="24"/>
    </w:r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Point0number">
    <w:name w:val="Point 0 (number)"/>
    <w:basedOn w:val="Normal"/>
    <w:pPr>
      <w:numPr>
        <w:numId w:val="23"/>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3"/>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3"/>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3"/>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3"/>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3"/>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3"/>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3"/>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3"/>
      </w:numPr>
      <w:spacing w:before="120" w:after="120" w:line="240" w:lineRule="auto"/>
      <w:jc w:val="both"/>
    </w:pPr>
    <w:rPr>
      <w:rFonts w:ascii="Times New Roman" w:hAnsi="Times New Roman" w:cs="Times New Roman"/>
      <w:sz w:val="24"/>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53476">
      <w:bodyDiv w:val="1"/>
      <w:marLeft w:val="0"/>
      <w:marRight w:val="0"/>
      <w:marTop w:val="0"/>
      <w:marBottom w:val="0"/>
      <w:divBdr>
        <w:top w:val="none" w:sz="0" w:space="0" w:color="auto"/>
        <w:left w:val="none" w:sz="0" w:space="0" w:color="auto"/>
        <w:bottom w:val="none" w:sz="0" w:space="0" w:color="auto"/>
        <w:right w:val="none" w:sz="0" w:space="0" w:color="auto"/>
      </w:divBdr>
    </w:div>
    <w:div w:id="143280252">
      <w:bodyDiv w:val="1"/>
      <w:marLeft w:val="0"/>
      <w:marRight w:val="0"/>
      <w:marTop w:val="0"/>
      <w:marBottom w:val="0"/>
      <w:divBdr>
        <w:top w:val="none" w:sz="0" w:space="0" w:color="auto"/>
        <w:left w:val="none" w:sz="0" w:space="0" w:color="auto"/>
        <w:bottom w:val="none" w:sz="0" w:space="0" w:color="auto"/>
        <w:right w:val="none" w:sz="0" w:space="0" w:color="auto"/>
      </w:divBdr>
    </w:div>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00938872">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1558661704">
      <w:bodyDiv w:val="1"/>
      <w:marLeft w:val="0"/>
      <w:marRight w:val="0"/>
      <w:marTop w:val="0"/>
      <w:marBottom w:val="0"/>
      <w:divBdr>
        <w:top w:val="none" w:sz="0" w:space="0" w:color="auto"/>
        <w:left w:val="none" w:sz="0" w:space="0" w:color="auto"/>
        <w:bottom w:val="none" w:sz="0" w:space="0" w:color="auto"/>
        <w:right w:val="none" w:sz="0" w:space="0" w:color="auto"/>
      </w:divBdr>
    </w:div>
    <w:div w:id="1636256824">
      <w:bodyDiv w:val="1"/>
      <w:marLeft w:val="0"/>
      <w:marRight w:val="0"/>
      <w:marTop w:val="0"/>
      <w:marBottom w:val="0"/>
      <w:divBdr>
        <w:top w:val="none" w:sz="0" w:space="0" w:color="auto"/>
        <w:left w:val="none" w:sz="0" w:space="0" w:color="auto"/>
        <w:bottom w:val="none" w:sz="0" w:space="0" w:color="auto"/>
        <w:right w:val="none" w:sz="0" w:space="0" w:color="auto"/>
      </w:divBdr>
    </w:div>
    <w:div w:id="1974946842">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764B530C-EB88-464C-8BAF-196ABCB0739C}">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12696</Words>
  <Characters>90530</Characters>
  <Application>Microsoft Office Word</Application>
  <DocSecurity>0</DocSecurity>
  <Lines>4310</Lines>
  <Paragraphs>2867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100359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2021-11-25T14:57:00Z</dcterms:created>
  <dcterms:modified xsi:type="dcterms:W3CDTF">2022-01-14T14:27:00Z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2022-01-14T14:27:39Z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7143d382-b9c4-430b-8e2f-4e0efb04f74d</vt:lpwstr>
  </property>
  <property fmtid="{D5CDD505-2E9C-101B-9397-08002B2CF9AE}" pid="8" name="MSIP_Label_5c7eb9de-735b-4a68-8fe4-c9c62709b012_ContentBits">
    <vt:lpwstr>1</vt:lpwstr>
  </property>
</Properties>
</file>