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A4325" w14:textId="77777777" w:rsidR="00CD047F" w:rsidRDefault="005A322B">
      <w:pPr>
        <w:pStyle w:val="Typedudocument"/>
      </w:pPr>
      <w:r>
        <w:t>Regolamento di esecuzione</w:t>
      </w:r>
      <w:r w:rsidR="00CF1104">
        <w:t xml:space="preserve"> (UE) </w:t>
      </w:r>
      <w:r>
        <w:t>2021</w:t>
      </w:r>
      <w:r w:rsidR="00CF1104">
        <w:t xml:space="preserve">/… </w:t>
      </w:r>
      <w:r>
        <w:t>della Commissione</w:t>
      </w:r>
    </w:p>
    <w:p w14:paraId="252EA98D" w14:textId="77777777" w:rsidR="00CD047F" w:rsidRPr="001C6CC7" w:rsidRDefault="00CF1104">
      <w:pPr>
        <w:pStyle w:val="Datedadoption"/>
      </w:pPr>
      <w:r w:rsidRPr="001C6CC7">
        <w:t xml:space="preserve">del </w:t>
      </w:r>
      <w:r w:rsidR="005A322B" w:rsidRPr="001C6CC7">
        <w:rPr>
          <w:rStyle w:val="Marker2"/>
          <w:color w:val="auto"/>
        </w:rPr>
        <w:t>6 dicembre 2021</w:t>
      </w:r>
    </w:p>
    <w:p w14:paraId="0A2B482A" w14:textId="77777777" w:rsidR="00CD047F" w:rsidRDefault="00CF1104">
      <w:pPr>
        <w:pStyle w:val="Titreobjet"/>
      </w:pPr>
      <w:r>
        <w:t>che stabilisce norme tecniche di attuazione per l’applicazione del regolamento (UE) 2019/2033 del Parlamento europeo e del Consiglio per quanto riguarda le segnalazioni a fini di vigilanza e l’informativa delle imprese di investimento</w:t>
      </w:r>
    </w:p>
    <w:p w14:paraId="397C20BD" w14:textId="77777777" w:rsidR="00CD047F" w:rsidRDefault="00CF1104">
      <w:pPr>
        <w:pStyle w:val="IntrtEEE"/>
      </w:pPr>
      <w:r>
        <w:t>(Testo rilevante ai fini del SEE)</w:t>
      </w:r>
    </w:p>
    <w:p w14:paraId="6A00D650" w14:textId="77777777" w:rsidR="00CD047F" w:rsidRDefault="00CF1104">
      <w:pPr>
        <w:pStyle w:val="Institutionquiagit"/>
      </w:pPr>
      <w:r>
        <w:t>LA COMMISSIONE EUROPEA,</w:t>
      </w:r>
    </w:p>
    <w:p w14:paraId="3D2AAB3B" w14:textId="77777777" w:rsidR="00CD047F" w:rsidRDefault="00CF1104">
      <w:r>
        <w:rPr>
          <w:color w:val="000000"/>
        </w:rPr>
        <w:t>visto il trattato sul funzionamento dell’Unione europea</w:t>
      </w:r>
      <w:r>
        <w:t>,</w:t>
      </w:r>
    </w:p>
    <w:p w14:paraId="28F7CD0D" w14:textId="77777777" w:rsidR="00CD047F" w:rsidRDefault="00CF1104">
      <w:r>
        <w:t xml:space="preserve">visto il regolamento (UE) 2019/2033 del Parlamento europeo e del Consiglio, del 27 novembre 2019, relativo ai requisiti prudenziali delle imprese di investimento e che modifica i regolamenti (UE) </w:t>
      </w:r>
      <w:r w:rsidR="005A322B">
        <w:t>n. </w:t>
      </w:r>
      <w:r>
        <w:t xml:space="preserve">1093/2010, (UE) </w:t>
      </w:r>
      <w:r w:rsidR="005A322B">
        <w:t>n. </w:t>
      </w:r>
      <w:r>
        <w:t xml:space="preserve">575/2013, (UE) </w:t>
      </w:r>
      <w:r w:rsidR="005A322B">
        <w:t>n. </w:t>
      </w:r>
      <w:r>
        <w:t xml:space="preserve">600/2014 e (UE) </w:t>
      </w:r>
      <w:r w:rsidR="005A322B">
        <w:t>n. </w:t>
      </w:r>
      <w:r>
        <w:t>806/2014 </w:t>
      </w:r>
      <w:r>
        <w:rPr>
          <w:rStyle w:val="FootnoteReference"/>
        </w:rPr>
        <w:footnoteReference w:id="1"/>
      </w:r>
      <w:r>
        <w:t>, in particolare l’articolo 49, paragrafo 2, e l’articolo 54, paragrafo 3,</w:t>
      </w:r>
    </w:p>
    <w:p w14:paraId="458244AA" w14:textId="77777777" w:rsidR="00CD047F" w:rsidRDefault="00CF1104">
      <w:r>
        <w:t>considerando quanto segue:</w:t>
      </w:r>
    </w:p>
    <w:p w14:paraId="3190F88A" w14:textId="77777777" w:rsidR="00CD047F" w:rsidRDefault="00CF1104">
      <w:pPr>
        <w:pStyle w:val="Considrant"/>
        <w:numPr>
          <w:ilvl w:val="0"/>
          <w:numId w:val="0"/>
        </w:numPr>
        <w:tabs>
          <w:tab w:val="left" w:pos="709"/>
        </w:tabs>
        <w:ind w:left="709" w:hanging="709"/>
      </w:pPr>
      <w:r>
        <w:t>(1)</w:t>
      </w:r>
      <w:r>
        <w:tab/>
        <w:t>Gli obblighi di segnalazione imposti alle imprese di investimento dall’articolo 54 del regolamento (UE) 2019/2033 dovrebbero essere mirati all’attività delle imprese di investimento ed essere proporzionati all’ampiezza e alla complessità delle diverse imprese di investimento. Dovrebbero tenere conto in particolare del fatto che talune imprese di investimento devono essere considerate piccole e non interconnesse conformemente alle condizioni di cui all’articolo 12 del regolamento (UE) 2019/2033.</w:t>
      </w:r>
    </w:p>
    <w:p w14:paraId="219B8440" w14:textId="77777777" w:rsidR="00CD047F" w:rsidRDefault="00CF1104">
      <w:pPr>
        <w:pStyle w:val="Considrant"/>
        <w:numPr>
          <w:ilvl w:val="0"/>
          <w:numId w:val="0"/>
        </w:numPr>
        <w:tabs>
          <w:tab w:val="left" w:pos="709"/>
        </w:tabs>
        <w:ind w:left="709" w:hanging="709"/>
      </w:pPr>
      <w:r>
        <w:t>(2)</w:t>
      </w:r>
      <w:r>
        <w:tab/>
        <w:t xml:space="preserve">A norma dell’articolo 54, paragrafo 1, del regolamento (UE) 2019/2033, le imprese di investimento piccole e non interconnesse sono tenute a segnalare informazioni sul livello e sulla composizione dei fondi propri, sui requisiti di fondi propri, sulla base utilizzata per il calcolo dei requisiti di fondi propri e sul livello di attività in relazione alle condizioni di cui all’articolo 12, paragrafo 1, del medesimo regolamento (UE) 2019/2033. Le imprese piccole e non interconnesse non sono pertanto tenute a segnalare informazioni con lo stesso livello di dettaglio delle altre imprese di investimento soggette al regolamento (UE) 2019/2033. Alle imprese piccole e non interconnesse non dovrebbero applicarsi pertanto i modelli di segnalazione relativi al calcolo dei fattori K. A norma dell’articolo 54, paragrafo 2, terzo comma, del regolamento (UE) 2019/2033, </w:t>
      </w:r>
      <w:bookmarkStart w:id="0" w:name="_DV_C108"/>
      <w:r>
        <w:t>le imprese piccole e non interconnesse sono altresì esentate dall’obbligo di segnalazione del rischio di concentrazione, mentre le autorità competenti possono esentarle dall’obbligo di segnalare i requisiti di liquidità</w:t>
      </w:r>
      <w:bookmarkStart w:id="1" w:name="_DV_M108"/>
      <w:bookmarkEnd w:id="0"/>
      <w:bookmarkEnd w:id="1"/>
      <w:r>
        <w:t>.</w:t>
      </w:r>
    </w:p>
    <w:p w14:paraId="662D54FA" w14:textId="77777777" w:rsidR="00CD047F" w:rsidRDefault="00CF1104">
      <w:pPr>
        <w:pStyle w:val="Considrant"/>
        <w:numPr>
          <w:ilvl w:val="0"/>
          <w:numId w:val="0"/>
        </w:numPr>
        <w:tabs>
          <w:tab w:val="left" w:pos="709"/>
        </w:tabs>
        <w:ind w:left="709" w:hanging="709"/>
      </w:pPr>
      <w:r>
        <w:t>(3)</w:t>
      </w:r>
      <w:r>
        <w:tab/>
        <w:t>Tutte le imprese di investimento soggette al regolamento (UE) 2019/2033 dovrebbero segnalare profilo di attività e dimensioni per consentire alle autorità competenti di valutare se soddisfino le condizioni di cui all’articolo 12 del regolamento (UE) 2019/2033 per essere classificate come imprese di investimento piccole e non interconnesse.</w:t>
      </w:r>
    </w:p>
    <w:p w14:paraId="7421F0D4" w14:textId="77777777" w:rsidR="00CD047F" w:rsidRDefault="00CF1104">
      <w:pPr>
        <w:pStyle w:val="Considrant"/>
        <w:numPr>
          <w:ilvl w:val="0"/>
          <w:numId w:val="0"/>
        </w:numPr>
        <w:tabs>
          <w:tab w:val="left" w:pos="709"/>
        </w:tabs>
        <w:ind w:left="709" w:hanging="709"/>
      </w:pPr>
      <w:r>
        <w:t>(4)</w:t>
      </w:r>
      <w:r>
        <w:tab/>
        <w:t xml:space="preserve">Al fine di garantire trasparenza nei confronti degli investitori e dei mercati in generale, l’articolo 46 del regolamento (UE) 2019/2033 impone alle imprese di investimento </w:t>
      </w:r>
      <w:r>
        <w:lastRenderedPageBreak/>
        <w:t>diverse dalle imprese di investimento piccole e non interconnesse di comunicare al pubblico le informazioni indicate nella parte sei di tale regolamento. Le imprese di investimento piccole e non interconnesse non sono soggette a tali obblighi di informativa, se non nei casi in cui emettono strumenti di capitale aggiuntivo di classe 1, al fine di garantire trasparenza a coloro che investono in tali strumenti.</w:t>
      </w:r>
    </w:p>
    <w:p w14:paraId="5520F870" w14:textId="77777777" w:rsidR="00CD047F" w:rsidRDefault="00CF1104">
      <w:pPr>
        <w:pStyle w:val="Considrant"/>
        <w:numPr>
          <w:ilvl w:val="0"/>
          <w:numId w:val="0"/>
        </w:numPr>
        <w:tabs>
          <w:tab w:val="left" w:pos="709"/>
        </w:tabs>
        <w:ind w:left="709" w:hanging="709"/>
      </w:pPr>
      <w:r>
        <w:t>(5)</w:t>
      </w:r>
      <w:r>
        <w:tab/>
        <w:t>Il presente regolamento dovrebbe mettere a disposizione delle imprese di investimento modelli e tabelle atti a trasmettere informazioni sufficientemente complete e comparabili sulla composizione e la qualità dei fondi propri. Nello specifico è necessario introdurre un modello di informativa quantitativa sulla composizione dei fondi propri e un modello flessibile per la riconciliazione dei fondi propri regolamentari con il bilancio sottoposto a revisione contabile. Per lo stesso motivo è altresì necessario redigere un modello contenente informazioni sulle caratteristiche più rilevanti degli strumenti di fondi propri emessi dall’impresa di investimento.</w:t>
      </w:r>
    </w:p>
    <w:p w14:paraId="6CE7D19A" w14:textId="77777777" w:rsidR="00CD047F" w:rsidRDefault="00CF1104">
      <w:pPr>
        <w:pStyle w:val="Considrant"/>
        <w:numPr>
          <w:ilvl w:val="0"/>
          <w:numId w:val="0"/>
        </w:numPr>
        <w:tabs>
          <w:tab w:val="left" w:pos="709"/>
        </w:tabs>
        <w:ind w:left="709" w:hanging="709"/>
      </w:pPr>
      <w:r>
        <w:t>(6)</w:t>
      </w:r>
      <w:r>
        <w:tab/>
      </w:r>
      <w:r>
        <w:rPr>
          <w:color w:val="000000"/>
        </w:rPr>
        <w:t>Al fine di agevolare l’attuazione degli obblighi di segnalazione e informativa, è necessario migliorare la coerenza tra i modelli di segnalazione e di informativa. Il modello per l’informativa sulla composizione dei fondi propri dovrebbe pertanto essere allineato rigorosamente al collegato modello di segnalazione sul livello e sulla composizione dei fondi propri. Per lo stesso motivo il modello per l’informativa sulla riconciliazione completa dei fondi propri con il bilancio sottoposto a revisione contabile dovrebbe essere flessibile, nel senso da permettere una scomposizione che ricalchi la scomposizione dello stato patrimoniale nel bilancio sottoposto a revisione contabile dell’impresa di investimento. Il modello per l’informativa sulle principali caratteristiche dei fondi propri regolamentari dovrebbe peraltro essere un modello fisso e la sua complessità dovrebbe dipendere dalla complessità degli strumenti di fondi propri.</w:t>
      </w:r>
    </w:p>
    <w:p w14:paraId="66EC1258" w14:textId="4E206D9F" w:rsidR="00CD047F" w:rsidRDefault="00CF1104" w:rsidP="00F32C09">
      <w:pPr>
        <w:pStyle w:val="Considrant"/>
        <w:numPr>
          <w:ilvl w:val="0"/>
          <w:numId w:val="0"/>
        </w:numPr>
        <w:tabs>
          <w:tab w:val="left" w:pos="709"/>
        </w:tabs>
        <w:ind w:left="709" w:hanging="709"/>
      </w:pPr>
      <w:r>
        <w:t>(7)</w:t>
      </w:r>
      <w:r>
        <w:tab/>
        <w:t>Affinché per le imprese di investimento i costi di adeguamento alla normativa non aumentino in modo irragionevole e sia mantenuta la qualità dei dati, gli obblighi di segnalazione e informativa dovrebbero essere il più possibile allineati gli uni agli altri nella sostanza. È pertanto opportuno stabilire in un unico regolamento le norme applicabili agli obblighi sia di segnalazione che di informativa.</w:t>
      </w:r>
    </w:p>
    <w:p w14:paraId="0988966F" w14:textId="05F63DE5" w:rsidR="00CD047F" w:rsidRDefault="00CF1104">
      <w:pPr>
        <w:pStyle w:val="Considrant"/>
        <w:numPr>
          <w:ilvl w:val="0"/>
          <w:numId w:val="0"/>
        </w:numPr>
        <w:tabs>
          <w:tab w:val="left" w:pos="709"/>
        </w:tabs>
        <w:ind w:left="709" w:hanging="709"/>
      </w:pPr>
      <w:r>
        <w:t>(</w:t>
      </w:r>
      <w:r w:rsidR="00F32C09">
        <w:t>8</w:t>
      </w:r>
      <w:r>
        <w:t>)</w:t>
      </w:r>
      <w:r>
        <w:tab/>
        <w:t>Il presente regolamento si basa sui progetti di norme tecniche di attuazione che l’Autorità bancaria europea (ABE) ha presentato alla Commissione previa consultazione dell’Autorità europea degli strumenti finanziari e dei mercati.</w:t>
      </w:r>
    </w:p>
    <w:p w14:paraId="57FFD958" w14:textId="0EFD3E6B" w:rsidR="00CD047F" w:rsidRDefault="00CF1104">
      <w:pPr>
        <w:pStyle w:val="Considrant"/>
        <w:numPr>
          <w:ilvl w:val="0"/>
          <w:numId w:val="0"/>
        </w:numPr>
        <w:tabs>
          <w:tab w:val="left" w:pos="709"/>
        </w:tabs>
        <w:ind w:left="709" w:hanging="709"/>
      </w:pPr>
      <w:r>
        <w:t>(</w:t>
      </w:r>
      <w:r w:rsidR="00F32C09">
        <w:t>9</w:t>
      </w:r>
      <w:r>
        <w:t>)</w:t>
      </w:r>
      <w:r>
        <w:tab/>
        <w:t xml:space="preserve">L’ABE ha condotto consultazioni pubbliche aperte sui progetti di norme tecniche di attuazione sui quali è basato il presente regolamento, ha analizzato i potenziali costi e benefici collegati e ha chiesto il parere del gruppo delle parti interessate nel settore bancario istituito ai sensi dell’articolo 37 del regolamento (UE) </w:t>
      </w:r>
      <w:r w:rsidR="005A322B">
        <w:t>n. </w:t>
      </w:r>
      <w:r>
        <w:t>1093/2010 del Parlamento europeo e del Consiglio </w:t>
      </w:r>
      <w:r>
        <w:rPr>
          <w:rStyle w:val="FootnoteReference"/>
        </w:rPr>
        <w:footnoteReference w:id="2"/>
      </w:r>
      <w:r>
        <w:t>,</w:t>
      </w:r>
    </w:p>
    <w:p w14:paraId="0D41E794" w14:textId="77777777" w:rsidR="00CD047F" w:rsidRDefault="00CF1104">
      <w:pPr>
        <w:pStyle w:val="Formuledadoption"/>
        <w:keepNext w:val="0"/>
      </w:pPr>
      <w:r>
        <w:t>HA ADOTTATO IL PRESENTE REGOLAMENTO:</w:t>
      </w:r>
    </w:p>
    <w:p w14:paraId="345DCDBE" w14:textId="77777777" w:rsidR="00CD047F" w:rsidRDefault="00CF1104">
      <w:pPr>
        <w:jc w:val="center"/>
        <w:rPr>
          <w:b/>
          <w:sz w:val="36"/>
          <w:szCs w:val="36"/>
        </w:rPr>
      </w:pPr>
      <w:r>
        <w:rPr>
          <w:b/>
          <w:sz w:val="36"/>
          <w:szCs w:val="36"/>
        </w:rPr>
        <w:t>CAPO I</w:t>
      </w:r>
    </w:p>
    <w:p w14:paraId="0DAAB59D" w14:textId="77777777" w:rsidR="00CD047F" w:rsidRDefault="00CF1104">
      <w:pPr>
        <w:jc w:val="center"/>
        <w:rPr>
          <w:b/>
          <w:sz w:val="36"/>
          <w:szCs w:val="36"/>
        </w:rPr>
      </w:pPr>
      <w:r>
        <w:rPr>
          <w:b/>
          <w:sz w:val="36"/>
          <w:szCs w:val="36"/>
        </w:rPr>
        <w:t>SEGNALAZIONI A FINI DI VIGILANZA</w:t>
      </w:r>
    </w:p>
    <w:p w14:paraId="6905F55D" w14:textId="77777777" w:rsidR="00CD047F" w:rsidRDefault="00CF1104">
      <w:pPr>
        <w:pStyle w:val="Titrearticle"/>
      </w:pPr>
      <w:r>
        <w:lastRenderedPageBreak/>
        <w:t>Articolo 1</w:t>
      </w:r>
    </w:p>
    <w:p w14:paraId="24A2ECDE" w14:textId="77777777" w:rsidR="00CD047F" w:rsidRDefault="00CF1104">
      <w:pPr>
        <w:pStyle w:val="Titrearticle"/>
        <w:spacing w:before="120"/>
        <w:rPr>
          <w:b/>
          <w:i w:val="0"/>
        </w:rPr>
      </w:pPr>
      <w:r>
        <w:rPr>
          <w:b/>
          <w:i w:val="0"/>
        </w:rPr>
        <w:t>Date di riferimento per le segnalazioni</w:t>
      </w:r>
    </w:p>
    <w:p w14:paraId="1965D2B3" w14:textId="77777777" w:rsidR="00CD047F" w:rsidRDefault="00CF1104">
      <w:pPr>
        <w:pStyle w:val="NumPar1"/>
        <w:numPr>
          <w:ilvl w:val="0"/>
          <w:numId w:val="0"/>
        </w:numPr>
        <w:tabs>
          <w:tab w:val="left" w:pos="567"/>
        </w:tabs>
      </w:pPr>
      <w:r>
        <w:t>1.</w:t>
      </w:r>
      <w:r>
        <w:tab/>
        <w:t>Le informazioni di cui all’articolo 54, paragrafo 1, del regolamento sono segnalate nello stato in cui si trovano alle date di riferimento per le segnalazioni indicate di seguito:</w:t>
      </w:r>
    </w:p>
    <w:p w14:paraId="7250CC87" w14:textId="77777777" w:rsidR="00CD047F" w:rsidRDefault="00CF1104">
      <w:pPr>
        <w:pStyle w:val="Point1letter"/>
        <w:numPr>
          <w:ilvl w:val="0"/>
          <w:numId w:val="0"/>
        </w:numPr>
        <w:ind w:left="567" w:hanging="567"/>
      </w:pPr>
      <w:r>
        <w:t>a)</w:t>
      </w:r>
      <w:r>
        <w:tab/>
        <w:t>segnalazioni trimestrali: 31 marzo, 30 giugno, 30 settembre e 31 dicembre;</w:t>
      </w:r>
    </w:p>
    <w:p w14:paraId="20C35D64" w14:textId="77777777" w:rsidR="00CD047F" w:rsidRDefault="00CF1104">
      <w:pPr>
        <w:pStyle w:val="Point1letter"/>
        <w:numPr>
          <w:ilvl w:val="0"/>
          <w:numId w:val="0"/>
        </w:numPr>
        <w:ind w:left="567" w:hanging="567"/>
      </w:pPr>
      <w:r>
        <w:t>b)</w:t>
      </w:r>
      <w:r>
        <w:tab/>
        <w:t>segnalazioni annuali: 31 dicembre.</w:t>
      </w:r>
    </w:p>
    <w:p w14:paraId="01E29308" w14:textId="77777777" w:rsidR="00CD047F" w:rsidRDefault="00CF1104">
      <w:pPr>
        <w:pStyle w:val="NumPar1"/>
        <w:numPr>
          <w:ilvl w:val="0"/>
          <w:numId w:val="0"/>
        </w:numPr>
        <w:tabs>
          <w:tab w:val="left" w:pos="567"/>
        </w:tabs>
      </w:pPr>
      <w:r>
        <w:t>2.</w:t>
      </w:r>
      <w:r>
        <w:tab/>
        <w:t>Le date di riferimento per le segnalazioni di cui al paragrafo 1 possono essere adattate laddove il diritto nazionale consenta alle imprese di investimento di segnalare le informazioni finanziarie basandosi sulla fine del loro esercizio contabile che non corrisponde a quella dell’anno civile, in modo che la segnalazione trimestrale delle informazioni sia effettuata ogni tre mesi del rispettivo esercizio contabile e la segnalazione annuale alla fine dell’esercizio contabile.</w:t>
      </w:r>
    </w:p>
    <w:p w14:paraId="6C2F5B3E" w14:textId="77777777" w:rsidR="00CD047F" w:rsidRDefault="00CF1104">
      <w:pPr>
        <w:pStyle w:val="Titrearticle"/>
      </w:pPr>
      <w:r>
        <w:t>Articolo 2</w:t>
      </w:r>
    </w:p>
    <w:p w14:paraId="6FCC4259" w14:textId="77777777" w:rsidR="00CD047F" w:rsidRDefault="00CF1104">
      <w:pPr>
        <w:pStyle w:val="Titrearticle"/>
        <w:spacing w:before="120"/>
        <w:rPr>
          <w:b/>
          <w:i w:val="0"/>
        </w:rPr>
      </w:pPr>
      <w:r>
        <w:rPr>
          <w:b/>
          <w:i w:val="0"/>
        </w:rPr>
        <w:t>Date d’invio per le segnalazioni</w:t>
      </w:r>
    </w:p>
    <w:p w14:paraId="0A1A4599" w14:textId="77777777" w:rsidR="00CD047F" w:rsidRDefault="00CF1104">
      <w:pPr>
        <w:pStyle w:val="NumPar1"/>
        <w:numPr>
          <w:ilvl w:val="0"/>
          <w:numId w:val="0"/>
        </w:numPr>
        <w:tabs>
          <w:tab w:val="left" w:pos="567"/>
        </w:tabs>
      </w:pPr>
      <w:r>
        <w:t>1.</w:t>
      </w:r>
      <w:r>
        <w:tab/>
        <w:t>Le informazioni di cui all’articolo 54, paragrafo 1, del regolamento (UE) 2019/2033 sono trasmesse entro la fine del giorno lavorativo nelle date d’invio indicate di seguito:</w:t>
      </w:r>
    </w:p>
    <w:p w14:paraId="2CECBC66" w14:textId="77777777" w:rsidR="00CD047F" w:rsidRDefault="00CF1104">
      <w:pPr>
        <w:pStyle w:val="Point1letter"/>
        <w:numPr>
          <w:ilvl w:val="0"/>
          <w:numId w:val="0"/>
        </w:numPr>
        <w:ind w:left="567" w:hanging="567"/>
      </w:pPr>
      <w:r>
        <w:t>a)</w:t>
      </w:r>
      <w:r>
        <w:tab/>
        <w:t>segnalazioni trimestrali: 12 maggio, 11 agosto, 11 novembre e 11 febbraio;</w:t>
      </w:r>
    </w:p>
    <w:p w14:paraId="11046947" w14:textId="77777777" w:rsidR="00CD047F" w:rsidRDefault="00CF1104">
      <w:pPr>
        <w:pStyle w:val="Point1letter"/>
        <w:numPr>
          <w:ilvl w:val="0"/>
          <w:numId w:val="0"/>
        </w:numPr>
        <w:ind w:left="567" w:hanging="567"/>
      </w:pPr>
      <w:r>
        <w:t>b)</w:t>
      </w:r>
      <w:r>
        <w:tab/>
        <w:t>segnalazioni annuali: 11 febbraio.</w:t>
      </w:r>
    </w:p>
    <w:p w14:paraId="7147828F" w14:textId="77777777" w:rsidR="00CD047F" w:rsidRDefault="00CF1104">
      <w:pPr>
        <w:pStyle w:val="NumPar1"/>
        <w:numPr>
          <w:ilvl w:val="0"/>
          <w:numId w:val="0"/>
        </w:numPr>
        <w:tabs>
          <w:tab w:val="left" w:pos="567"/>
        </w:tabs>
      </w:pPr>
      <w:r>
        <w:t>2.</w:t>
      </w:r>
      <w:r>
        <w:tab/>
        <w:t>Laddove la data d’invio per le segnalazioni coincida con una festività nazionale dello Stato membro dell’autorità competente destinataria della segnalazione o con un sabato o una domenica, il giorno d’invio per le segnalazioni è il giorno lavorativo successivo.</w:t>
      </w:r>
    </w:p>
    <w:p w14:paraId="5F68A9E0" w14:textId="77777777" w:rsidR="00CD047F" w:rsidRDefault="00CF1104">
      <w:pPr>
        <w:pStyle w:val="NumPar1"/>
        <w:numPr>
          <w:ilvl w:val="0"/>
          <w:numId w:val="0"/>
        </w:numPr>
        <w:tabs>
          <w:tab w:val="left" w:pos="567"/>
        </w:tabs>
      </w:pPr>
      <w:r>
        <w:t>3.</w:t>
      </w:r>
      <w:r>
        <w:tab/>
        <w:t>Laddove le imprese di investimento segnalino le informazioni avvalendosi di date di riferimento per le segnalazioni adattate in base alla fine del loro esercizio contabile come previsto dall’articolo 1, paragrafo 2, le date d’invio possono essere adattate di conseguenza in modo tale da mantenere lo stesso periodo d’invio a partire dalla data di riferimento per le segnalazioni adattata.</w:t>
      </w:r>
    </w:p>
    <w:p w14:paraId="4D49CF04" w14:textId="77777777" w:rsidR="00CD047F" w:rsidRDefault="00CF1104">
      <w:pPr>
        <w:pStyle w:val="NumPar1"/>
        <w:numPr>
          <w:ilvl w:val="0"/>
          <w:numId w:val="0"/>
        </w:numPr>
        <w:tabs>
          <w:tab w:val="left" w:pos="567"/>
        </w:tabs>
      </w:pPr>
      <w:r>
        <w:t>4.</w:t>
      </w:r>
      <w:r>
        <w:tab/>
        <w:t xml:space="preserve">Le imprese di investimento possono trasmettere dati non sottoposti a revisione contabile. Laddove i dati sottoposti a revisione contabile si discostino da quelli non sottoposti a revisione contabile presentati, sono immediatamente comunicati i dati sottoposti a revisione contabile. Ai fini del presente articolo, per </w:t>
      </w:r>
      <w:r w:rsidRPr="005A322B">
        <w:t>«dati non</w:t>
      </w:r>
      <w:r>
        <w:t xml:space="preserve"> sottoposti a revisione contabile» s’intendono dati riguardo ai quali non è stato ricevuto il parere di un revisore esterno, mentre i dati sottoposti a revisione contabile sono i dati verificati da un revisore esterno che esprime un parere al riguardo.</w:t>
      </w:r>
    </w:p>
    <w:p w14:paraId="2397A1B9" w14:textId="77777777" w:rsidR="00CD047F" w:rsidRDefault="00CF1104">
      <w:pPr>
        <w:pStyle w:val="NumPar1"/>
        <w:numPr>
          <w:ilvl w:val="0"/>
          <w:numId w:val="0"/>
        </w:numPr>
        <w:tabs>
          <w:tab w:val="left" w:pos="567"/>
        </w:tabs>
      </w:pPr>
      <w:r>
        <w:t>5.</w:t>
      </w:r>
      <w:r>
        <w:tab/>
        <w:t>Le rettifiche apportate ai dati segnalati sono immediatamente comunicate alle autorità competenti.</w:t>
      </w:r>
    </w:p>
    <w:p w14:paraId="0B2404CF" w14:textId="77777777" w:rsidR="00CD047F" w:rsidRDefault="00CF1104">
      <w:pPr>
        <w:pStyle w:val="Titrearticle"/>
      </w:pPr>
      <w:r>
        <w:t>Articolo 3</w:t>
      </w:r>
    </w:p>
    <w:p w14:paraId="7FD9416D" w14:textId="77777777" w:rsidR="00CD047F" w:rsidRDefault="00CF1104">
      <w:pPr>
        <w:pStyle w:val="Titrearticle"/>
        <w:spacing w:before="120"/>
        <w:rPr>
          <w:b/>
          <w:i w:val="0"/>
        </w:rPr>
      </w:pPr>
      <w:r>
        <w:rPr>
          <w:b/>
          <w:i w:val="0"/>
        </w:rPr>
        <w:t>Applicazione degli obblighi di segnalazione su base individuale</w:t>
      </w:r>
    </w:p>
    <w:p w14:paraId="4CAFF6B2" w14:textId="77777777" w:rsidR="00CD047F" w:rsidRDefault="00CF1104">
      <w:r>
        <w:t>Al fine di ottemperare agli obblighi di segnalazione di cui all’articolo 54 del regolamento (UE) 2019/2033 su base individuale, le imprese di investimento segnalano le informazioni di cui agli articoli 5, 6 e 7 del presente regolamento con la frequenza ivi specificata.</w:t>
      </w:r>
    </w:p>
    <w:p w14:paraId="1597ED7F" w14:textId="77777777" w:rsidR="00CD047F" w:rsidRDefault="00CF1104">
      <w:pPr>
        <w:pStyle w:val="Titrearticle"/>
      </w:pPr>
      <w:r>
        <w:lastRenderedPageBreak/>
        <w:t>Articolo 4</w:t>
      </w:r>
    </w:p>
    <w:p w14:paraId="007EEB05" w14:textId="77777777" w:rsidR="00CD047F" w:rsidRDefault="00CF1104">
      <w:pPr>
        <w:pStyle w:val="Titrearticle"/>
        <w:spacing w:before="120"/>
        <w:rPr>
          <w:b/>
          <w:i w:val="0"/>
        </w:rPr>
      </w:pPr>
      <w:r>
        <w:rPr>
          <w:b/>
          <w:i w:val="0"/>
        </w:rPr>
        <w:t>Applicazione degli obblighi di segnalazione su base consolidata</w:t>
      </w:r>
    </w:p>
    <w:p w14:paraId="200AD60A" w14:textId="77777777" w:rsidR="00CD047F" w:rsidRDefault="00CF1104">
      <w:pPr>
        <w:pStyle w:val="Titrearticle"/>
        <w:jc w:val="both"/>
        <w:rPr>
          <w:i w:val="0"/>
        </w:rPr>
      </w:pPr>
      <w:r>
        <w:rPr>
          <w:i w:val="0"/>
        </w:rPr>
        <w:t>Al fine di ottemperare agli obblighi di segnalazione di cui all’articolo 54 del regolamento (UE) 2019/2033 su base consolidata, le imprese di investimento segnalano le informazioni di cui agli articoli 5 e 6 del presente regolamento di esecuzione.</w:t>
      </w:r>
    </w:p>
    <w:p w14:paraId="5AC21274" w14:textId="77777777" w:rsidR="00CD047F" w:rsidRDefault="00CF1104">
      <w:pPr>
        <w:pStyle w:val="Titrearticle"/>
      </w:pPr>
      <w:r>
        <w:t>Articolo 5</w:t>
      </w:r>
    </w:p>
    <w:p w14:paraId="624AC2CB" w14:textId="77777777" w:rsidR="00CD047F" w:rsidRDefault="00CF1104">
      <w:pPr>
        <w:pStyle w:val="Titrearticle"/>
        <w:spacing w:before="120"/>
        <w:rPr>
          <w:b/>
          <w:i w:val="0"/>
        </w:rPr>
      </w:pPr>
      <w:r>
        <w:rPr>
          <w:b/>
          <w:i w:val="0"/>
        </w:rPr>
        <w:t>Formato e frequenza della segnalazione da parte delle imprese di investimento</w:t>
      </w:r>
      <w:r>
        <w:rPr>
          <w:b/>
          <w:i w:val="0"/>
        </w:rPr>
        <w:br/>
        <w:t>diverse dalle imprese di investimento piccole e non interconnesse</w:t>
      </w:r>
    </w:p>
    <w:p w14:paraId="691FD563" w14:textId="77777777" w:rsidR="00CD047F" w:rsidRDefault="00CF1104">
      <w:pPr>
        <w:pStyle w:val="NumPar1"/>
        <w:numPr>
          <w:ilvl w:val="0"/>
          <w:numId w:val="0"/>
        </w:numPr>
        <w:tabs>
          <w:tab w:val="left" w:pos="567"/>
        </w:tabs>
      </w:pPr>
      <w:r>
        <w:t>1.</w:t>
      </w:r>
      <w:r>
        <w:tab/>
        <w:t>Le imprese di investimento diverse dalle imprese di investimento piccole e non interconnesse segnalano con frequenza trimestrale le informazioni di cui all’articolo 54, paragrafi 1 e 2, del regolamento (UE) 2019/2033 utilizzando i modelli di cui all’allegato I del presente regolamento conformemente alle istruzioni di cui all’allegato II del presente regolamento.</w:t>
      </w:r>
    </w:p>
    <w:p w14:paraId="054A2989" w14:textId="77777777" w:rsidR="00CD047F" w:rsidRDefault="00CF1104">
      <w:pPr>
        <w:pStyle w:val="NumPar1"/>
        <w:numPr>
          <w:ilvl w:val="0"/>
          <w:numId w:val="0"/>
        </w:numPr>
        <w:tabs>
          <w:tab w:val="left" w:pos="567"/>
        </w:tabs>
        <w:rPr>
          <w:szCs w:val="24"/>
        </w:rPr>
      </w:pPr>
      <w:r>
        <w:rPr>
          <w:szCs w:val="24"/>
        </w:rPr>
        <w:t>2.</w:t>
      </w:r>
      <w:r>
        <w:rPr>
          <w:szCs w:val="24"/>
        </w:rPr>
        <w:tab/>
      </w:r>
      <w:r>
        <w:t>Le imprese di investimento diverse dalle imprese di investimento piccole e non interconnesse che determinano il requisito relativo ai fattori K RtM sulla base del K-NPR conformemente all’articolo 21, paragrafo 1, del regolamento (UE) 2019/2033 segnalano con frequenza trimestrale le informazioni specificate nel regolamento di esecuzione (UE) 2021/451 della Commissione</w:t>
      </w:r>
      <w:r w:rsidR="005A322B">
        <w:rPr>
          <w:rStyle w:val="FootnoteReference"/>
        </w:rPr>
        <w:footnoteReference w:id="3"/>
      </w:r>
      <w:r>
        <w:t>, allegato I, modelli da C</w:t>
      </w:r>
      <w:r w:rsidR="005A322B">
        <w:t> </w:t>
      </w:r>
      <w:r>
        <w:t>18.00 a C</w:t>
      </w:r>
      <w:r w:rsidR="005A322B">
        <w:t> </w:t>
      </w:r>
      <w:r>
        <w:t>24.00, conformemente alle istruzioni di cui all’allegato II, parte 2, di tale regolamento di esecuzione.</w:t>
      </w:r>
    </w:p>
    <w:p w14:paraId="092815D5" w14:textId="77777777" w:rsidR="00CD047F" w:rsidRDefault="00CF1104">
      <w:pPr>
        <w:pStyle w:val="NumPar1"/>
        <w:numPr>
          <w:ilvl w:val="0"/>
          <w:numId w:val="0"/>
        </w:numPr>
        <w:tabs>
          <w:tab w:val="left" w:pos="567"/>
        </w:tabs>
        <w:rPr>
          <w:szCs w:val="24"/>
        </w:rPr>
      </w:pPr>
      <w:r>
        <w:rPr>
          <w:szCs w:val="24"/>
        </w:rPr>
        <w:t>3.</w:t>
      </w:r>
      <w:r>
        <w:rPr>
          <w:szCs w:val="24"/>
        </w:rPr>
        <w:tab/>
      </w:r>
      <w:r>
        <w:t>Le imprese di investimento diverse dalle imprese di investimento piccole e non interconnesse che si avvalgono della deroga di cui all’articolo 25, paragrafo 4, del regolamento (UE) 2019/2033 segnalano con frequenza trimestrale le informazioni specificate nel regolamento di esecuzione (UE) 2021/451, allegato I, modello C</w:t>
      </w:r>
      <w:r w:rsidR="005A322B">
        <w:t> </w:t>
      </w:r>
      <w:r>
        <w:t>34.02, conformemente alle istruzioni di cui all’allegato II, parte 2, di tale regolamento di esecuzione.</w:t>
      </w:r>
    </w:p>
    <w:p w14:paraId="61DA5488" w14:textId="77777777" w:rsidR="00CD047F" w:rsidRDefault="00CF1104">
      <w:pPr>
        <w:pStyle w:val="NumPar1"/>
        <w:numPr>
          <w:ilvl w:val="0"/>
          <w:numId w:val="0"/>
        </w:numPr>
        <w:tabs>
          <w:tab w:val="left" w:pos="567"/>
        </w:tabs>
        <w:rPr>
          <w:szCs w:val="24"/>
        </w:rPr>
      </w:pPr>
      <w:r>
        <w:rPr>
          <w:szCs w:val="24"/>
        </w:rPr>
        <w:t>4.</w:t>
      </w:r>
      <w:r>
        <w:rPr>
          <w:szCs w:val="24"/>
        </w:rPr>
        <w:tab/>
      </w:r>
      <w:r>
        <w:t>Le imprese di investimento diverse dalle imprese di investimento piccole e non interconnesse che si avvalgono della deroga di cui all’articolo 25, paragrafo 5, secondo comma, del regolamento (UE) 2019/2033 segnalano con frequenza trimestrale le informazioni specificate nel regolamento di esecuzione (UE) 2021/451, allegato I, modello C</w:t>
      </w:r>
      <w:r w:rsidR="005A322B">
        <w:t> </w:t>
      </w:r>
      <w:r>
        <w:t>25.00, conformemente alle istruzioni di cui all’allegato II, parte 2, di tale regolamento di esecuzione.</w:t>
      </w:r>
    </w:p>
    <w:p w14:paraId="0FE9E28A" w14:textId="77777777" w:rsidR="00CD047F" w:rsidRDefault="00CF1104">
      <w:pPr>
        <w:pStyle w:val="Titrearticle"/>
      </w:pPr>
      <w:r>
        <w:t>Articolo 6</w:t>
      </w:r>
    </w:p>
    <w:p w14:paraId="1AA488A6" w14:textId="77777777" w:rsidR="00CD047F" w:rsidRDefault="00CF1104">
      <w:pPr>
        <w:pStyle w:val="Titrearticle"/>
        <w:spacing w:before="120"/>
        <w:rPr>
          <w:b/>
          <w:i w:val="0"/>
        </w:rPr>
      </w:pPr>
      <w:r>
        <w:rPr>
          <w:b/>
          <w:i w:val="0"/>
        </w:rPr>
        <w:t>Formato e frequenza della segnalazione da parte delle imprese di investimento</w:t>
      </w:r>
      <w:r>
        <w:rPr>
          <w:b/>
          <w:i w:val="0"/>
        </w:rPr>
        <w:br/>
        <w:t>piccole e non interconnesse</w:t>
      </w:r>
    </w:p>
    <w:p w14:paraId="351B0AD8" w14:textId="77777777" w:rsidR="00CD047F" w:rsidRDefault="00CF1104" w:rsidP="00650E0F">
      <w:pPr>
        <w:pStyle w:val="NumPar1"/>
        <w:numPr>
          <w:ilvl w:val="0"/>
          <w:numId w:val="38"/>
        </w:numPr>
        <w:tabs>
          <w:tab w:val="left" w:pos="567"/>
        </w:tabs>
        <w:ind w:left="0" w:firstLine="0"/>
      </w:pPr>
      <w:r>
        <w:t>Le imprese di investimento piccole e non interconnesse segnalano con frequenza annuale le informazioni specificate nei modelli di cui all’allegato III conformemente alle istruzioni di cui all’allegato IV. Le imprese di investimento che beneficiano dell’esenzione di cui all’articolo 43, paragrafo 1, secondo comma, del regolamento (UE) 2019/2033 sono esentate dall’obbligo di presentare le informazioni specificate nel modello IF</w:t>
      </w:r>
      <w:r w:rsidR="005A322B">
        <w:t> </w:t>
      </w:r>
      <w:r>
        <w:t>09.01 di cui all’allegato III del presente regolamento.</w:t>
      </w:r>
    </w:p>
    <w:p w14:paraId="697BBF55" w14:textId="77777777" w:rsidR="00CD047F" w:rsidRDefault="00CF1104">
      <w:pPr>
        <w:pStyle w:val="Titrearticle"/>
      </w:pPr>
      <w:r>
        <w:lastRenderedPageBreak/>
        <w:t>Articolo 7</w:t>
      </w:r>
    </w:p>
    <w:p w14:paraId="4B6808EE" w14:textId="77777777" w:rsidR="00CD047F" w:rsidRDefault="00CF1104">
      <w:pPr>
        <w:pStyle w:val="Titrearticle"/>
        <w:spacing w:before="120"/>
        <w:rPr>
          <w:b/>
          <w:i w:val="0"/>
        </w:rPr>
      </w:pPr>
      <w:r>
        <w:rPr>
          <w:b/>
          <w:i w:val="0"/>
        </w:rPr>
        <w:t>Formato e frequenza della segnalazione da parte dei soggetti che beneficiano dell’applicazione dell’articolo 8 del regolamento (UE) 2019/2033</w:t>
      </w:r>
    </w:p>
    <w:p w14:paraId="712B5F42" w14:textId="77777777" w:rsidR="00CD047F" w:rsidRDefault="00CF1104">
      <w:pPr>
        <w:rPr>
          <w:rFonts w:eastAsia="Times New Roman"/>
          <w:szCs w:val="24"/>
        </w:rPr>
      </w:pPr>
      <w:r>
        <w:t>In deroga all’articolo 4 del presente regolamento, i soggetti di cui all’articolo 8, paragrafo 3, del regolamento (UE) 2019/2033 che beneficiano dell’applicazione di tale articolo segnalano con frequenza trimestrale le informazioni di cui ai modelli dell’allegato VIII del presente regolamento conformemente alle istruzioni di cui all’allegato IX del presente regolamento.</w:t>
      </w:r>
    </w:p>
    <w:p w14:paraId="27F26E26" w14:textId="77777777" w:rsidR="00CD047F" w:rsidRDefault="00CF1104">
      <w:pPr>
        <w:pStyle w:val="Titrearticle"/>
      </w:pPr>
      <w:r>
        <w:t>Articolo 8</w:t>
      </w:r>
    </w:p>
    <w:p w14:paraId="1A78755C" w14:textId="77777777" w:rsidR="00CD047F" w:rsidRDefault="00CF1104">
      <w:pPr>
        <w:pStyle w:val="Titrearticle"/>
        <w:spacing w:before="120"/>
        <w:rPr>
          <w:b/>
          <w:i w:val="0"/>
        </w:rPr>
      </w:pPr>
      <w:r>
        <w:rPr>
          <w:b/>
          <w:i w:val="0"/>
        </w:rPr>
        <w:t>Precisione dei dati e informazioni associate ai dati comunicati</w:t>
      </w:r>
    </w:p>
    <w:p w14:paraId="1A3AFDD3" w14:textId="77777777" w:rsidR="00CD047F" w:rsidRDefault="00CF1104">
      <w:pPr>
        <w:pStyle w:val="NumPar1"/>
        <w:numPr>
          <w:ilvl w:val="0"/>
          <w:numId w:val="0"/>
        </w:numPr>
        <w:tabs>
          <w:tab w:val="left" w:pos="567"/>
        </w:tabs>
      </w:pPr>
      <w:r>
        <w:t>1.</w:t>
      </w:r>
      <w:r>
        <w:tab/>
        <w:t>Le imprese di investimento trasmettono le informazioni di cui al presente regolamento nei formati e con le modalità specificati dalle autorità competenti per lo scambio di dati e rispettando la definizione dei punti di dati dell’apposito modello e le formule di convalida specificate nell’allegato V, nonché le disposizioni seguenti:</w:t>
      </w:r>
    </w:p>
    <w:p w14:paraId="6428525B" w14:textId="77777777" w:rsidR="00CD047F" w:rsidRDefault="00CF1104">
      <w:pPr>
        <w:pStyle w:val="Point1letter"/>
        <w:numPr>
          <w:ilvl w:val="0"/>
          <w:numId w:val="0"/>
        </w:numPr>
        <w:ind w:left="567" w:hanging="567"/>
      </w:pPr>
      <w:r>
        <w:t>a)</w:t>
      </w:r>
      <w:r>
        <w:tab/>
        <w:t>nei dati comunicati non sono incluse le informazioni non richieste o non applicabili;</w:t>
      </w:r>
    </w:p>
    <w:p w14:paraId="79EC4A91" w14:textId="77777777" w:rsidR="00CD047F" w:rsidRDefault="00CF1104">
      <w:pPr>
        <w:pStyle w:val="Point1letter"/>
        <w:numPr>
          <w:ilvl w:val="0"/>
          <w:numId w:val="0"/>
        </w:numPr>
        <w:ind w:left="567" w:hanging="567"/>
      </w:pPr>
      <w:r>
        <w:t>b)</w:t>
      </w:r>
      <w:r>
        <w:tab/>
        <w:t>i valori numerici sono presentati come dati fattuali secondo le convenzioni seguenti:</w:t>
      </w:r>
    </w:p>
    <w:p w14:paraId="78F590E3" w14:textId="77777777" w:rsidR="00CD047F" w:rsidRPr="005A322B" w:rsidRDefault="00CF1104">
      <w:pPr>
        <w:pStyle w:val="Point2"/>
        <w:ind w:left="1134"/>
      </w:pPr>
      <w:r>
        <w:t>i)</w:t>
      </w:r>
      <w:r>
        <w:tab/>
        <w:t xml:space="preserve">i punti di dati con il tipo di </w:t>
      </w:r>
      <w:r w:rsidRPr="005A322B">
        <w:t>dati «monetario» sono segnalati utilizzando una precisione minima equivalente a migliaia di unità;</w:t>
      </w:r>
    </w:p>
    <w:p w14:paraId="7FC44A2C" w14:textId="77777777" w:rsidR="00CD047F" w:rsidRPr="005A322B" w:rsidRDefault="00CF1104">
      <w:pPr>
        <w:pStyle w:val="Point2"/>
        <w:ind w:left="1134"/>
      </w:pPr>
      <w:r w:rsidRPr="005A322B">
        <w:t>ii)</w:t>
      </w:r>
      <w:r w:rsidRPr="005A322B">
        <w:tab/>
        <w:t>i punti di dati con il tipo di dati «percentuale» sono espressi in unità con una precisione minima equivalente a quattro decimali;</w:t>
      </w:r>
    </w:p>
    <w:p w14:paraId="285E87FA" w14:textId="77777777" w:rsidR="00CD047F" w:rsidRDefault="00CF1104">
      <w:pPr>
        <w:pStyle w:val="Point2"/>
        <w:ind w:left="1134"/>
      </w:pPr>
      <w:r w:rsidRPr="005A322B">
        <w:t>iii)</w:t>
      </w:r>
      <w:r w:rsidRPr="005A322B">
        <w:tab/>
        <w:t>i punti di dati con il tipo di dati «numero intero» sono segnalati senza utilizzare decimali e con una precisione equivalente</w:t>
      </w:r>
      <w:r>
        <w:t xml:space="preserve"> alle unità.</w:t>
      </w:r>
    </w:p>
    <w:p w14:paraId="4D933D63" w14:textId="77777777" w:rsidR="00CD047F" w:rsidRDefault="00CF1104">
      <w:pPr>
        <w:pStyle w:val="NumPar1"/>
        <w:numPr>
          <w:ilvl w:val="0"/>
          <w:numId w:val="0"/>
        </w:numPr>
        <w:tabs>
          <w:tab w:val="left" w:pos="567"/>
        </w:tabs>
      </w:pPr>
      <w:r>
        <w:t>2.</w:t>
      </w:r>
      <w:r>
        <w:tab/>
        <w:t>Le imprese di investimento sono identificate dall’identificativo della persona giuridica (LEI). I soggetti giuridici e le controparti diversi dalle imprese di investimento sono identificati dal LEI se disponibile.</w:t>
      </w:r>
    </w:p>
    <w:p w14:paraId="24A6E851" w14:textId="77777777" w:rsidR="00CD047F" w:rsidRDefault="00CF1104">
      <w:pPr>
        <w:pStyle w:val="NumPar1"/>
        <w:numPr>
          <w:ilvl w:val="0"/>
          <w:numId w:val="0"/>
        </w:numPr>
        <w:tabs>
          <w:tab w:val="left" w:pos="567"/>
        </w:tabs>
      </w:pPr>
      <w:r>
        <w:t>3.</w:t>
      </w:r>
      <w:r>
        <w:tab/>
        <w:t>Le informazioni trasmesse dalle imprese di investimento sulla base del presente regolamento sono corredate delle informazioni seguenti:</w:t>
      </w:r>
    </w:p>
    <w:p w14:paraId="322B2DBD" w14:textId="77777777" w:rsidR="00CD047F" w:rsidRDefault="00CF1104">
      <w:pPr>
        <w:pStyle w:val="Point1letter"/>
        <w:numPr>
          <w:ilvl w:val="0"/>
          <w:numId w:val="0"/>
        </w:numPr>
        <w:ind w:left="567" w:hanging="567"/>
      </w:pPr>
      <w:r>
        <w:t>a)</w:t>
      </w:r>
      <w:r>
        <w:tab/>
        <w:t>data e periodo di riferimento per le segnalazioni;</w:t>
      </w:r>
    </w:p>
    <w:p w14:paraId="3D867BFC" w14:textId="77777777" w:rsidR="00CD047F" w:rsidRDefault="00CF1104">
      <w:pPr>
        <w:pStyle w:val="Point1letter"/>
        <w:numPr>
          <w:ilvl w:val="0"/>
          <w:numId w:val="0"/>
        </w:numPr>
        <w:ind w:left="567" w:hanging="567"/>
      </w:pPr>
      <w:r>
        <w:t>b)</w:t>
      </w:r>
      <w:r>
        <w:tab/>
        <w:t>valuta utilizzata per le segnalazioni;</w:t>
      </w:r>
    </w:p>
    <w:p w14:paraId="6B4F4198" w14:textId="77777777" w:rsidR="00CD047F" w:rsidRDefault="00CF1104">
      <w:pPr>
        <w:pStyle w:val="Point1letter"/>
        <w:numPr>
          <w:ilvl w:val="0"/>
          <w:numId w:val="0"/>
        </w:numPr>
        <w:ind w:left="567" w:hanging="567"/>
      </w:pPr>
      <w:r>
        <w:t>c)</w:t>
      </w:r>
      <w:r>
        <w:tab/>
        <w:t>principio contabile;</w:t>
      </w:r>
    </w:p>
    <w:p w14:paraId="5A945642" w14:textId="77777777" w:rsidR="00CD047F" w:rsidRDefault="00CF1104">
      <w:pPr>
        <w:pStyle w:val="Point1letter"/>
        <w:numPr>
          <w:ilvl w:val="0"/>
          <w:numId w:val="0"/>
        </w:numPr>
        <w:ind w:left="567" w:hanging="567"/>
      </w:pPr>
      <w:r>
        <w:t>d)</w:t>
      </w:r>
      <w:r>
        <w:tab/>
        <w:t>identificativo della persona giuridica (LEI) dell’ente segnalante;</w:t>
      </w:r>
    </w:p>
    <w:p w14:paraId="07BE0D81" w14:textId="77777777" w:rsidR="00CD047F" w:rsidRDefault="00CF1104">
      <w:pPr>
        <w:pStyle w:val="Point1letter"/>
        <w:numPr>
          <w:ilvl w:val="0"/>
          <w:numId w:val="0"/>
        </w:numPr>
        <w:ind w:left="567" w:hanging="567"/>
      </w:pPr>
      <w:r>
        <w:t>e)</w:t>
      </w:r>
      <w:r>
        <w:tab/>
        <w:t>ambito del consolidamento.</w:t>
      </w:r>
    </w:p>
    <w:p w14:paraId="2118B414" w14:textId="77777777" w:rsidR="00CD047F" w:rsidRDefault="00CF1104">
      <w:pPr>
        <w:keepNext/>
        <w:jc w:val="center"/>
        <w:rPr>
          <w:b/>
          <w:sz w:val="36"/>
          <w:szCs w:val="36"/>
        </w:rPr>
      </w:pPr>
      <w:r>
        <w:rPr>
          <w:b/>
          <w:sz w:val="36"/>
          <w:szCs w:val="36"/>
        </w:rPr>
        <w:t>CAPO II</w:t>
      </w:r>
    </w:p>
    <w:p w14:paraId="4BC12F2B" w14:textId="77777777" w:rsidR="00CD047F" w:rsidRDefault="00CF1104">
      <w:pPr>
        <w:keepNext/>
        <w:jc w:val="center"/>
        <w:rPr>
          <w:b/>
          <w:sz w:val="36"/>
          <w:szCs w:val="36"/>
        </w:rPr>
      </w:pPr>
      <w:r>
        <w:rPr>
          <w:b/>
          <w:sz w:val="36"/>
          <w:szCs w:val="36"/>
        </w:rPr>
        <w:t>INFORMATIVA AL PUBBLICO DA PARTE DELLE IMPRESE DI INVESTIMENTO</w:t>
      </w:r>
    </w:p>
    <w:p w14:paraId="4D3B5E89" w14:textId="77777777" w:rsidR="00CD047F" w:rsidRDefault="00CF1104">
      <w:pPr>
        <w:pStyle w:val="Titrearticle"/>
      </w:pPr>
      <w:r>
        <w:t>Articolo 9</w:t>
      </w:r>
    </w:p>
    <w:p w14:paraId="79A68668" w14:textId="77777777" w:rsidR="00CD047F" w:rsidRDefault="00CF1104">
      <w:pPr>
        <w:pStyle w:val="Titrearticle"/>
        <w:spacing w:before="120"/>
        <w:rPr>
          <w:b/>
          <w:i w:val="0"/>
        </w:rPr>
      </w:pPr>
      <w:r>
        <w:rPr>
          <w:b/>
          <w:i w:val="0"/>
        </w:rPr>
        <w:t>Principi di informativa</w:t>
      </w:r>
    </w:p>
    <w:p w14:paraId="047F3F6B" w14:textId="77777777" w:rsidR="00CD047F" w:rsidRDefault="00650E0F">
      <w:pPr>
        <w:pStyle w:val="NumPar1"/>
        <w:numPr>
          <w:ilvl w:val="0"/>
          <w:numId w:val="0"/>
        </w:numPr>
      </w:pPr>
      <w:r>
        <w:t>1.</w:t>
      </w:r>
      <w:r>
        <w:tab/>
      </w:r>
      <w:r w:rsidR="00CF1104">
        <w:t>Alle informazioni da comunicare conformemente al presente regolamento si applicano i principi seguenti:</w:t>
      </w:r>
    </w:p>
    <w:p w14:paraId="20B09442" w14:textId="77777777" w:rsidR="00CD047F" w:rsidRDefault="00CF1104">
      <w:pPr>
        <w:pStyle w:val="Point1letter"/>
        <w:numPr>
          <w:ilvl w:val="0"/>
          <w:numId w:val="0"/>
        </w:numPr>
        <w:ind w:left="567" w:hanging="567"/>
      </w:pPr>
      <w:r>
        <w:lastRenderedPageBreak/>
        <w:t>a)</w:t>
      </w:r>
      <w:r>
        <w:tab/>
        <w:t>le informazioni sono sottoposte allo stesso livello di verifica interna applicabile alla relazione sulla gestione inclusa nella relazione finanziaria dell’impresa di investimento;</w:t>
      </w:r>
    </w:p>
    <w:p w14:paraId="31347E25" w14:textId="77777777" w:rsidR="00CD047F" w:rsidRDefault="00CF1104">
      <w:pPr>
        <w:pStyle w:val="Point1letter"/>
        <w:numPr>
          <w:ilvl w:val="0"/>
          <w:numId w:val="0"/>
        </w:numPr>
        <w:ind w:left="567" w:hanging="567"/>
      </w:pPr>
      <w:r>
        <w:t>b)</w:t>
      </w:r>
      <w:r>
        <w:tab/>
        <w:t>le informazioni sono chiare e presentate in forma comprensibile agli utilizzatori e sono comunicate tramite mezzo accessibile. I messaggi importanti sono evidenziati e di facile reperibilità. Le questioni complesse sono spiegate in linguaggio semplice. Le informazioni collegate sono presentate insieme;</w:t>
      </w:r>
    </w:p>
    <w:p w14:paraId="45D826EF" w14:textId="77777777" w:rsidR="00CD047F" w:rsidRDefault="00CF1104">
      <w:pPr>
        <w:pStyle w:val="Point1letter"/>
        <w:numPr>
          <w:ilvl w:val="0"/>
          <w:numId w:val="0"/>
        </w:numPr>
        <w:ind w:left="567" w:hanging="567"/>
      </w:pPr>
      <w:r>
        <w:t>c)</w:t>
      </w:r>
      <w:r>
        <w:tab/>
        <w:t>le informazioni sono significative e coerenti nel tempo per consentire agli utilizzatori di confrontarle tra i vari periodi di informativa;</w:t>
      </w:r>
    </w:p>
    <w:p w14:paraId="105A8255" w14:textId="77777777" w:rsidR="00CD047F" w:rsidRDefault="00CF1104">
      <w:pPr>
        <w:pStyle w:val="Point1letter"/>
        <w:numPr>
          <w:ilvl w:val="0"/>
          <w:numId w:val="0"/>
        </w:numPr>
        <w:ind w:left="567" w:hanging="567"/>
      </w:pPr>
      <w:r>
        <w:t>d)</w:t>
      </w:r>
      <w:r>
        <w:tab/>
        <w:t>le informazioni quantitative sono accompagnate da spiegazioni qualitative e da ogni altra informazione complementare eventualmente necessaria per permettere agli utilizzatori di tali informazioni di comprenderle, evidenziando in particolare le eventuali variazioni significative delle informazioni riportate nell’informativa rispetto alle informative precedenti.</w:t>
      </w:r>
    </w:p>
    <w:p w14:paraId="7B46B2BE" w14:textId="77777777" w:rsidR="00CD047F" w:rsidRDefault="00CF1104">
      <w:pPr>
        <w:pStyle w:val="Titrearticle"/>
      </w:pPr>
      <w:r>
        <w:t>Articolo 10</w:t>
      </w:r>
    </w:p>
    <w:p w14:paraId="6244283F" w14:textId="77777777" w:rsidR="00CD047F" w:rsidRDefault="00CF1104">
      <w:pPr>
        <w:pStyle w:val="Titrearticle"/>
        <w:spacing w:before="120"/>
        <w:rPr>
          <w:b/>
          <w:i w:val="0"/>
        </w:rPr>
      </w:pPr>
      <w:r>
        <w:rPr>
          <w:b/>
          <w:i w:val="0"/>
        </w:rPr>
        <w:t>Informativa sui fondi propri da parte delle imprese di investimento</w:t>
      </w:r>
    </w:p>
    <w:p w14:paraId="6BC8D13A" w14:textId="77777777" w:rsidR="00CD047F" w:rsidRDefault="00CF1104">
      <w:r>
        <w:t>Le imprese di investimento pubblicano le informazioni sui fondi propri richieste dall’articolo 49, paragrafo 1, del regolamento (UE) 2019/2033 utilizzando i modelli di cui all’allegato VI del presente regolamento conformemente alle istruzioni di cui all’allegato VII del presente regolamento.</w:t>
      </w:r>
    </w:p>
    <w:p w14:paraId="120F7DD5" w14:textId="77777777" w:rsidR="00CD047F" w:rsidRDefault="00CF1104">
      <w:pPr>
        <w:pStyle w:val="Titrearticle"/>
      </w:pPr>
      <w:r>
        <w:t>Articolo 11</w:t>
      </w:r>
    </w:p>
    <w:p w14:paraId="775B0D3F" w14:textId="77777777" w:rsidR="00CD047F" w:rsidRDefault="00CF1104">
      <w:pPr>
        <w:pStyle w:val="Titrearticle"/>
        <w:spacing w:before="120"/>
        <w:rPr>
          <w:b/>
          <w:i w:val="0"/>
        </w:rPr>
      </w:pPr>
      <w:r>
        <w:rPr>
          <w:b/>
          <w:i w:val="0"/>
        </w:rPr>
        <w:t>Disposizioni generali in materia di informativa</w:t>
      </w:r>
    </w:p>
    <w:p w14:paraId="7B1824EA" w14:textId="77777777" w:rsidR="00CD047F" w:rsidRDefault="00CF1104">
      <w:pPr>
        <w:pStyle w:val="NumPar1"/>
        <w:numPr>
          <w:ilvl w:val="0"/>
          <w:numId w:val="0"/>
        </w:numPr>
        <w:tabs>
          <w:tab w:val="left" w:pos="567"/>
        </w:tabs>
      </w:pPr>
      <w:r>
        <w:t>1.</w:t>
      </w:r>
      <w:r>
        <w:tab/>
        <w:t>Quando pubblicano le informazioni di cui all’articolo 10, le imprese di investimento assicurano che i valori numerici siano presentati come dati fattuali secondo quanto segue:</w:t>
      </w:r>
    </w:p>
    <w:p w14:paraId="684D2F19" w14:textId="77777777" w:rsidR="00CD047F" w:rsidRDefault="00CF1104">
      <w:pPr>
        <w:pStyle w:val="Point1letter"/>
        <w:numPr>
          <w:ilvl w:val="0"/>
          <w:numId w:val="0"/>
        </w:numPr>
        <w:ind w:left="567" w:hanging="567"/>
      </w:pPr>
      <w:r>
        <w:t>a)</w:t>
      </w:r>
      <w:r>
        <w:tab/>
        <w:t>i dati monetari quantitativi sono pubblicati utilizzando una precisione minima equivalente a migliaia di unità;</w:t>
      </w:r>
    </w:p>
    <w:p w14:paraId="7414C94A" w14:textId="77777777" w:rsidR="00CD047F" w:rsidRDefault="00CF1104">
      <w:pPr>
        <w:pStyle w:val="Point1letter"/>
        <w:numPr>
          <w:ilvl w:val="0"/>
          <w:numId w:val="0"/>
        </w:numPr>
        <w:ind w:left="567" w:hanging="567"/>
      </w:pPr>
      <w:r>
        <w:t>b)</w:t>
      </w:r>
      <w:r>
        <w:tab/>
        <w:t xml:space="preserve">i dati quantitativi pubblicati </w:t>
      </w:r>
      <w:r w:rsidRPr="005A322B">
        <w:t>come «percentuale</w:t>
      </w:r>
      <w:r>
        <w:t>» sono espressi in unità con una precisione minima equivalente a quattro decimali.</w:t>
      </w:r>
    </w:p>
    <w:p w14:paraId="5C7B1BB6" w14:textId="77777777" w:rsidR="00CD047F" w:rsidRDefault="00CF1104">
      <w:pPr>
        <w:pStyle w:val="NumPar1"/>
        <w:numPr>
          <w:ilvl w:val="0"/>
          <w:numId w:val="0"/>
        </w:numPr>
        <w:tabs>
          <w:tab w:val="left" w:pos="567"/>
        </w:tabs>
      </w:pPr>
      <w:r>
        <w:t>2.</w:t>
      </w:r>
      <w:r>
        <w:tab/>
        <w:t>Nel pubblicare le informazioni di cui all’articolo 10 le imprese di investimento assicurano che i dati siano associati a tutte le informazioni seguenti:</w:t>
      </w:r>
    </w:p>
    <w:p w14:paraId="79E2EA75" w14:textId="77777777" w:rsidR="00CD047F" w:rsidRDefault="00CF1104">
      <w:pPr>
        <w:pStyle w:val="Point1letter"/>
        <w:numPr>
          <w:ilvl w:val="0"/>
          <w:numId w:val="0"/>
        </w:numPr>
        <w:ind w:left="567" w:hanging="567"/>
      </w:pPr>
      <w:r>
        <w:t>a)</w:t>
      </w:r>
      <w:r>
        <w:tab/>
        <w:t>data e periodo di riferimento dell’informativa;</w:t>
      </w:r>
    </w:p>
    <w:p w14:paraId="11498670" w14:textId="77777777" w:rsidR="00CD047F" w:rsidRDefault="00CF1104">
      <w:pPr>
        <w:pStyle w:val="Point1letter"/>
        <w:numPr>
          <w:ilvl w:val="0"/>
          <w:numId w:val="0"/>
        </w:numPr>
        <w:ind w:left="567" w:hanging="567"/>
      </w:pPr>
      <w:r>
        <w:t>b)</w:t>
      </w:r>
      <w:r>
        <w:tab/>
        <w:t>valuta utilizzata per l’informativa;</w:t>
      </w:r>
    </w:p>
    <w:p w14:paraId="4CB73AF2" w14:textId="77777777" w:rsidR="00CD047F" w:rsidRDefault="00CF1104">
      <w:pPr>
        <w:pStyle w:val="Point1letter"/>
        <w:numPr>
          <w:ilvl w:val="0"/>
          <w:numId w:val="0"/>
        </w:numPr>
        <w:ind w:left="567" w:hanging="567"/>
      </w:pPr>
      <w:r>
        <w:t>c)</w:t>
      </w:r>
      <w:r>
        <w:tab/>
        <w:t>nome e, se del caso, LEI dell’ente che pubblica l’informativa;</w:t>
      </w:r>
    </w:p>
    <w:p w14:paraId="2C5D41F6" w14:textId="77777777" w:rsidR="00CD047F" w:rsidRDefault="00CF1104">
      <w:pPr>
        <w:pStyle w:val="Point1letter"/>
        <w:numPr>
          <w:ilvl w:val="0"/>
          <w:numId w:val="0"/>
        </w:numPr>
        <w:ind w:left="567" w:hanging="567"/>
      </w:pPr>
      <w:r>
        <w:t>d)</w:t>
      </w:r>
      <w:r>
        <w:tab/>
        <w:t>se del caso, il principio contabile;</w:t>
      </w:r>
    </w:p>
    <w:p w14:paraId="10B8515D" w14:textId="77777777" w:rsidR="00CD047F" w:rsidRDefault="00CF1104">
      <w:pPr>
        <w:pStyle w:val="Point1letter"/>
        <w:numPr>
          <w:ilvl w:val="0"/>
          <w:numId w:val="0"/>
        </w:numPr>
        <w:ind w:left="567" w:hanging="567"/>
      </w:pPr>
      <w:r>
        <w:t>e)</w:t>
      </w:r>
      <w:r>
        <w:tab/>
        <w:t>se del caso, l’ambito del consolidamento.</w:t>
      </w:r>
    </w:p>
    <w:p w14:paraId="0A160BD8" w14:textId="77777777" w:rsidR="00CD047F" w:rsidRDefault="00CF1104">
      <w:pPr>
        <w:jc w:val="center"/>
        <w:rPr>
          <w:b/>
          <w:sz w:val="36"/>
          <w:szCs w:val="36"/>
        </w:rPr>
      </w:pPr>
      <w:r>
        <w:rPr>
          <w:b/>
          <w:sz w:val="36"/>
          <w:szCs w:val="36"/>
        </w:rPr>
        <w:t>CAPO III</w:t>
      </w:r>
    </w:p>
    <w:p w14:paraId="0AD113A5" w14:textId="77777777" w:rsidR="00CD047F" w:rsidRDefault="00CF1104">
      <w:pPr>
        <w:jc w:val="center"/>
        <w:rPr>
          <w:b/>
          <w:sz w:val="36"/>
          <w:szCs w:val="36"/>
        </w:rPr>
      </w:pPr>
      <w:r>
        <w:rPr>
          <w:b/>
          <w:sz w:val="36"/>
          <w:szCs w:val="36"/>
        </w:rPr>
        <w:t>DISPOSIZIONI FINALI</w:t>
      </w:r>
    </w:p>
    <w:p w14:paraId="11EB60EF" w14:textId="77777777" w:rsidR="00CD047F" w:rsidRDefault="00CF1104">
      <w:pPr>
        <w:pStyle w:val="Titrearticle"/>
        <w:spacing w:before="120"/>
      </w:pPr>
      <w:r>
        <w:lastRenderedPageBreak/>
        <w:t>Articolo 12</w:t>
      </w:r>
    </w:p>
    <w:p w14:paraId="0DF268F3" w14:textId="3864071B" w:rsidR="00CD047F" w:rsidRDefault="00CF1104">
      <w:pPr>
        <w:pStyle w:val="Titrearticle"/>
        <w:spacing w:before="120"/>
        <w:rPr>
          <w:b/>
          <w:i w:val="0"/>
        </w:rPr>
      </w:pPr>
      <w:r>
        <w:rPr>
          <w:b/>
          <w:i w:val="0"/>
        </w:rPr>
        <w:t>Entrata in vigore</w:t>
      </w:r>
    </w:p>
    <w:p w14:paraId="27B0E7A1" w14:textId="77777777" w:rsidR="00CD047F" w:rsidRDefault="00CF1104">
      <w:r>
        <w:t xml:space="preserve">Il presente regolamento entra in vigore il ventesimo giorno successivo alla pubblicazione nella </w:t>
      </w:r>
      <w:r>
        <w:rPr>
          <w:i/>
        </w:rPr>
        <w:t>Gazzetta ufficiale dell’Unione europea</w:t>
      </w:r>
      <w:r>
        <w:t>.</w:t>
      </w:r>
    </w:p>
    <w:p w14:paraId="48B2CB8D" w14:textId="77777777" w:rsidR="00CD047F" w:rsidRDefault="00CF1104">
      <w:pPr>
        <w:pStyle w:val="Applicationdirecte"/>
      </w:pPr>
      <w:r>
        <w:t>Il presente regolamento è obbligatorio in tutti i suoi elementi e direttamente applicabile in ciascuno degli Stati membri.</w:t>
      </w:r>
    </w:p>
    <w:p w14:paraId="0E37C5AE" w14:textId="77777777" w:rsidR="00CD047F" w:rsidRDefault="00CF1104">
      <w:pPr>
        <w:pStyle w:val="Fait"/>
      </w:pPr>
      <w:r>
        <w:t>Fatto a Bruxelles, il</w:t>
      </w:r>
      <w:r w:rsidR="005A322B">
        <w:t xml:space="preserve"> 6 dicembre 2021</w:t>
      </w:r>
    </w:p>
    <w:p w14:paraId="0CA75571" w14:textId="77777777" w:rsidR="00CD047F" w:rsidRDefault="00CF1104">
      <w:pPr>
        <w:pStyle w:val="Institutionquisigne"/>
      </w:pPr>
      <w:r>
        <w:tab/>
        <w:t>Per la Commissione</w:t>
      </w:r>
    </w:p>
    <w:p w14:paraId="0A85907E" w14:textId="77777777" w:rsidR="00CD047F" w:rsidRDefault="00CF1104">
      <w:pPr>
        <w:pStyle w:val="Personnequisigne"/>
      </w:pPr>
      <w:r>
        <w:tab/>
        <w:t>La presidente</w:t>
      </w:r>
    </w:p>
    <w:p w14:paraId="4104ED57" w14:textId="77777777" w:rsidR="00CD047F" w:rsidRPr="005A322B" w:rsidRDefault="00CF1104">
      <w:pPr>
        <w:pStyle w:val="Personnequisigne"/>
        <w:rPr>
          <w:i w:val="0"/>
        </w:rPr>
      </w:pPr>
      <w:r>
        <w:tab/>
      </w:r>
      <w:r w:rsidRPr="005A322B">
        <w:rPr>
          <w:i w:val="0"/>
        </w:rPr>
        <w:t xml:space="preserve">Ursula </w:t>
      </w:r>
      <w:r w:rsidRPr="005A322B">
        <w:rPr>
          <w:i w:val="0"/>
          <w:caps/>
        </w:rPr>
        <w:t>von der Leyen</w:t>
      </w:r>
    </w:p>
    <w:sectPr w:rsidR="00CD047F" w:rsidRPr="005A322B">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9D50B" w14:textId="77777777" w:rsidR="00AF6BC8" w:rsidRDefault="00AF6BC8">
      <w:pPr>
        <w:spacing w:before="0" w:after="0"/>
      </w:pPr>
      <w:r>
        <w:separator/>
      </w:r>
    </w:p>
  </w:endnote>
  <w:endnote w:type="continuationSeparator" w:id="0">
    <w:p w14:paraId="435386B8" w14:textId="77777777" w:rsidR="00AF6BC8" w:rsidRDefault="00AF6B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39A8" w14:textId="77777777" w:rsidR="00CD047F" w:rsidRDefault="00CF1104">
    <w:pPr>
      <w:pStyle w:val="Footer"/>
      <w:tabs>
        <w:tab w:val="clear" w:pos="4535"/>
        <w:tab w:val="clear" w:pos="9921"/>
      </w:tabs>
      <w:ind w:left="0" w:right="0"/>
    </w:pPr>
    <w:r>
      <w:t>IT - Cleaned document</w:t>
    </w:r>
    <w:r>
      <w:tab/>
    </w:r>
    <w:r>
      <w:fldChar w:fldCharType="begin"/>
    </w:r>
    <w:r>
      <w:instrText xml:space="preserve"> PAGE \* MERGEFORMAT </w:instrText>
    </w:r>
    <w:r>
      <w:fldChar w:fldCharType="separate"/>
    </w:r>
    <w:r w:rsidR="00650E0F">
      <w:rPr>
        <w:noProof/>
      </w:rPr>
      <w:t>5</w:t>
    </w:r>
    <w:r>
      <w:fldChar w:fldCharType="end"/>
    </w:r>
    <w:r>
      <w:t>/</w:t>
    </w:r>
    <w:r w:rsidR="001C6CC7">
      <w:fldChar w:fldCharType="begin"/>
    </w:r>
    <w:r w:rsidR="001C6CC7">
      <w:instrText xml:space="preserve"> NUMPAGES \* MERGEFORMAT </w:instrText>
    </w:r>
    <w:r w:rsidR="001C6CC7">
      <w:fldChar w:fldCharType="separate"/>
    </w:r>
    <w:r w:rsidR="00650E0F">
      <w:rPr>
        <w:noProof/>
      </w:rPr>
      <w:t>7</w:t>
    </w:r>
    <w:r w:rsidR="001C6CC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20BF4" w14:textId="77777777" w:rsidR="00AF6BC8" w:rsidRDefault="00AF6BC8">
      <w:pPr>
        <w:spacing w:before="0" w:after="0"/>
      </w:pPr>
      <w:r>
        <w:separator/>
      </w:r>
    </w:p>
  </w:footnote>
  <w:footnote w:type="continuationSeparator" w:id="0">
    <w:p w14:paraId="46518BD3" w14:textId="77777777" w:rsidR="00AF6BC8" w:rsidRDefault="00AF6BC8">
      <w:pPr>
        <w:spacing w:before="0" w:after="0"/>
      </w:pPr>
      <w:r>
        <w:continuationSeparator/>
      </w:r>
    </w:p>
  </w:footnote>
  <w:footnote w:id="1">
    <w:p w14:paraId="1D3C3D3C" w14:textId="77777777" w:rsidR="00CD047F" w:rsidRDefault="00CF1104">
      <w:pPr>
        <w:pStyle w:val="FootnoteText"/>
      </w:pPr>
      <w:r>
        <w:rPr>
          <w:rStyle w:val="FootnoteReference"/>
        </w:rPr>
        <w:footnoteRef/>
      </w:r>
      <w:r>
        <w:tab/>
        <w:t>GU L 314 del 5.12.2019, pag. 1.</w:t>
      </w:r>
    </w:p>
  </w:footnote>
  <w:footnote w:id="2">
    <w:p w14:paraId="2B05D9C0" w14:textId="77777777" w:rsidR="00CD047F" w:rsidRDefault="00CF1104">
      <w:pPr>
        <w:pStyle w:val="FootnoteText"/>
      </w:pPr>
      <w:r>
        <w:rPr>
          <w:rStyle w:val="FootnoteReference"/>
        </w:rPr>
        <w:footnoteRef/>
      </w:r>
      <w:r>
        <w:tab/>
        <w:t xml:space="preserve">Regolamento (UE) </w:t>
      </w:r>
      <w:r w:rsidR="005A322B">
        <w:t>n. </w:t>
      </w:r>
      <w:r>
        <w:t xml:space="preserve">1093/2010 del Parlamento europeo e del Consiglio, del 24 novembre 2010, che istituisce l’Autorità europea di vigilanza (Autorità bancaria europea), modifica la decisione </w:t>
      </w:r>
      <w:r w:rsidR="005A322B">
        <w:t>n. </w:t>
      </w:r>
      <w:r>
        <w:t>716/2009/CE e abroga la decisione 2009/78/CE della Commissione (GU L</w:t>
      </w:r>
      <w:r w:rsidR="005A322B">
        <w:t> </w:t>
      </w:r>
      <w:r>
        <w:t>331 del 15.12.2010, pag.</w:t>
      </w:r>
      <w:r w:rsidR="005A322B">
        <w:t> </w:t>
      </w:r>
      <w:r>
        <w:t>12).</w:t>
      </w:r>
    </w:p>
  </w:footnote>
  <w:footnote w:id="3">
    <w:p w14:paraId="1A7F6202" w14:textId="77777777" w:rsidR="005A322B" w:rsidRPr="005A322B" w:rsidRDefault="005A322B" w:rsidP="005A322B">
      <w:pPr>
        <w:pStyle w:val="FootnoteText"/>
      </w:pPr>
      <w:r>
        <w:rPr>
          <w:rStyle w:val="FootnoteReference"/>
        </w:rPr>
        <w:footnoteRef/>
      </w:r>
      <w:r w:rsidRPr="005A322B">
        <w:tab/>
        <w:t>Regolamento di esecuzione (UE) 2021/451 della Commissione, del 17 dicembre 2020, che stabilisce norme tecniche di attuazione per l’applicazione del regolamento (UE) n.</w:t>
      </w:r>
      <w:r>
        <w:t> </w:t>
      </w:r>
      <w:r w:rsidRPr="005A322B">
        <w:t>575/2013 del Parlamento europeo e del Consiglio per quanto riguarda le segnalazioni degli enti a fini di vigilanza e che abroga il regolamento di esecuzione (UE) n.</w:t>
      </w:r>
      <w:r>
        <w:t> </w:t>
      </w:r>
      <w:r w:rsidRPr="005A322B">
        <w:t xml:space="preserve">680/2014 </w:t>
      </w:r>
      <w:r>
        <w:t>(</w:t>
      </w:r>
      <w:r w:rsidRPr="005A322B">
        <w:rPr>
          <w:iCs/>
        </w:rPr>
        <w:t>GU L</w:t>
      </w:r>
      <w:r>
        <w:rPr>
          <w:iCs/>
        </w:rPr>
        <w:t> </w:t>
      </w:r>
      <w:r w:rsidRPr="005A322B">
        <w:rPr>
          <w:iCs/>
        </w:rPr>
        <w:t>97 del 19.3.2021, pag.</w:t>
      </w:r>
      <w:r>
        <w:rPr>
          <w:iCs/>
        </w:rPr>
        <w:t> </w:t>
      </w:r>
      <w:r w:rsidRPr="005A322B">
        <w:rPr>
          <w:iCs/>
        </w:rPr>
        <w:t>1).</w:t>
      </w:r>
    </w:p>
    <w:p w14:paraId="23DFB69A" w14:textId="77777777" w:rsidR="005A322B" w:rsidRPr="005A322B" w:rsidRDefault="005A322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C99D" w14:textId="48F03983" w:rsidR="00CD047F" w:rsidRDefault="00F32C09">
    <w:pPr>
      <w:pStyle w:val="Header"/>
    </w:pPr>
    <w:r>
      <w:rPr>
        <w:noProof/>
      </w:rPr>
      <mc:AlternateContent>
        <mc:Choice Requires="wps">
          <w:drawing>
            <wp:anchor distT="0" distB="0" distL="114300" distR="114300" simplePos="0" relativeHeight="251659264" behindDoc="0" locked="0" layoutInCell="0" allowOverlap="1" wp14:anchorId="42DB451C" wp14:editId="76249356">
              <wp:simplePos x="0" y="0"/>
              <wp:positionH relativeFrom="page">
                <wp:posOffset>0</wp:posOffset>
              </wp:positionH>
              <wp:positionV relativeFrom="page">
                <wp:posOffset>190500</wp:posOffset>
              </wp:positionV>
              <wp:extent cx="7560945" cy="273050"/>
              <wp:effectExtent l="0" t="0" r="0" b="12700"/>
              <wp:wrapNone/>
              <wp:docPr id="1" name="MSIPCM17c44d44a1f10e31095a7d80"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EE2C38" w14:textId="4515EAF7" w:rsidR="00F32C09" w:rsidRPr="00F32C09" w:rsidRDefault="00F32C09" w:rsidP="00F32C09">
                          <w:pPr>
                            <w:spacing w:before="0" w:after="0"/>
                            <w:jc w:val="left"/>
                            <w:rPr>
                              <w:rFonts w:ascii="Calibri" w:hAnsi="Calibri" w:cs="Calibri"/>
                              <w:color w:val="000000"/>
                            </w:rPr>
                          </w:pPr>
                          <w:r w:rsidRPr="00F32C09">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2DB451C" id="_x0000_t202" coordsize="21600,21600" o:spt="202" path="m,l,21600r21600,l21600,xe">
              <v:stroke joinstyle="miter"/>
              <v:path gradientshapeok="t" o:connecttype="rect"/>
            </v:shapetype>
            <v:shape id="MSIPCM17c44d44a1f10e31095a7d80"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" o:allowincell="f" filled="f" stroked="f" strokeweight=".5pt">
              <v:textbox inset="20pt,0,,0">
                <w:txbxContent>
                  <w:p w14:paraId="1FEE2C38" w14:textId="4515EAF7" w:rsidR="00F32C09" w:rsidRPr="00F32C09" w:rsidRDefault="00F32C09" w:rsidP="00F32C09">
                    <w:pPr>
                      <w:spacing w:before="0" w:after="0"/>
                      <w:jc w:val="left"/>
                      <w:rPr>
                        <w:rFonts w:ascii="Calibri" w:hAnsi="Calibri" w:cs="Calibri"/>
                        <w:color w:val="000000"/>
                      </w:rPr>
                    </w:pPr>
                    <w:r w:rsidRPr="00F32C09">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31C20DFA"/>
    <w:multiLevelType w:val="hybridMultilevel"/>
    <w:tmpl w:val="5D68DAD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2"/>
    <w:lvlOverride w:ilvl="0">
      <w:startOverride w:val="1"/>
    </w:lvlOverride>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 w:numId="38">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hideSpellingErrors/>
  <w:hideGrammaticalErrors/>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it-IT" w:vendorID="64" w:dllVersion="6" w:nlCheck="1" w:checkStyle="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09:56:2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B374F8F0-DB34-4DD7-A33D-B1B783A67542"/>
    <w:docVar w:name="LW_COVERPAGE_TYPE" w:val="1"/>
    <w:docVar w:name="LW_CROSSREFERENCE" w:val="&lt;UNUSED&gt;"/>
    <w:docVar w:name="LW_DATE.ADOPT.CP" w:val="del XXX"/>
    <w:docVar w:name="LW_DATE.ADOPT.CP_DATEFORMAT" w:val="del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stabilisce norme tecniche di attuazione per l'applicazione del regolamento (UE) 2019/2033 del Parlamento europeo e del Consiglio per quanto riguarda le segnalazioni a fini di vigilanza e l'informativa delle imprese di investimento"/>
    <w:docVar w:name="LW_TYPE.DOC.CP" w:val="REGOLAMENTO DI ESECUZIONE (UE) \u8230?/... DELLA COMMISSIONE"/>
  </w:docVars>
  <w:rsids>
    <w:rsidRoot w:val="00CD047F"/>
    <w:rsid w:val="001C6CC7"/>
    <w:rsid w:val="005A322B"/>
    <w:rsid w:val="005F18EC"/>
    <w:rsid w:val="00650E0F"/>
    <w:rsid w:val="0079548C"/>
    <w:rsid w:val="00AF6BC8"/>
    <w:rsid w:val="00CD047F"/>
    <w:rsid w:val="00CF1104"/>
    <w:rsid w:val="00F32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DA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it-IT"/>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it-IT"/>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5A322B"/>
    <w:pPr>
      <w:spacing w:before="100" w:beforeAutospacing="1" w:after="100" w:afterAutospacing="1"/>
      <w:jc w:val="left"/>
    </w:pPr>
    <w:rPr>
      <w:rFonts w:eastAsia="Times New Roman"/>
      <w:szCs w:val="24"/>
      <w:lang w:val="fr-BE" w:eastAsia="fr-BE"/>
    </w:rPr>
  </w:style>
  <w:style w:type="character" w:styleId="Emphasis">
    <w:name w:val="Emphasis"/>
    <w:basedOn w:val="DefaultParagraphFont"/>
    <w:uiPriority w:val="20"/>
    <w:qFormat/>
    <w:rsid w:val="005A3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577592447">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D2D8D-36E7-497F-87DA-D13180543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2495</Words>
  <Characters>14226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2022-01-17T15:28:35Z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2e65fd26-c2ac-42c2-b731-b4b4f8fe3017</vt:lpwstr>
  </property>
  <property fmtid="{D5CDD505-2E9C-101B-9397-08002B2CF9AE}" pid="15" name="MSIP_Label_5c7eb9de-735b-4a68-8fe4-c9c62709b012_ContentBits">
    <vt:lpwstr>1</vt:lpwstr>
  </property>
</Properties>
</file>