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CCBB6" w14:textId="77777777" w:rsidR="00C24790" w:rsidRPr="00DE6689" w:rsidRDefault="00DE6689">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DE6689">
        <w:t>ΠΑΡΑΡΤΗΜΑ VII – Οδηγίες για τα υποδείγματα δημοσιοποίησης ιδίων κεφαλαίων</w:t>
      </w:r>
    </w:p>
    <w:p w14:paraId="2F0FED7E" w14:textId="77777777" w:rsidR="00C24790" w:rsidRPr="00DE6689" w:rsidRDefault="00DE6689">
      <w:pPr>
        <w:rPr>
          <w:rFonts w:ascii="Times New Roman" w:hAnsi="Times New Roman" w:cs="Times New Roman"/>
          <w:b/>
          <w:bCs/>
          <w:sz w:val="24"/>
        </w:rPr>
      </w:pPr>
      <w:r w:rsidRPr="00DE6689">
        <w:rPr>
          <w:rFonts w:ascii="Times New Roman" w:hAnsi="Times New Roman"/>
          <w:b/>
          <w:bCs/>
          <w:sz w:val="24"/>
        </w:rPr>
        <w:t>Υποδείγματα EU I CC</w:t>
      </w:r>
      <w:r w:rsidRPr="00DE6689">
        <w:rPr>
          <w:rFonts w:ascii="Times New Roman" w:hAnsi="Times New Roman"/>
          <w:b/>
          <w:bCs/>
          <w:sz w:val="24"/>
        </w:rPr>
        <w:t>1.01</w:t>
      </w:r>
      <w:r w:rsidRPr="00DE6689">
        <w:rPr>
          <w:rFonts w:ascii="Times New Roman" w:hAnsi="Times New Roman"/>
          <w:b/>
          <w:bCs/>
          <w:sz w:val="24"/>
        </w:rPr>
        <w:t>, EU I CC</w:t>
      </w:r>
      <w:r w:rsidRPr="00DE6689">
        <w:rPr>
          <w:rFonts w:ascii="Times New Roman" w:hAnsi="Times New Roman"/>
          <w:b/>
          <w:bCs/>
          <w:sz w:val="24"/>
        </w:rPr>
        <w:t>1.02</w:t>
      </w:r>
      <w:r w:rsidRPr="00DE6689">
        <w:rPr>
          <w:rFonts w:ascii="Times New Roman" w:hAnsi="Times New Roman"/>
          <w:b/>
          <w:bCs/>
          <w:sz w:val="24"/>
        </w:rPr>
        <w:t xml:space="preserve"> και EU I CC</w:t>
      </w:r>
      <w:r w:rsidRPr="00DE6689">
        <w:rPr>
          <w:rFonts w:ascii="Times New Roman" w:hAnsi="Times New Roman"/>
          <w:b/>
          <w:bCs/>
          <w:sz w:val="24"/>
        </w:rPr>
        <w:t>1.03</w:t>
      </w:r>
      <w:r w:rsidRPr="00DE6689">
        <w:rPr>
          <w:rFonts w:ascii="Times New Roman" w:hAnsi="Times New Roman"/>
          <w:b/>
          <w:bCs/>
          <w:sz w:val="24"/>
        </w:rPr>
        <w:t xml:space="preserve"> — Σύνθεση των κανονιστικών ιδίων κεφαλαίων</w:t>
      </w:r>
    </w:p>
    <w:p w14:paraId="1116D5AA" w14:textId="77777777" w:rsidR="00C24790" w:rsidRPr="00DE6689" w:rsidRDefault="00DE6689">
      <w:pPr>
        <w:tabs>
          <w:tab w:val="left" w:pos="360"/>
        </w:tabs>
        <w:spacing w:before="120" w:after="120"/>
        <w:ind w:left="360" w:hanging="360"/>
        <w:jc w:val="both"/>
        <w:rPr>
          <w:rFonts w:ascii="Times New Roman" w:hAnsi="Times New Roman" w:cs="Times New Roman"/>
          <w:bCs/>
          <w:sz w:val="24"/>
        </w:rPr>
      </w:pPr>
      <w:r w:rsidRPr="00DE6689">
        <w:rPr>
          <w:rFonts w:ascii="Times New Roman" w:hAnsi="Times New Roman" w:cs="Times New Roman"/>
          <w:bCs/>
          <w:sz w:val="24"/>
        </w:rPr>
        <w:t>1.</w:t>
      </w:r>
      <w:r w:rsidRPr="00DE6689">
        <w:rPr>
          <w:rFonts w:ascii="Times New Roman" w:hAnsi="Times New Roman" w:cs="Times New Roman"/>
          <w:bCs/>
          <w:sz w:val="24"/>
        </w:rPr>
        <w:tab/>
      </w:r>
      <w:r w:rsidRPr="00DE6689">
        <w:rPr>
          <w:rFonts w:ascii="Times New Roman" w:hAnsi="Times New Roman"/>
          <w:bCs/>
          <w:sz w:val="24"/>
        </w:rPr>
        <w:t xml:space="preserve">Οι επιχειρήσεις επενδύσεων εφαρμόζουν τις οδηγίες που παρέχονται στο παρόν παράρτημα προκειμένου να συμπληρώσουν το υπόδειγμα EU I CC1, όπως παρουσιάζεται στο παράρτημα VI, σύμφωνα με το άρθρο 49 παράγραφος 1 στοιχεία α) και γ) του κανονισμού (ΕΕ) </w:t>
      </w:r>
      <w:r w:rsidRPr="00DE6689">
        <w:rPr>
          <w:rFonts w:ascii="Times New Roman" w:hAnsi="Times New Roman"/>
          <w:bCs/>
          <w:sz w:val="24"/>
        </w:rPr>
        <w:t>2019/203</w:t>
      </w:r>
      <w:r w:rsidRPr="00DE6689">
        <w:rPr>
          <w:rFonts w:ascii="Times New Roman" w:hAnsi="Times New Roman"/>
          <w:bCs/>
          <w:sz w:val="24"/>
        </w:rPr>
        <w:t>3</w:t>
      </w:r>
      <w:r w:rsidRPr="00DE6689">
        <w:rPr>
          <w:rFonts w:ascii="Times New Roman" w:hAnsi="Times New Roman"/>
          <w:bCs/>
          <w:sz w:val="24"/>
        </w:rPr>
        <w:t>.</w:t>
      </w:r>
    </w:p>
    <w:p w14:paraId="340F9AE6" w14:textId="77777777" w:rsidR="00C24790" w:rsidRPr="00DE6689" w:rsidRDefault="00DE6689">
      <w:pPr>
        <w:tabs>
          <w:tab w:val="left" w:pos="360"/>
        </w:tabs>
        <w:spacing w:before="120" w:after="120"/>
        <w:ind w:left="357" w:hanging="357"/>
        <w:jc w:val="both"/>
        <w:rPr>
          <w:rFonts w:ascii="Times New Roman" w:hAnsi="Times New Roman" w:cs="Times New Roman"/>
          <w:bCs/>
          <w:sz w:val="24"/>
        </w:rPr>
      </w:pPr>
      <w:r w:rsidRPr="00DE6689">
        <w:rPr>
          <w:rFonts w:ascii="Times New Roman" w:hAnsi="Times New Roman" w:cs="Times New Roman"/>
          <w:bCs/>
          <w:sz w:val="24"/>
        </w:rPr>
        <w:t>2.</w:t>
      </w:r>
      <w:r w:rsidRPr="00DE6689">
        <w:rPr>
          <w:rFonts w:ascii="Times New Roman" w:hAnsi="Times New Roman" w:cs="Times New Roman"/>
          <w:bCs/>
          <w:sz w:val="24"/>
        </w:rPr>
        <w:tab/>
      </w:r>
      <w:r w:rsidRPr="00DE6689">
        <w:rPr>
          <w:rFonts w:ascii="Times New Roman" w:hAnsi="Times New Roman"/>
          <w:bCs/>
          <w:sz w:val="24"/>
        </w:rPr>
        <w:t>Οι επιχειρήσεις επενδύσεων συμπληρώνουν τη στήλη β) για να επεξηγήσουν την πηγή κάθε σημαντικής πληροφορίας, η οποία διασταυρώνεται με τις αντίστοιχες γραμμές στο υπόδειγμα EU Ι CC2.</w:t>
      </w:r>
    </w:p>
    <w:p w14:paraId="55B62F9D" w14:textId="77777777" w:rsidR="00C24790" w:rsidRPr="00DE6689" w:rsidRDefault="00DE6689">
      <w:pPr>
        <w:tabs>
          <w:tab w:val="left" w:pos="360"/>
        </w:tabs>
        <w:spacing w:before="120" w:after="120"/>
        <w:ind w:left="360" w:hanging="360"/>
        <w:jc w:val="both"/>
        <w:rPr>
          <w:rFonts w:ascii="Times New Roman" w:hAnsi="Times New Roman" w:cs="Times New Roman"/>
          <w:bCs/>
          <w:sz w:val="24"/>
        </w:rPr>
      </w:pPr>
      <w:r w:rsidRPr="00DE6689">
        <w:rPr>
          <w:rFonts w:ascii="Times New Roman" w:hAnsi="Times New Roman" w:cs="Times New Roman"/>
          <w:bCs/>
          <w:sz w:val="24"/>
        </w:rPr>
        <w:t>3.</w:t>
      </w:r>
      <w:r w:rsidRPr="00DE6689">
        <w:rPr>
          <w:rFonts w:ascii="Times New Roman" w:hAnsi="Times New Roman" w:cs="Times New Roman"/>
          <w:bCs/>
          <w:sz w:val="24"/>
        </w:rPr>
        <w:tab/>
      </w:r>
      <w:r w:rsidRPr="00DE6689">
        <w:rPr>
          <w:rFonts w:ascii="Times New Roman" w:hAnsi="Times New Roman"/>
          <w:bCs/>
          <w:sz w:val="24"/>
        </w:rPr>
        <w:t>Οι επιχειρήσεις επενδύσεων περιλαμβάνουν στο λεκτικό που συνοδεύ</w:t>
      </w:r>
      <w:r w:rsidRPr="00DE6689">
        <w:rPr>
          <w:rFonts w:ascii="Times New Roman" w:hAnsi="Times New Roman"/>
          <w:bCs/>
          <w:sz w:val="24"/>
        </w:rPr>
        <w:t xml:space="preserve">ει το υπόδειγμα περιγραφή του συνόλου των περιορισμών που εφαρμόζονται στον υπολογισμό των ιδίων κεφαλαίων σύμφωνα με το άρθρο 49 παράγραφος 1 στοιχείο γ) του κανονισμού (ΕΕ) </w:t>
      </w:r>
      <w:r w:rsidRPr="00DE6689">
        <w:rPr>
          <w:rFonts w:ascii="Times New Roman" w:hAnsi="Times New Roman"/>
          <w:bCs/>
          <w:sz w:val="24"/>
        </w:rPr>
        <w:t>2019/2033</w:t>
      </w:r>
      <w:r w:rsidRPr="00DE6689">
        <w:rPr>
          <w:rFonts w:ascii="Times New Roman" w:hAnsi="Times New Roman"/>
          <w:bCs/>
          <w:sz w:val="24"/>
        </w:rPr>
        <w:t>, και των μέσων και αφαιρέσεων στα οποία εφαρμόζονται οι εν λόγω περιορι</w:t>
      </w:r>
      <w:r w:rsidRPr="00DE6689">
        <w:rPr>
          <w:rFonts w:ascii="Times New Roman" w:hAnsi="Times New Roman"/>
          <w:bCs/>
          <w:sz w:val="24"/>
        </w:rPr>
        <w:t>σμοί. Επεξηγούν επίσης τις κύριες μεταβολές των ποσών που δημοσιοποιούνται σε σύγκριση με προηγούμενες περιόδους δημοσιοποίησης.</w:t>
      </w:r>
    </w:p>
    <w:p w14:paraId="494D6D81" w14:textId="77777777" w:rsidR="00C24790" w:rsidRPr="00DE6689" w:rsidRDefault="00DE6689">
      <w:pPr>
        <w:tabs>
          <w:tab w:val="left" w:pos="360"/>
        </w:tabs>
        <w:spacing w:before="120" w:after="120"/>
        <w:ind w:left="360" w:hanging="360"/>
        <w:jc w:val="both"/>
        <w:rPr>
          <w:rFonts w:ascii="Times New Roman" w:hAnsi="Times New Roman" w:cs="Times New Roman"/>
          <w:bCs/>
          <w:sz w:val="24"/>
        </w:rPr>
      </w:pPr>
      <w:r w:rsidRPr="00DE6689">
        <w:rPr>
          <w:rFonts w:ascii="Times New Roman" w:hAnsi="Times New Roman" w:cs="Times New Roman"/>
          <w:bCs/>
          <w:sz w:val="24"/>
        </w:rPr>
        <w:t>4.</w:t>
      </w:r>
      <w:r w:rsidRPr="00DE6689">
        <w:rPr>
          <w:rFonts w:ascii="Times New Roman" w:hAnsi="Times New Roman" w:cs="Times New Roman"/>
          <w:bCs/>
          <w:sz w:val="24"/>
        </w:rPr>
        <w:tab/>
      </w:r>
      <w:r w:rsidRPr="00DE6689">
        <w:rPr>
          <w:rFonts w:ascii="Times New Roman" w:hAnsi="Times New Roman"/>
          <w:bCs/>
          <w:sz w:val="24"/>
        </w:rPr>
        <w:t>Το υπόδειγμα αυτό είναι σταθερό και οι επιχειρήσεις επενδύσεων το δημοσιοποιούν με τον ίδιο ακριβώς μορφότυπο που προβλέπετα</w:t>
      </w:r>
      <w:r w:rsidRPr="00DE6689">
        <w:rPr>
          <w:rFonts w:ascii="Times New Roman" w:hAnsi="Times New Roman"/>
          <w:bCs/>
          <w:sz w:val="24"/>
        </w:rPr>
        <w:t>ι στο παράρτημα VI.</w:t>
      </w:r>
    </w:p>
    <w:p w14:paraId="3A6ED50A" w14:textId="77777777" w:rsidR="00C24790" w:rsidRPr="00DE6689" w:rsidRDefault="00DE6689">
      <w:pPr>
        <w:tabs>
          <w:tab w:val="left" w:pos="360"/>
        </w:tabs>
        <w:spacing w:before="120" w:after="120"/>
        <w:ind w:left="360" w:hanging="360"/>
        <w:jc w:val="both"/>
        <w:rPr>
          <w:rFonts w:ascii="Times New Roman" w:hAnsi="Times New Roman" w:cs="Times New Roman"/>
          <w:bCs/>
          <w:sz w:val="24"/>
        </w:rPr>
      </w:pPr>
      <w:r w:rsidRPr="00DE6689">
        <w:rPr>
          <w:rFonts w:ascii="Times New Roman" w:hAnsi="Times New Roman" w:cs="Times New Roman"/>
          <w:bCs/>
          <w:sz w:val="24"/>
        </w:rPr>
        <w:t>5.</w:t>
      </w:r>
      <w:r w:rsidRPr="00DE6689">
        <w:rPr>
          <w:rFonts w:ascii="Times New Roman" w:hAnsi="Times New Roman" w:cs="Times New Roman"/>
          <w:bCs/>
          <w:sz w:val="24"/>
        </w:rPr>
        <w:tab/>
      </w:r>
      <w:r w:rsidRPr="00DE6689">
        <w:rPr>
          <w:rFonts w:ascii="Times New Roman" w:hAnsi="Times New Roman"/>
          <w:bCs/>
          <w:sz w:val="24"/>
        </w:rPr>
        <w:t>Οι επιχειρήσεις επενδύσεων πλην των μικρών και μη διασυνδεδεμένων επιχειρήσεων δημοσιοποιούν τις πληροφορίες σχετικά με τη σύνθεση των ιδίων κεφαλαίων σύμφωνα με το υπόδειγμα EU I CC</w:t>
      </w:r>
      <w:r w:rsidRPr="00DE6689">
        <w:rPr>
          <w:rFonts w:ascii="Times New Roman" w:hAnsi="Times New Roman"/>
          <w:bCs/>
          <w:sz w:val="24"/>
        </w:rPr>
        <w:t>1.01</w:t>
      </w:r>
      <w:r w:rsidRPr="00DE6689">
        <w:rPr>
          <w:rFonts w:ascii="Times New Roman" w:hAnsi="Times New Roman"/>
          <w:bCs/>
          <w:sz w:val="24"/>
        </w:rPr>
        <w:t xml:space="preserve"> του παραρτήματος VI. Οι μικρές και μη διασυνδε</w:t>
      </w:r>
      <w:r w:rsidRPr="00DE6689">
        <w:rPr>
          <w:rFonts w:ascii="Times New Roman" w:hAnsi="Times New Roman"/>
          <w:bCs/>
          <w:sz w:val="24"/>
        </w:rPr>
        <w:t>δεμένες επιχειρήσεις επενδύσεων με εκδόσεις πρόσθετων μέσων της κατηγορίας 1 δημοσιοποιούν τις πληροφορίες σχετικά με τη σύνθεση των ιδίων κεφαλαίων σύμφωνα με το υπόδειγμα EU I CC</w:t>
      </w:r>
      <w:r w:rsidRPr="00DE6689">
        <w:rPr>
          <w:rFonts w:ascii="Times New Roman" w:hAnsi="Times New Roman"/>
          <w:bCs/>
          <w:sz w:val="24"/>
        </w:rPr>
        <w:t>1.02</w:t>
      </w:r>
      <w:r w:rsidRPr="00DE6689">
        <w:rPr>
          <w:rFonts w:ascii="Times New Roman" w:hAnsi="Times New Roman"/>
          <w:bCs/>
          <w:sz w:val="24"/>
        </w:rPr>
        <w:t xml:space="preserve"> που προβλέπεται επίσης στο παράρτημα VI.</w:t>
      </w:r>
    </w:p>
    <w:p w14:paraId="48EFBF0B" w14:textId="77777777" w:rsidR="00C24790" w:rsidRPr="00DE6689" w:rsidRDefault="00DE6689">
      <w:pPr>
        <w:rPr>
          <w:rFonts w:ascii="Times New Roman" w:hAnsi="Times New Roman" w:cs="Times New Roman"/>
          <w:b/>
          <w:bCs/>
          <w:sz w:val="24"/>
        </w:rPr>
      </w:pPr>
      <w:r w:rsidRPr="00DE6689">
        <w:rPr>
          <w:rFonts w:ascii="Times New Roman" w:hAnsi="Times New Roman"/>
          <w:b/>
          <w:bCs/>
          <w:sz w:val="24"/>
        </w:rPr>
        <w:t>Υπόδειγμα EU I CC</w:t>
      </w:r>
      <w:r w:rsidRPr="00DE6689">
        <w:rPr>
          <w:rFonts w:ascii="Times New Roman" w:hAnsi="Times New Roman"/>
          <w:b/>
          <w:bCs/>
          <w:sz w:val="24"/>
        </w:rPr>
        <w:t>1.01</w:t>
      </w:r>
      <w:r w:rsidRPr="00DE6689">
        <w:rPr>
          <w:rFonts w:ascii="Times New Roman" w:hAnsi="Times New Roman"/>
          <w:b/>
          <w:bCs/>
          <w:sz w:val="24"/>
        </w:rPr>
        <w:t xml:space="preserve"> — Σύνθεσ</w:t>
      </w:r>
      <w:r w:rsidRPr="00DE6689">
        <w:rPr>
          <w:rFonts w:ascii="Times New Roman" w:hAnsi="Times New Roman"/>
          <w:b/>
          <w:bCs/>
          <w:sz w:val="24"/>
        </w:rPr>
        <w:t>η των κανονιστικών ιδίων κεφαλαίων (επιχειρήσεις επενδύσεων πλην των μικρών και μη διασυνδεδεμένων)</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C24790" w:rsidRPr="00DE6689" w14:paraId="5AC78635" w14:textId="77777777">
        <w:trPr>
          <w:trHeight w:val="395"/>
        </w:trPr>
        <w:tc>
          <w:tcPr>
            <w:tcW w:w="8812" w:type="dxa"/>
            <w:gridSpan w:val="2"/>
            <w:shd w:val="clear" w:color="auto" w:fill="D9D9D9" w:themeFill="background1" w:themeFillShade="D9"/>
          </w:tcPr>
          <w:p w14:paraId="3080DDBE" w14:textId="77777777" w:rsidR="00C24790" w:rsidRPr="00DE6689" w:rsidRDefault="00DE6689">
            <w:pPr>
              <w:pStyle w:val="TableTitle"/>
              <w:spacing w:before="0" w:after="0"/>
              <w:jc w:val="left"/>
              <w:rPr>
                <w:rFonts w:ascii="Times New Roman" w:hAnsi="Times New Roman"/>
                <w:szCs w:val="22"/>
              </w:rPr>
            </w:pPr>
            <w:r w:rsidRPr="00DE6689">
              <w:rPr>
                <w:rFonts w:ascii="Times New Roman" w:hAnsi="Times New Roman"/>
                <w:szCs w:val="22"/>
              </w:rPr>
              <w:t>Νομικά κείμενα αναφοράς και οδηγίες</w:t>
            </w:r>
          </w:p>
        </w:tc>
      </w:tr>
      <w:tr w:rsidR="00C24790" w:rsidRPr="00DE6689" w14:paraId="27D86452" w14:textId="77777777">
        <w:tblPrEx>
          <w:tblLook w:val="00A0" w:firstRow="1" w:lastRow="0" w:firstColumn="1" w:lastColumn="0" w:noHBand="0" w:noVBand="0"/>
        </w:tblPrEx>
        <w:tc>
          <w:tcPr>
            <w:tcW w:w="1129" w:type="dxa"/>
            <w:tcBorders>
              <w:bottom w:val="single" w:sz="4" w:space="0" w:color="auto"/>
            </w:tcBorders>
            <w:shd w:val="clear" w:color="auto" w:fill="D9D9D9"/>
          </w:tcPr>
          <w:p w14:paraId="33748455"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szCs w:val="22"/>
              </w:rPr>
              <w:t>Γραμμή</w:t>
            </w:r>
          </w:p>
        </w:tc>
        <w:tc>
          <w:tcPr>
            <w:tcW w:w="7683" w:type="dxa"/>
            <w:tcBorders>
              <w:bottom w:val="single" w:sz="4" w:space="0" w:color="auto"/>
            </w:tcBorders>
            <w:shd w:val="clear" w:color="auto" w:fill="D9D9D9"/>
          </w:tcPr>
          <w:p w14:paraId="18058BF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szCs w:val="22"/>
              </w:rPr>
              <w:t>Νομικά κείμενα αναφοράς και οδηγίες</w:t>
            </w:r>
          </w:p>
        </w:tc>
      </w:tr>
      <w:tr w:rsidR="00C24790" w:rsidRPr="00DE6689" w14:paraId="583DD257" w14:textId="77777777">
        <w:tblPrEx>
          <w:tblLook w:val="00A0" w:firstRow="1" w:lastRow="0" w:firstColumn="1" w:lastColumn="0" w:noHBand="0" w:noVBand="0"/>
        </w:tblPrEx>
        <w:tc>
          <w:tcPr>
            <w:tcW w:w="1129" w:type="dxa"/>
            <w:shd w:val="clear" w:color="auto" w:fill="auto"/>
            <w:vAlign w:val="center"/>
          </w:tcPr>
          <w:p w14:paraId="338D577C"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
                <w:bCs/>
                <w:color w:val="000000"/>
                <w:szCs w:val="22"/>
              </w:rPr>
              <w:t>1</w:t>
            </w:r>
          </w:p>
        </w:tc>
        <w:tc>
          <w:tcPr>
            <w:tcW w:w="7683" w:type="dxa"/>
            <w:shd w:val="clear" w:color="auto" w:fill="auto"/>
          </w:tcPr>
          <w:p w14:paraId="506204A4"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Ίδια κεφάλαια</w:t>
            </w:r>
          </w:p>
          <w:p w14:paraId="5B58E43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1 του κανονισμού (ΕΕ) </w:t>
            </w:r>
            <w:r w:rsidRPr="00DE6689">
              <w:rPr>
                <w:rFonts w:ascii="Times New Roman" w:hAnsi="Times New Roman"/>
                <w:bCs/>
                <w:szCs w:val="22"/>
              </w:rPr>
              <w:t>2019/2033</w:t>
            </w:r>
            <w:r w:rsidRPr="00DE6689">
              <w:rPr>
                <w:rFonts w:ascii="Times New Roman" w:hAnsi="Times New Roman"/>
                <w:bCs/>
                <w:szCs w:val="22"/>
              </w:rPr>
              <w:t>.</w:t>
            </w:r>
          </w:p>
          <w:p w14:paraId="7C36F2C1"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Τα ίδια κεφάλαια μιας επιχείρησης επενδύσεων απαρτίζονται από το άθροισμα του κεφαλαίου κοινών μετοχών της κατηγορίας 1, του πρόσθετου κεφαλαίου της κατηγορίας 1 και του κεφαλαίου της κατηγορίας 2.</w:t>
            </w:r>
          </w:p>
          <w:p w14:paraId="630BD6D7"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Η γραμ</w:t>
            </w:r>
            <w:r w:rsidRPr="00DE6689">
              <w:rPr>
                <w:rFonts w:ascii="Times New Roman" w:hAnsi="Times New Roman"/>
                <w:bCs/>
                <w:szCs w:val="22"/>
              </w:rPr>
              <w:t>μή αυτή είναι το άθροισμα της γραμμής 2 και της γραμμής 40.</w:t>
            </w:r>
          </w:p>
        </w:tc>
      </w:tr>
      <w:tr w:rsidR="00C24790" w:rsidRPr="00DE6689" w14:paraId="488F8D20" w14:textId="77777777">
        <w:tblPrEx>
          <w:tblLook w:val="00A0" w:firstRow="1" w:lastRow="0" w:firstColumn="1" w:lastColumn="0" w:noHBand="0" w:noVBand="0"/>
        </w:tblPrEx>
        <w:tc>
          <w:tcPr>
            <w:tcW w:w="1129" w:type="dxa"/>
            <w:shd w:val="clear" w:color="auto" w:fill="auto"/>
            <w:vAlign w:val="center"/>
          </w:tcPr>
          <w:p w14:paraId="56BB4472"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
                <w:bCs/>
                <w:color w:val="000000"/>
                <w:szCs w:val="22"/>
              </w:rPr>
              <w:t>2</w:t>
            </w:r>
          </w:p>
        </w:tc>
        <w:tc>
          <w:tcPr>
            <w:tcW w:w="7683" w:type="dxa"/>
            <w:shd w:val="clear" w:color="auto" w:fill="auto"/>
          </w:tcPr>
          <w:p w14:paraId="693DB861"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Κεφάλαιο της κατηγορίας 1</w:t>
            </w:r>
          </w:p>
          <w:p w14:paraId="7FD761D0"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Το κεφάλαιο της κατηγορίας 1 είναι το άθροισμα του κεφαλαίου κοινών μετοχών της κατηγορίας 1 και του πρόσθετου κεφαλαίου της κατηγορίας 1.</w:t>
            </w:r>
          </w:p>
          <w:p w14:paraId="04D05D14" w14:textId="77777777" w:rsidR="00C24790" w:rsidRPr="00DE6689" w:rsidRDefault="00DE6689">
            <w:pPr>
              <w:spacing w:after="120"/>
              <w:jc w:val="both"/>
              <w:rPr>
                <w:rFonts w:ascii="Times New Roman" w:eastAsia="Times New Roman" w:hAnsi="Times New Roman" w:cs="Times New Roman"/>
                <w:b/>
                <w:bCs/>
                <w:szCs w:val="22"/>
              </w:rPr>
            </w:pPr>
            <w:r w:rsidRPr="00DE6689">
              <w:rPr>
                <w:rFonts w:ascii="Times New Roman" w:hAnsi="Times New Roman"/>
                <w:bCs/>
                <w:szCs w:val="22"/>
              </w:rPr>
              <w:t xml:space="preserve">Η γραμμή αυτή είναι το </w:t>
            </w:r>
            <w:r w:rsidRPr="00DE6689">
              <w:rPr>
                <w:rFonts w:ascii="Times New Roman" w:hAnsi="Times New Roman"/>
                <w:bCs/>
                <w:szCs w:val="22"/>
              </w:rPr>
              <w:t>άθροισμα της γραμμής 3 και της γραμμής 28.</w:t>
            </w:r>
          </w:p>
        </w:tc>
      </w:tr>
      <w:tr w:rsidR="00C24790" w:rsidRPr="00DE6689" w14:paraId="12E4A1A3" w14:textId="77777777">
        <w:tblPrEx>
          <w:tblLook w:val="00A0" w:firstRow="1" w:lastRow="0" w:firstColumn="1" w:lastColumn="0" w:noHBand="0" w:noVBand="0"/>
        </w:tblPrEx>
        <w:tc>
          <w:tcPr>
            <w:tcW w:w="1129" w:type="dxa"/>
            <w:shd w:val="clear" w:color="auto" w:fill="auto"/>
            <w:vAlign w:val="center"/>
          </w:tcPr>
          <w:p w14:paraId="4625DBB1"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
                <w:bCs/>
                <w:color w:val="000000"/>
                <w:szCs w:val="22"/>
              </w:rPr>
              <w:t>3</w:t>
            </w:r>
          </w:p>
        </w:tc>
        <w:tc>
          <w:tcPr>
            <w:tcW w:w="7683" w:type="dxa"/>
            <w:shd w:val="clear" w:color="auto" w:fill="auto"/>
          </w:tcPr>
          <w:p w14:paraId="3569F1B0"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InstructionsTabelleberschrift"/>
                <w:rFonts w:ascii="Times New Roman" w:hAnsi="Times New Roman"/>
                <w:sz w:val="22"/>
                <w:szCs w:val="22"/>
              </w:rPr>
              <w:t>Κεφάλαιο κοινών μετοχών της κατηγορίας 1</w:t>
            </w:r>
          </w:p>
          <w:p w14:paraId="3C69C55A"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1 του κανονισμού (ΕΕ) </w:t>
            </w:r>
            <w:r w:rsidRPr="00DE6689">
              <w:rPr>
                <w:rFonts w:ascii="Times New Roman" w:hAnsi="Times New Roman"/>
                <w:bCs/>
                <w:szCs w:val="22"/>
              </w:rPr>
              <w:t>2019/2033</w:t>
            </w:r>
            <w:r w:rsidRPr="00DE6689">
              <w:rPr>
                <w:rFonts w:ascii="Times New Roman" w:hAnsi="Times New Roman"/>
                <w:bCs/>
                <w:szCs w:val="22"/>
              </w:rPr>
              <w:t>.</w:t>
            </w:r>
          </w:p>
          <w:p w14:paraId="40C4F46C"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lastRenderedPageBreak/>
              <w:t>Άρθρο 50</w:t>
            </w:r>
            <w:r w:rsidRPr="00DE6689">
              <w:rPr>
                <w:rFonts w:ascii="Times New Roman" w:hAnsi="Times New Roman"/>
                <w:bCs/>
                <w:szCs w:val="22"/>
              </w:rPr>
              <w:t xml:space="preserve"> του</w:t>
            </w:r>
            <w:r w:rsidRPr="00DE6689">
              <w:rPr>
                <w:rStyle w:val="FormatvorlageInstructionsTabelleText"/>
                <w:rFonts w:ascii="Times New Roman" w:hAnsi="Times New Roman"/>
                <w:sz w:val="22"/>
                <w:szCs w:val="22"/>
              </w:rPr>
              <w:t xml:space="preserve"> κανονισμού (ΕΕ) αριθ. 575/2013.</w:t>
            </w:r>
          </w:p>
          <w:p w14:paraId="5EE1AE32"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Δημοσιοποιείται το συνολικό άθροισμα των γραμμών 4 έως 12 και 27.</w:t>
            </w:r>
          </w:p>
        </w:tc>
      </w:tr>
      <w:tr w:rsidR="00C24790" w:rsidRPr="00DE6689" w14:paraId="22C687B9" w14:textId="77777777">
        <w:tblPrEx>
          <w:tblLook w:val="00A0" w:firstRow="1" w:lastRow="0" w:firstColumn="1" w:lastColumn="0" w:noHBand="0" w:noVBand="0"/>
        </w:tblPrEx>
        <w:tc>
          <w:tcPr>
            <w:tcW w:w="1129" w:type="dxa"/>
            <w:shd w:val="clear" w:color="auto" w:fill="auto"/>
            <w:vAlign w:val="center"/>
          </w:tcPr>
          <w:p w14:paraId="6819AC26"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lastRenderedPageBreak/>
              <w:t>4</w:t>
            </w:r>
          </w:p>
        </w:tc>
        <w:tc>
          <w:tcPr>
            <w:tcW w:w="7683" w:type="dxa"/>
            <w:shd w:val="clear" w:color="auto" w:fill="auto"/>
          </w:tcPr>
          <w:p w14:paraId="3BEE2803"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Πλήρως καταβεβλημένα κεφαλαιακά μέσα</w:t>
            </w:r>
          </w:p>
          <w:p w14:paraId="3A81DEB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234B0F31"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26 παράγραφος 1 στοιχείο α) και άρθρα 27 έως 31</w:t>
            </w:r>
            <w:r w:rsidRPr="00DE6689">
              <w:t xml:space="preserve"> του </w:t>
            </w:r>
            <w:r w:rsidRPr="00DE6689">
              <w:rPr>
                <w:rStyle w:val="FormatvorlageInstructionsTabelleText"/>
                <w:rFonts w:ascii="Times New Roman" w:hAnsi="Times New Roman"/>
                <w:sz w:val="22"/>
              </w:rPr>
              <w:t>κανονισμού (ΕΕ) αριθ. 575/2013</w:t>
            </w:r>
          </w:p>
          <w:p w14:paraId="1192A16C" w14:textId="77777777" w:rsidR="00C24790" w:rsidRPr="00DE6689" w:rsidRDefault="00C24790">
            <w:pPr>
              <w:pStyle w:val="InstructionsText"/>
              <w:rPr>
                <w:rStyle w:val="FormatvorlageInstructionsTabelleText"/>
                <w:rFonts w:ascii="Times New Roman" w:hAnsi="Times New Roman"/>
                <w:sz w:val="22"/>
              </w:rPr>
            </w:pPr>
          </w:p>
          <w:p w14:paraId="41475ED0"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Περιλαμβάνονται κεφαλαιακά μέσα αλληλασφαλιστικών ενώσεων, </w:t>
            </w:r>
            <w:r w:rsidRPr="00DE6689">
              <w:rPr>
                <w:rStyle w:val="FormatvorlageInstructionsTabelleText"/>
                <w:rFonts w:ascii="Times New Roman" w:hAnsi="Times New Roman"/>
                <w:sz w:val="22"/>
              </w:rPr>
              <w:t>συνεταιριστικών εταιρειών ή παρόμοιων ιδρυμάτων [άρθρα 27 και 29</w:t>
            </w:r>
            <w:r w:rsidRPr="00DE6689">
              <w:t xml:space="preserve"> του </w:t>
            </w:r>
            <w:r w:rsidRPr="00DE6689">
              <w:rPr>
                <w:rStyle w:val="FormatvorlageInstructionsTabelleText"/>
                <w:rFonts w:ascii="Times New Roman" w:hAnsi="Times New Roman"/>
                <w:sz w:val="22"/>
              </w:rPr>
              <w:t>κανονισμού (ΕΕ) αριθ. 575/2013].</w:t>
            </w:r>
          </w:p>
          <w:p w14:paraId="6A0D1C57"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Δεν περιλαμβάνεται η διαφορά από την έκδοση μετοχών υπέρ το άρτιο που αφορά τα μέσα.</w:t>
            </w:r>
          </w:p>
          <w:p w14:paraId="14051A16" w14:textId="77777777" w:rsidR="00C24790" w:rsidRPr="00DE6689" w:rsidRDefault="00DE6689">
            <w:pPr>
              <w:pStyle w:val="InstructionsText"/>
            </w:pPr>
            <w:r w:rsidRPr="00DE6689">
              <w:rPr>
                <w:rStyle w:val="FormatvorlageInstructionsTabelleText"/>
                <w:rFonts w:ascii="Times New Roman" w:hAnsi="Times New Roman"/>
                <w:sz w:val="22"/>
              </w:rPr>
              <w:t xml:space="preserve">Κεφαλαιακά μέσα που αναλαμβάνονται από δημόσιες αρχές σε καταστάσεις </w:t>
            </w:r>
            <w:r w:rsidRPr="00DE6689">
              <w:rPr>
                <w:rStyle w:val="FormatvorlageInstructionsTabelleText"/>
                <w:rFonts w:ascii="Times New Roman" w:hAnsi="Times New Roman"/>
                <w:sz w:val="22"/>
              </w:rPr>
              <w:t>έκτακτης ανάγκης περιλαμβάνονται, εάν συντρέχουν όλες οι προϋποθέσεις του άρθρου 31</w:t>
            </w:r>
            <w:r w:rsidRPr="00DE6689">
              <w:t xml:space="preserve"> του </w:t>
            </w:r>
            <w:r w:rsidRPr="00DE6689">
              <w:rPr>
                <w:rStyle w:val="FormatvorlageInstructionsTabelleText"/>
                <w:rFonts w:ascii="Times New Roman" w:hAnsi="Times New Roman"/>
                <w:sz w:val="22"/>
              </w:rPr>
              <w:t>κανονισμού (ΕΕ) αριθ. 575/2013.</w:t>
            </w:r>
          </w:p>
        </w:tc>
      </w:tr>
      <w:tr w:rsidR="00C24790" w:rsidRPr="00DE6689" w14:paraId="7A6B2268" w14:textId="77777777">
        <w:tblPrEx>
          <w:tblLook w:val="00A0" w:firstRow="1" w:lastRow="0" w:firstColumn="1" w:lastColumn="0" w:noHBand="0" w:noVBand="0"/>
        </w:tblPrEx>
        <w:tc>
          <w:tcPr>
            <w:tcW w:w="1129" w:type="dxa"/>
            <w:shd w:val="clear" w:color="auto" w:fill="auto"/>
            <w:vAlign w:val="center"/>
          </w:tcPr>
          <w:p w14:paraId="355193DB"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5</w:t>
            </w:r>
          </w:p>
        </w:tc>
        <w:tc>
          <w:tcPr>
            <w:tcW w:w="7683" w:type="dxa"/>
            <w:shd w:val="clear" w:color="auto" w:fill="auto"/>
          </w:tcPr>
          <w:p w14:paraId="15A2159F"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Διαφορά από έκδοση μετοχών υπέρ το άρτιο</w:t>
            </w:r>
          </w:p>
          <w:p w14:paraId="06243F2B"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37981642"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Άρθρο 26 παράγραφος 1 στοιχείο</w:t>
            </w:r>
            <w:r w:rsidRPr="00DE6689">
              <w:rPr>
                <w:rStyle w:val="FormatvorlageInstructionsTabelleText"/>
                <w:rFonts w:ascii="Times New Roman" w:hAnsi="Times New Roman"/>
                <w:sz w:val="22"/>
                <w:szCs w:val="22"/>
              </w:rPr>
              <w:t xml:space="preserve"> β)</w:t>
            </w:r>
            <w:r w:rsidRPr="00DE6689">
              <w:rPr>
                <w:rFonts w:ascii="Times New Roman" w:hAnsi="Times New Roman"/>
                <w:szCs w:val="22"/>
              </w:rPr>
              <w:t xml:space="preserve"> </w:t>
            </w:r>
            <w:r w:rsidRPr="00DE6689">
              <w:rPr>
                <w:rFonts w:ascii="Times New Roman" w:hAnsi="Times New Roman"/>
                <w:bCs/>
                <w:szCs w:val="22"/>
              </w:rPr>
              <w:t>του</w:t>
            </w:r>
            <w:r w:rsidRPr="00DE6689">
              <w:rPr>
                <w:rStyle w:val="FormatvorlageInstructionsTabelleText"/>
                <w:rFonts w:ascii="Times New Roman" w:hAnsi="Times New Roman"/>
                <w:sz w:val="22"/>
                <w:szCs w:val="22"/>
              </w:rPr>
              <w:t xml:space="preserve"> κανονισμού (ΕΕ) αριθ. 575/2013.</w:t>
            </w:r>
          </w:p>
          <w:p w14:paraId="609AC04F"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Ο όρος </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διαφορά από την έκδοση μετοχών υπέρ το άρτιο</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 xml:space="preserve"> έχει την ίδια έννοια με αυτήν του εφαρμοστέου λογιστικού προτύπου.</w:t>
            </w:r>
          </w:p>
          <w:p w14:paraId="2BD08AD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 xml:space="preserve">Το προς δημοσιοποίηση ποσό στο συγκεκριμένο στοιχείο είναι το μέρος που σχετίζεται με τα </w:t>
            </w:r>
            <w:r w:rsidRPr="00DE6689">
              <w:rPr>
                <w:rStyle w:val="FormatvorlageInstructionsTabelleText"/>
                <w:rFonts w:ascii="Times New Roman" w:hAnsi="Times New Roman"/>
                <w:sz w:val="22"/>
                <w:szCs w:val="22"/>
              </w:rPr>
              <w:t>«</w:t>
            </w:r>
            <w:r w:rsidRPr="00DE6689">
              <w:rPr>
                <w:rStyle w:val="FormatvorlageInstructionsTabelleText"/>
                <w:rFonts w:ascii="Times New Roman" w:hAnsi="Times New Roman"/>
                <w:sz w:val="22"/>
                <w:szCs w:val="22"/>
              </w:rPr>
              <w:t>καταβεβλημένα κεφαλαιακά μέσα</w:t>
            </w:r>
            <w:r w:rsidRPr="00DE6689">
              <w:rPr>
                <w:rStyle w:val="FormatvorlageInstructionsTabelleText"/>
                <w:rFonts w:ascii="Times New Roman" w:hAnsi="Times New Roman"/>
                <w:sz w:val="22"/>
                <w:szCs w:val="22"/>
              </w:rPr>
              <w:t>»</w:t>
            </w:r>
            <w:r w:rsidRPr="00DE6689">
              <w:rPr>
                <w:rStyle w:val="FormatvorlageInstructionsTabelleText"/>
                <w:rFonts w:ascii="Times New Roman" w:hAnsi="Times New Roman"/>
                <w:sz w:val="22"/>
                <w:szCs w:val="22"/>
              </w:rPr>
              <w:t>.</w:t>
            </w:r>
          </w:p>
        </w:tc>
      </w:tr>
      <w:tr w:rsidR="00C24790" w:rsidRPr="00DE6689" w14:paraId="118E66F1" w14:textId="77777777">
        <w:tblPrEx>
          <w:tblLook w:val="00A0" w:firstRow="1" w:lastRow="0" w:firstColumn="1" w:lastColumn="0" w:noHBand="0" w:noVBand="0"/>
        </w:tblPrEx>
        <w:tc>
          <w:tcPr>
            <w:tcW w:w="1129" w:type="dxa"/>
            <w:shd w:val="clear" w:color="auto" w:fill="auto"/>
            <w:vAlign w:val="center"/>
          </w:tcPr>
          <w:p w14:paraId="7B13FAD8"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6</w:t>
            </w:r>
          </w:p>
        </w:tc>
        <w:tc>
          <w:tcPr>
            <w:tcW w:w="7683" w:type="dxa"/>
            <w:shd w:val="clear" w:color="auto" w:fill="auto"/>
          </w:tcPr>
          <w:p w14:paraId="488B357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Κέρδη εις νέον</w:t>
            </w:r>
          </w:p>
          <w:p w14:paraId="1F8EFFF5"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4BFE18CB"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Άρθρο 26 παράγραφος 1 στοιχείο γ)</w:t>
            </w:r>
            <w:r w:rsidRPr="00DE6689">
              <w:rPr>
                <w:rFonts w:ascii="Times New Roman" w:hAnsi="Times New Roman"/>
                <w:bCs/>
                <w:szCs w:val="22"/>
              </w:rPr>
              <w:t xml:space="preserve"> του</w:t>
            </w:r>
            <w:r w:rsidRPr="00DE6689">
              <w:rPr>
                <w:rStyle w:val="FormatvorlageInstructionsTabelleText"/>
                <w:rFonts w:ascii="Times New Roman" w:hAnsi="Times New Roman"/>
                <w:sz w:val="22"/>
                <w:szCs w:val="22"/>
              </w:rPr>
              <w:t xml:space="preserve"> κανονισμού (ΕΕ) αριθ. 575/2013.</w:t>
            </w:r>
          </w:p>
          <w:p w14:paraId="6E0A05D3"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 xml:space="preserve">Τα κέρδη εις νέον περιλαμβάνουν τα κέρδη εις νέον από προηγούμενα έτη συν </w:t>
            </w:r>
            <w:r w:rsidRPr="00DE6689">
              <w:rPr>
                <w:rStyle w:val="FormatvorlageInstructionsTabelleText"/>
                <w:rFonts w:ascii="Times New Roman" w:hAnsi="Times New Roman"/>
                <w:sz w:val="22"/>
                <w:szCs w:val="22"/>
              </w:rPr>
              <w:t>τα επιλέξιμα ενδιάμεσα κέρδη περιόδου ή κέρδη τέλους χρήσεως.</w:t>
            </w:r>
          </w:p>
        </w:tc>
      </w:tr>
      <w:tr w:rsidR="00C24790" w:rsidRPr="00DE6689" w14:paraId="32AF3CE3" w14:textId="77777777">
        <w:tblPrEx>
          <w:tblLook w:val="00A0" w:firstRow="1" w:lastRow="0" w:firstColumn="1" w:lastColumn="0" w:noHBand="0" w:noVBand="0"/>
        </w:tblPrEx>
        <w:tc>
          <w:tcPr>
            <w:tcW w:w="1129" w:type="dxa"/>
            <w:shd w:val="clear" w:color="auto" w:fill="auto"/>
            <w:vAlign w:val="center"/>
          </w:tcPr>
          <w:p w14:paraId="1F0FE59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7</w:t>
            </w:r>
          </w:p>
        </w:tc>
        <w:tc>
          <w:tcPr>
            <w:tcW w:w="7683" w:type="dxa"/>
            <w:shd w:val="clear" w:color="auto" w:fill="auto"/>
          </w:tcPr>
          <w:p w14:paraId="3FE8D5D6"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Συσσωρευμένα λοιπά συνολικά έσοδα</w:t>
            </w:r>
          </w:p>
          <w:p w14:paraId="62603AB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20BAA095" w14:textId="77777777" w:rsidR="00C24790" w:rsidRPr="00DE6689" w:rsidRDefault="00DE6689">
            <w:pPr>
              <w:spacing w:after="120"/>
              <w:jc w:val="both"/>
              <w:rPr>
                <w:rFonts w:ascii="Times New Roman" w:hAnsi="Times New Roman" w:cs="Times New Roman"/>
                <w:bCs/>
                <w:szCs w:val="22"/>
              </w:rPr>
            </w:pPr>
            <w:r w:rsidRPr="00DE6689">
              <w:rPr>
                <w:rStyle w:val="FormatvorlageInstructionsTabelleText"/>
                <w:rFonts w:ascii="Times New Roman" w:hAnsi="Times New Roman"/>
                <w:sz w:val="22"/>
                <w:szCs w:val="22"/>
              </w:rPr>
              <w:t>Άρθρο 26 παράγραφος 1 στοιχείο δ)</w:t>
            </w:r>
            <w:r w:rsidRPr="00DE6689">
              <w:rPr>
                <w:rFonts w:ascii="Times New Roman" w:hAnsi="Times New Roman"/>
                <w:bCs/>
                <w:szCs w:val="22"/>
              </w:rPr>
              <w:t xml:space="preserve"> του</w:t>
            </w:r>
            <w:r w:rsidRPr="00DE6689">
              <w:rPr>
                <w:rStyle w:val="FormatvorlageInstructionsTabelleText"/>
                <w:rFonts w:ascii="Times New Roman" w:hAnsi="Times New Roman"/>
                <w:sz w:val="22"/>
                <w:szCs w:val="22"/>
              </w:rPr>
              <w:t xml:space="preserve"> κανονισμού (ΕΕ) αριθ. 575/2013.</w:t>
            </w:r>
          </w:p>
        </w:tc>
      </w:tr>
      <w:tr w:rsidR="00C24790" w:rsidRPr="00DE6689" w14:paraId="11A80240" w14:textId="77777777">
        <w:tblPrEx>
          <w:tblLook w:val="00A0" w:firstRow="1" w:lastRow="0" w:firstColumn="1" w:lastColumn="0" w:noHBand="0" w:noVBand="0"/>
        </w:tblPrEx>
        <w:tc>
          <w:tcPr>
            <w:tcW w:w="1129" w:type="dxa"/>
            <w:shd w:val="clear" w:color="auto" w:fill="auto"/>
            <w:vAlign w:val="center"/>
          </w:tcPr>
          <w:p w14:paraId="07BF9241"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8</w:t>
            </w:r>
          </w:p>
        </w:tc>
        <w:tc>
          <w:tcPr>
            <w:tcW w:w="7683" w:type="dxa"/>
            <w:tcBorders>
              <w:bottom w:val="single" w:sz="4" w:space="0" w:color="auto"/>
            </w:tcBorders>
            <w:shd w:val="clear" w:color="auto" w:fill="auto"/>
          </w:tcPr>
          <w:p w14:paraId="5B5A8D8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Άλλα αποθεματικά</w:t>
            </w:r>
          </w:p>
          <w:p w14:paraId="3BF41337"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1D91EE0A"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Άρθρο 4 παράγραφος 1 σημείο 117 και άρθρο 26 παράγραφος 1 στοιχείο ε)</w:t>
            </w:r>
            <w:r w:rsidRPr="00DE6689">
              <w:rPr>
                <w:rFonts w:ascii="Times New Roman" w:hAnsi="Times New Roman"/>
                <w:bCs/>
                <w:szCs w:val="22"/>
              </w:rPr>
              <w:t xml:space="preserve"> του</w:t>
            </w:r>
            <w:r w:rsidRPr="00DE6689">
              <w:rPr>
                <w:rStyle w:val="FormatvorlageInstructionsTabelleText"/>
                <w:rFonts w:ascii="Times New Roman" w:hAnsi="Times New Roman"/>
                <w:sz w:val="22"/>
                <w:szCs w:val="22"/>
              </w:rPr>
              <w:t xml:space="preserve"> κανονισμού (ΕΕ) αριθ. 575/2013.</w:t>
            </w:r>
          </w:p>
          <w:p w14:paraId="0265ACEF"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 xml:space="preserve">Το προς δημοσιοποίηση ποσό δεν </w:t>
            </w:r>
            <w:r w:rsidRPr="00DE6689">
              <w:rPr>
                <w:rStyle w:val="FormatvorlageInstructionsTabelleText"/>
                <w:rFonts w:ascii="Times New Roman" w:hAnsi="Times New Roman"/>
                <w:sz w:val="22"/>
                <w:szCs w:val="22"/>
              </w:rPr>
              <w:t>περιλαμβάνει προβλεπόμενες φορολογικές οφειλές κατά τη στιγμή του υπολογισμού.</w:t>
            </w:r>
          </w:p>
        </w:tc>
      </w:tr>
      <w:tr w:rsidR="00C24790" w:rsidRPr="00DE6689" w14:paraId="75882454" w14:textId="77777777">
        <w:tblPrEx>
          <w:tblLook w:val="00A0" w:firstRow="1" w:lastRow="0" w:firstColumn="1" w:lastColumn="0" w:noHBand="0" w:noVBand="0"/>
        </w:tblPrEx>
        <w:tc>
          <w:tcPr>
            <w:tcW w:w="1129" w:type="dxa"/>
            <w:shd w:val="clear" w:color="auto" w:fill="auto"/>
            <w:vAlign w:val="center"/>
          </w:tcPr>
          <w:p w14:paraId="756B1848"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9</w:t>
            </w:r>
          </w:p>
        </w:tc>
        <w:tc>
          <w:tcPr>
            <w:tcW w:w="7683" w:type="dxa"/>
            <w:shd w:val="clear" w:color="auto" w:fill="auto"/>
          </w:tcPr>
          <w:p w14:paraId="288F7A7E"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Δικαιώματα μειοψηφίας που αναγνωρίστηκαν ως κεφάλαια CET1</w:t>
            </w:r>
          </w:p>
          <w:p w14:paraId="235B02D3"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 xml:space="preserve">Άθροισμα του συνόλου των ποσών των δικαιωμάτων μειοψηφίας θυγατρικών που περιλαμβάνεται στα ενοποιημένα </w:t>
            </w:r>
            <w:r w:rsidRPr="00DE6689">
              <w:rPr>
                <w:rStyle w:val="FormatvorlageInstructionsTabelleText"/>
                <w:rFonts w:ascii="Times New Roman" w:hAnsi="Times New Roman"/>
                <w:sz w:val="22"/>
                <w:szCs w:val="22"/>
              </w:rPr>
              <w:t>κεφάλαια CET1.</w:t>
            </w:r>
          </w:p>
        </w:tc>
      </w:tr>
      <w:tr w:rsidR="00C24790" w:rsidRPr="00DE6689" w14:paraId="146A9ED7" w14:textId="77777777">
        <w:tblPrEx>
          <w:tblLook w:val="00A0" w:firstRow="1" w:lastRow="0" w:firstColumn="1" w:lastColumn="0" w:noHBand="0" w:noVBand="0"/>
        </w:tblPrEx>
        <w:tc>
          <w:tcPr>
            <w:tcW w:w="1129" w:type="dxa"/>
            <w:shd w:val="clear" w:color="auto" w:fill="auto"/>
            <w:vAlign w:val="center"/>
          </w:tcPr>
          <w:p w14:paraId="02E695E4" w14:textId="77777777" w:rsidR="00C24790" w:rsidRPr="00DE6689" w:rsidRDefault="00DE6689">
            <w:pPr>
              <w:spacing w:after="120"/>
              <w:jc w:val="both"/>
              <w:rPr>
                <w:rFonts w:ascii="Times New Roman" w:hAnsi="Times New Roman" w:cs="Times New Roman"/>
                <w:color w:val="000000"/>
                <w:szCs w:val="22"/>
              </w:rPr>
            </w:pPr>
            <w:r w:rsidRPr="00DE6689">
              <w:rPr>
                <w:rFonts w:ascii="Times New Roman" w:hAnsi="Times New Roman"/>
                <w:color w:val="000000"/>
                <w:szCs w:val="22"/>
              </w:rPr>
              <w:t>10</w:t>
            </w:r>
          </w:p>
        </w:tc>
        <w:tc>
          <w:tcPr>
            <w:tcW w:w="7683" w:type="dxa"/>
            <w:shd w:val="clear" w:color="auto" w:fill="auto"/>
          </w:tcPr>
          <w:p w14:paraId="63110A8B"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Προσαρμογές στο CET1 λόγω εποπτικών προσαρμογών</w:t>
            </w:r>
          </w:p>
          <w:p w14:paraId="1FCE519D"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Άρθρο 9 παράγραφος 1 σημείο</w:t>
            </w:r>
            <w:r w:rsidRPr="00DE6689">
              <w:rPr>
                <w:rStyle w:val="FormatvorlageInstructionsTabelleText"/>
                <w:rFonts w:ascii="Times New Roman" w:hAnsi="Times New Roman"/>
                <w:sz w:val="22"/>
                <w:szCs w:val="22"/>
              </w:rPr>
              <w:t xml:space="preserve"> i)</w:t>
            </w:r>
            <w:r w:rsidRPr="00DE6689">
              <w:rPr>
                <w:rFonts w:ascii="Times New Roman" w:hAnsi="Times New Roman"/>
                <w:bCs/>
                <w:szCs w:val="22"/>
              </w:rPr>
              <w:t xml:space="preserve"> του</w:t>
            </w:r>
            <w:r w:rsidRPr="00DE6689">
              <w:rPr>
                <w:rStyle w:val="FormatvorlageInstructionsTabelleText"/>
                <w:rFonts w:ascii="Times New Roman" w:hAnsi="Times New Roman"/>
                <w:sz w:val="22"/>
                <w:szCs w:val="22"/>
              </w:rPr>
              <w:t xml:space="preserve"> κανονισμού (ΕΕ) </w:t>
            </w:r>
            <w:r w:rsidRPr="00DE6689">
              <w:rPr>
                <w:rStyle w:val="FormatvorlageInstructionsTabelleText"/>
                <w:rFonts w:ascii="Times New Roman" w:hAnsi="Times New Roman"/>
                <w:sz w:val="22"/>
                <w:szCs w:val="22"/>
              </w:rPr>
              <w:t>2019/2033</w:t>
            </w:r>
            <w:r w:rsidRPr="00DE6689">
              <w:rPr>
                <w:rStyle w:val="FormatvorlageInstructionsTabelleText"/>
                <w:rFonts w:ascii="Times New Roman" w:hAnsi="Times New Roman"/>
                <w:sz w:val="22"/>
                <w:szCs w:val="22"/>
              </w:rPr>
              <w:t>.</w:t>
            </w:r>
          </w:p>
          <w:p w14:paraId="491DB9B8"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lastRenderedPageBreak/>
              <w:t>Άρθρα 32 έως 35</w:t>
            </w:r>
            <w:r w:rsidRPr="00DE6689">
              <w:rPr>
                <w:rFonts w:ascii="Times New Roman" w:hAnsi="Times New Roman"/>
                <w:bCs/>
                <w:szCs w:val="22"/>
              </w:rPr>
              <w:t xml:space="preserve"> του</w:t>
            </w:r>
            <w:r w:rsidRPr="00DE6689">
              <w:rPr>
                <w:rStyle w:val="FormatvorlageInstructionsTabelleText"/>
                <w:rFonts w:ascii="Times New Roman" w:hAnsi="Times New Roman"/>
                <w:sz w:val="22"/>
                <w:szCs w:val="22"/>
              </w:rPr>
              <w:t xml:space="preserve"> κανονισμού (ΕΕ) αριθ. 575/2013.</w:t>
            </w:r>
          </w:p>
        </w:tc>
      </w:tr>
      <w:tr w:rsidR="00C24790" w:rsidRPr="00DE6689" w14:paraId="2BEFBF8C" w14:textId="77777777">
        <w:tblPrEx>
          <w:tblLook w:val="00A0" w:firstRow="1" w:lastRow="0" w:firstColumn="1" w:lastColumn="0" w:noHBand="0" w:noVBand="0"/>
        </w:tblPrEx>
        <w:tc>
          <w:tcPr>
            <w:tcW w:w="1129" w:type="dxa"/>
            <w:shd w:val="clear" w:color="auto" w:fill="auto"/>
            <w:vAlign w:val="center"/>
          </w:tcPr>
          <w:p w14:paraId="595C4D29" w14:textId="77777777" w:rsidR="00C24790" w:rsidRPr="00DE6689" w:rsidRDefault="00DE6689">
            <w:pPr>
              <w:spacing w:after="120"/>
              <w:jc w:val="both"/>
              <w:rPr>
                <w:rFonts w:ascii="Times New Roman" w:hAnsi="Times New Roman" w:cs="Times New Roman"/>
                <w:color w:val="000000"/>
                <w:szCs w:val="22"/>
              </w:rPr>
            </w:pPr>
            <w:r w:rsidRPr="00DE6689">
              <w:rPr>
                <w:rFonts w:ascii="Times New Roman" w:hAnsi="Times New Roman"/>
                <w:color w:val="000000"/>
                <w:szCs w:val="22"/>
              </w:rPr>
              <w:lastRenderedPageBreak/>
              <w:t>11</w:t>
            </w:r>
          </w:p>
        </w:tc>
        <w:tc>
          <w:tcPr>
            <w:tcW w:w="7683" w:type="dxa"/>
            <w:shd w:val="clear" w:color="auto" w:fill="auto"/>
          </w:tcPr>
          <w:p w14:paraId="4508FA6E"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Λοιπά κεφάλαια</w:t>
            </w:r>
          </w:p>
          <w:p w14:paraId="047C3451"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9 παράγραφος 4</w:t>
            </w:r>
            <w:r w:rsidRPr="00DE6689">
              <w:rPr>
                <w:rFonts w:ascii="Times New Roman" w:hAnsi="Times New Roman"/>
                <w:bCs/>
              </w:rPr>
              <w:t xml:space="preserve"> του </w:t>
            </w:r>
            <w:r w:rsidRPr="00DE6689">
              <w:rPr>
                <w:rFonts w:ascii="Times New Roman" w:hAnsi="Times New Roman"/>
                <w:bCs/>
                <w:szCs w:val="22"/>
              </w:rPr>
              <w:t xml:space="preserve">κανονισμού (ΕΕ) </w:t>
            </w:r>
            <w:r w:rsidRPr="00DE6689">
              <w:rPr>
                <w:rFonts w:ascii="Times New Roman" w:hAnsi="Times New Roman"/>
                <w:bCs/>
                <w:szCs w:val="22"/>
              </w:rPr>
              <w:t>2019/2033</w:t>
            </w:r>
            <w:r w:rsidRPr="00DE6689">
              <w:rPr>
                <w:rFonts w:ascii="Times New Roman" w:hAnsi="Times New Roman"/>
                <w:bCs/>
                <w:szCs w:val="22"/>
              </w:rPr>
              <w:t>.</w:t>
            </w:r>
          </w:p>
        </w:tc>
      </w:tr>
      <w:tr w:rsidR="00C24790" w:rsidRPr="00DE6689" w14:paraId="0692FF52" w14:textId="77777777">
        <w:tblPrEx>
          <w:tblLook w:val="00A0" w:firstRow="1" w:lastRow="0" w:firstColumn="1" w:lastColumn="0" w:noHBand="0" w:noVBand="0"/>
        </w:tblPrEx>
        <w:tc>
          <w:tcPr>
            <w:tcW w:w="1129" w:type="dxa"/>
            <w:shd w:val="clear" w:color="auto" w:fill="auto"/>
            <w:vAlign w:val="center"/>
          </w:tcPr>
          <w:p w14:paraId="27943993"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12</w:t>
            </w:r>
          </w:p>
        </w:tc>
        <w:tc>
          <w:tcPr>
            <w:tcW w:w="7683" w:type="dxa"/>
            <w:shd w:val="clear" w:color="auto" w:fill="auto"/>
          </w:tcPr>
          <w:p w14:paraId="7C717C76"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ΣΥΝΟΛΙΚΕΣ ΑΦΑΙΡΕΣΕΙΣ ΑΠΟ ΤΟ ΚΕΦΑΛΑΙΟ ΚΟΙΝΩΝ ΜΕΤΟΧΩΝ ΤΗΣ ΚΑΤΗΓΟΡΙΑΣ 1</w:t>
            </w:r>
          </w:p>
          <w:p w14:paraId="28C0C6A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Δημοσιοποιείται το συνολικό άθροισμα της γραμμής 13 και των γραμμών 17 έως 26.</w:t>
            </w:r>
          </w:p>
        </w:tc>
      </w:tr>
      <w:tr w:rsidR="00C24790" w:rsidRPr="00DE6689" w14:paraId="4360F5C0" w14:textId="77777777">
        <w:tblPrEx>
          <w:tblLook w:val="00A0" w:firstRow="1" w:lastRow="0" w:firstColumn="1" w:lastColumn="0" w:noHBand="0" w:noVBand="0"/>
        </w:tblPrEx>
        <w:tc>
          <w:tcPr>
            <w:tcW w:w="1129" w:type="dxa"/>
            <w:shd w:val="clear" w:color="auto" w:fill="auto"/>
            <w:vAlign w:val="center"/>
          </w:tcPr>
          <w:p w14:paraId="505994CD"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13</w:t>
            </w:r>
          </w:p>
        </w:tc>
        <w:tc>
          <w:tcPr>
            <w:tcW w:w="7683" w:type="dxa"/>
            <w:shd w:val="clear" w:color="auto" w:fill="auto"/>
          </w:tcPr>
          <w:p w14:paraId="17AE562A"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Ίδια μέσα CET1</w:t>
            </w:r>
          </w:p>
          <w:p w14:paraId="162C4CF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rPr>
              <w:t xml:space="preserve"> του </w:t>
            </w:r>
            <w:r w:rsidRPr="00DE6689">
              <w:rPr>
                <w:rFonts w:ascii="Times New Roman" w:hAnsi="Times New Roman"/>
                <w:bCs/>
                <w:szCs w:val="22"/>
              </w:rPr>
              <w:t xml:space="preserve">κανονισμού (ΕΕ) </w:t>
            </w:r>
            <w:r w:rsidRPr="00DE6689">
              <w:rPr>
                <w:rFonts w:ascii="Times New Roman" w:hAnsi="Times New Roman"/>
                <w:bCs/>
                <w:szCs w:val="22"/>
              </w:rPr>
              <w:t>2019/2033</w:t>
            </w:r>
            <w:r w:rsidRPr="00DE6689">
              <w:rPr>
                <w:rFonts w:ascii="Times New Roman" w:hAnsi="Times New Roman"/>
                <w:bCs/>
                <w:szCs w:val="22"/>
              </w:rPr>
              <w:t>.</w:t>
            </w:r>
          </w:p>
          <w:p w14:paraId="3C928DE8"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36 παράγραφος 1 στοιχείο στ) και άρθρο 42</w:t>
            </w:r>
            <w:r w:rsidRPr="00DE6689">
              <w:t xml:space="preserve"> του </w:t>
            </w:r>
            <w:r w:rsidRPr="00DE6689">
              <w:rPr>
                <w:rStyle w:val="FormatvorlageInstructionsTabelleText"/>
                <w:rFonts w:ascii="Times New Roman" w:hAnsi="Times New Roman"/>
                <w:sz w:val="22"/>
              </w:rPr>
              <w:t>κανονισμού (ΕΕ) αριθ. 575/2013.</w:t>
            </w:r>
          </w:p>
          <w:p w14:paraId="5D5ACAC1"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Ίδια μέσα CET1 που βρίσκονται στην κατοχή του αναφέροντος ιδρύματος ή ομίλου κατά την ημερομηνία υποβολής αναφοράς. Με την επιφύλαξη των εξαιρέσε</w:t>
            </w:r>
            <w:r w:rsidRPr="00DE6689">
              <w:rPr>
                <w:rStyle w:val="FormatvorlageInstructionsTabelleText"/>
                <w:rFonts w:ascii="Times New Roman" w:hAnsi="Times New Roman"/>
                <w:sz w:val="22"/>
              </w:rPr>
              <w:t>ων του άρθρου 42</w:t>
            </w:r>
            <w:r w:rsidRPr="00DE6689">
              <w:t xml:space="preserve"> του </w:t>
            </w:r>
            <w:r w:rsidRPr="00DE6689">
              <w:rPr>
                <w:rStyle w:val="FormatvorlageInstructionsTabelleText"/>
                <w:rFonts w:ascii="Times New Roman" w:hAnsi="Times New Roman"/>
                <w:sz w:val="22"/>
              </w:rPr>
              <w:t>κανονισμού (ΕΕ) αριθ. 575/2013.</w:t>
            </w:r>
          </w:p>
          <w:p w14:paraId="7F214745"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Οι τοποθετήσεις σε μετοχές που περιλαμβάνονται στα </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Κεφαλαιακά μέσα που δεν είναι επιλέξιμα</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 xml:space="preserve"> δεν δημοσιοποιούνται στη συγκεκριμένη γραμμή.</w:t>
            </w:r>
          </w:p>
          <w:p w14:paraId="3AB81741" w14:textId="77777777" w:rsidR="00C24790" w:rsidRPr="00DE6689" w:rsidRDefault="00DE6689">
            <w:pPr>
              <w:pStyle w:val="InstructionsText"/>
            </w:pPr>
            <w:r w:rsidRPr="00DE6689">
              <w:rPr>
                <w:rStyle w:val="FormatvorlageInstructionsTabelleText"/>
                <w:rFonts w:ascii="Times New Roman" w:hAnsi="Times New Roman"/>
                <w:sz w:val="22"/>
              </w:rPr>
              <w:t>Το προς δημοσιοποίηση ποσό περιλαμβάνει τη διαφορά από την έκδοσ</w:t>
            </w:r>
            <w:r w:rsidRPr="00DE6689">
              <w:rPr>
                <w:rStyle w:val="FormatvorlageInstructionsTabelleText"/>
                <w:rFonts w:ascii="Times New Roman" w:hAnsi="Times New Roman"/>
                <w:sz w:val="22"/>
              </w:rPr>
              <w:t>η μετοχών υπέρ το άρτιο που αφορά τις ίδιες μετοχές.</w:t>
            </w:r>
          </w:p>
        </w:tc>
      </w:tr>
      <w:tr w:rsidR="00C24790" w:rsidRPr="00DE6689" w14:paraId="04B0B678" w14:textId="77777777">
        <w:tblPrEx>
          <w:tblLook w:val="00A0" w:firstRow="1" w:lastRow="0" w:firstColumn="1" w:lastColumn="0" w:noHBand="0" w:noVBand="0"/>
        </w:tblPrEx>
        <w:tc>
          <w:tcPr>
            <w:tcW w:w="1129" w:type="dxa"/>
            <w:shd w:val="clear" w:color="auto" w:fill="auto"/>
            <w:vAlign w:val="center"/>
          </w:tcPr>
          <w:p w14:paraId="79C0981E"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14</w:t>
            </w:r>
          </w:p>
        </w:tc>
        <w:tc>
          <w:tcPr>
            <w:tcW w:w="7683" w:type="dxa"/>
            <w:shd w:val="clear" w:color="auto" w:fill="auto"/>
          </w:tcPr>
          <w:p w14:paraId="6C98C124"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Άμεσες συμμετοχές σε μέσα CET1</w:t>
            </w:r>
          </w:p>
          <w:p w14:paraId="3B3660DD"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rPr>
              <w:t xml:space="preserve"> του</w:t>
            </w:r>
            <w:r w:rsidRPr="00DE6689">
              <w:rPr>
                <w:rFonts w:ascii="Times New Roman" w:hAnsi="Times New Roman"/>
                <w:bCs/>
                <w:szCs w:val="22"/>
              </w:rPr>
              <w:t xml:space="preserve"> κανονισμού (ΕΕ) </w:t>
            </w:r>
            <w:r w:rsidRPr="00DE6689">
              <w:rPr>
                <w:rFonts w:ascii="Times New Roman" w:hAnsi="Times New Roman"/>
                <w:bCs/>
                <w:szCs w:val="22"/>
              </w:rPr>
              <w:t>2019/2033</w:t>
            </w:r>
            <w:r w:rsidRPr="00DE6689">
              <w:rPr>
                <w:rFonts w:ascii="Times New Roman" w:hAnsi="Times New Roman"/>
                <w:bCs/>
                <w:szCs w:val="22"/>
              </w:rPr>
              <w:t>.</w:t>
            </w:r>
          </w:p>
          <w:p w14:paraId="302ECF95"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36 παράγραφος 1 στοιχείο στ) και άρθρο 42</w:t>
            </w:r>
            <w:r w:rsidRPr="00DE6689">
              <w:t xml:space="preserve"> του </w:t>
            </w:r>
            <w:r w:rsidRPr="00DE6689">
              <w:rPr>
                <w:rStyle w:val="FormatvorlageInstructionsTabelleText"/>
                <w:rFonts w:ascii="Times New Roman" w:hAnsi="Times New Roman"/>
                <w:sz w:val="22"/>
              </w:rPr>
              <w:t>κανονισμού (ΕΕ) αριθ. 575/2013.</w:t>
            </w:r>
          </w:p>
          <w:p w14:paraId="0EDE640B" w14:textId="77777777" w:rsidR="00C24790" w:rsidRPr="00DE6689" w:rsidRDefault="00DE6689">
            <w:pPr>
              <w:pStyle w:val="InstructionsText"/>
            </w:pPr>
            <w:r w:rsidRPr="00DE6689">
              <w:rPr>
                <w:rStyle w:val="FormatvorlageInstructionsTabelleText"/>
                <w:rFonts w:ascii="Times New Roman" w:hAnsi="Times New Roman"/>
                <w:sz w:val="22"/>
              </w:rPr>
              <w:t xml:space="preserve">Μέσα κεφαλαίου κοινών μετοχών της κατηγορίας 1 που κατέχει η επιχείρηση επενδύσεων. </w:t>
            </w:r>
          </w:p>
        </w:tc>
      </w:tr>
      <w:tr w:rsidR="00C24790" w:rsidRPr="00DE6689" w14:paraId="6B9D5B98" w14:textId="77777777">
        <w:tblPrEx>
          <w:tblLook w:val="00A0" w:firstRow="1" w:lastRow="0" w:firstColumn="1" w:lastColumn="0" w:noHBand="0" w:noVBand="0"/>
        </w:tblPrEx>
        <w:tc>
          <w:tcPr>
            <w:tcW w:w="1129" w:type="dxa"/>
            <w:shd w:val="clear" w:color="auto" w:fill="auto"/>
            <w:vAlign w:val="center"/>
          </w:tcPr>
          <w:p w14:paraId="0A54BD1D"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15</w:t>
            </w:r>
          </w:p>
        </w:tc>
        <w:tc>
          <w:tcPr>
            <w:tcW w:w="7683" w:type="dxa"/>
            <w:shd w:val="clear" w:color="auto" w:fill="auto"/>
          </w:tcPr>
          <w:p w14:paraId="6FE7B8C1"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Έμμεσες συμμετοχές σε μέσα CET1</w:t>
            </w:r>
          </w:p>
          <w:p w14:paraId="27A7BF4C"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rPr>
              <w:t xml:space="preserve"> του</w:t>
            </w:r>
            <w:r w:rsidRPr="00DE6689">
              <w:rPr>
                <w:rFonts w:ascii="Times New Roman" w:hAnsi="Times New Roman"/>
                <w:bCs/>
                <w:szCs w:val="22"/>
              </w:rPr>
              <w:t xml:space="preserve"> κανονισμού (ΕΕ) </w:t>
            </w:r>
            <w:r w:rsidRPr="00DE6689">
              <w:rPr>
                <w:rFonts w:ascii="Times New Roman" w:hAnsi="Times New Roman"/>
                <w:bCs/>
                <w:szCs w:val="22"/>
              </w:rPr>
              <w:t>2019/2033</w:t>
            </w:r>
            <w:r w:rsidRPr="00DE6689">
              <w:rPr>
                <w:rFonts w:ascii="Times New Roman" w:hAnsi="Times New Roman"/>
                <w:bCs/>
                <w:szCs w:val="22"/>
              </w:rPr>
              <w:t>.</w:t>
            </w:r>
          </w:p>
          <w:p w14:paraId="696291C3"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36 παράγραφος 1 στοιχείο στ) και άρθρο 42</w:t>
            </w:r>
            <w:r w:rsidRPr="00DE6689">
              <w:t xml:space="preserve"> του </w:t>
            </w:r>
            <w:r w:rsidRPr="00DE6689">
              <w:rPr>
                <w:rStyle w:val="FormatvorlageInstructionsTabelleText"/>
                <w:rFonts w:ascii="Times New Roman" w:hAnsi="Times New Roman"/>
                <w:sz w:val="22"/>
              </w:rPr>
              <w:t>κανονισμού (ΕΕ) αριθ. 575/2013.</w:t>
            </w:r>
          </w:p>
          <w:p w14:paraId="057EC6CD" w14:textId="77777777" w:rsidR="00C24790" w:rsidRPr="00DE6689" w:rsidRDefault="00DE6689">
            <w:pPr>
              <w:pStyle w:val="InstructionsText"/>
            </w:pPr>
            <w:r w:rsidRPr="00DE6689">
              <w:rPr>
                <w:rStyle w:val="FormatvorlageInstructionsTabelleText"/>
                <w:rFonts w:ascii="Times New Roman" w:hAnsi="Times New Roman"/>
                <w:sz w:val="22"/>
              </w:rPr>
              <w:t>Μέσα κεφαλαίου κοινών μετοχών της κατηγορίας 1 που κατέχει η επιχείρηση επενδύσεων.</w:t>
            </w:r>
          </w:p>
        </w:tc>
      </w:tr>
      <w:tr w:rsidR="00C24790" w:rsidRPr="00DE6689" w14:paraId="1B0A6EEA" w14:textId="77777777">
        <w:tblPrEx>
          <w:tblLook w:val="00A0" w:firstRow="1" w:lastRow="0" w:firstColumn="1" w:lastColumn="0" w:noHBand="0" w:noVBand="0"/>
        </w:tblPrEx>
        <w:tc>
          <w:tcPr>
            <w:tcW w:w="1129" w:type="dxa"/>
            <w:shd w:val="clear" w:color="auto" w:fill="auto"/>
            <w:vAlign w:val="center"/>
          </w:tcPr>
          <w:p w14:paraId="0ECFCE1B"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522AD43"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Σύνθετες συμμετοχές σε μέσα CET1</w:t>
            </w:r>
          </w:p>
          <w:p w14:paraId="2E5DB9C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rPr>
              <w:t xml:space="preserve"> του</w:t>
            </w:r>
            <w:r w:rsidRPr="00DE6689">
              <w:rPr>
                <w:rFonts w:ascii="Times New Roman" w:hAnsi="Times New Roman"/>
                <w:bCs/>
                <w:szCs w:val="22"/>
              </w:rPr>
              <w:t xml:space="preserve"> κανονισμού (ΕΕ) </w:t>
            </w:r>
            <w:r w:rsidRPr="00DE6689">
              <w:rPr>
                <w:rFonts w:ascii="Times New Roman" w:hAnsi="Times New Roman"/>
                <w:bCs/>
                <w:szCs w:val="22"/>
              </w:rPr>
              <w:t>2019/2033</w:t>
            </w:r>
            <w:r w:rsidRPr="00DE6689">
              <w:rPr>
                <w:rFonts w:ascii="Times New Roman" w:hAnsi="Times New Roman"/>
                <w:bCs/>
                <w:szCs w:val="22"/>
              </w:rPr>
              <w:t>.</w:t>
            </w:r>
          </w:p>
          <w:p w14:paraId="5CAE0533"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Άρθρο 4 παράγραφος 1 σημείο 114, άρθρ</w:t>
            </w:r>
            <w:r w:rsidRPr="00DE6689">
              <w:rPr>
                <w:rStyle w:val="FormatvorlageInstructionsTabelleText"/>
                <w:rFonts w:ascii="Times New Roman" w:hAnsi="Times New Roman"/>
                <w:sz w:val="22"/>
                <w:szCs w:val="22"/>
              </w:rPr>
              <w:t>ο 36 παράγραφος 1 στοιχείο στ) και άρθρο 42</w:t>
            </w:r>
            <w:r w:rsidRPr="00DE6689">
              <w:rPr>
                <w:rFonts w:ascii="Times New Roman" w:hAnsi="Times New Roman"/>
                <w:bCs/>
              </w:rPr>
              <w:t xml:space="preserve"> του</w:t>
            </w:r>
            <w:r w:rsidRPr="00DE6689">
              <w:rPr>
                <w:rStyle w:val="FormatvorlageInstructionsTabelleText"/>
                <w:rFonts w:ascii="Times New Roman" w:hAnsi="Times New Roman"/>
                <w:sz w:val="22"/>
                <w:szCs w:val="22"/>
              </w:rPr>
              <w:t xml:space="preserve"> κανονισμού (ΕΕ) αριθ. 575/2013.</w:t>
            </w:r>
          </w:p>
        </w:tc>
      </w:tr>
      <w:tr w:rsidR="00C24790" w:rsidRPr="00DE6689" w14:paraId="2AF5DA88"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A4DC45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147367A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Ζημίες της τρέχουσας χρήσης</w:t>
            </w:r>
          </w:p>
          <w:p w14:paraId="2A5C1DF4"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36 παράγραφος 1 στοιχείο α)</w:t>
            </w:r>
            <w:r w:rsidRPr="00DE6689">
              <w:rPr>
                <w:rFonts w:ascii="Times New Roman" w:hAnsi="Times New Roman"/>
                <w:bCs/>
              </w:rPr>
              <w:t xml:space="preserve"> του </w:t>
            </w:r>
            <w:r w:rsidRPr="00DE6689">
              <w:rPr>
                <w:rFonts w:ascii="Times New Roman" w:hAnsi="Times New Roman"/>
                <w:bCs/>
                <w:szCs w:val="22"/>
              </w:rPr>
              <w:t>κανονισμού (ΕΕ) αριθ. 575/2013.</w:t>
            </w:r>
          </w:p>
        </w:tc>
      </w:tr>
      <w:tr w:rsidR="00C24790" w:rsidRPr="00DE6689" w14:paraId="4D71AA2E"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4CD526C"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3DFC9DB"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Υπεραξία</w:t>
            </w:r>
          </w:p>
          <w:p w14:paraId="7B4FC17A"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rPr>
              <w:t xml:space="preserve"> του</w:t>
            </w:r>
            <w:r w:rsidRPr="00DE6689">
              <w:rPr>
                <w:rFonts w:ascii="Times New Roman" w:hAnsi="Times New Roman"/>
                <w:bCs/>
                <w:szCs w:val="22"/>
              </w:rPr>
              <w:t xml:space="preserve"> κανονισμού (ΕΕ) </w:t>
            </w:r>
            <w:r w:rsidRPr="00DE6689">
              <w:rPr>
                <w:rFonts w:ascii="Times New Roman" w:hAnsi="Times New Roman"/>
                <w:bCs/>
                <w:szCs w:val="22"/>
              </w:rPr>
              <w:t>2019/2033</w:t>
            </w:r>
            <w:r w:rsidRPr="00DE6689">
              <w:rPr>
                <w:rFonts w:ascii="Times New Roman" w:hAnsi="Times New Roman"/>
                <w:bCs/>
                <w:szCs w:val="22"/>
              </w:rPr>
              <w:t>.</w:t>
            </w:r>
          </w:p>
          <w:p w14:paraId="3DBE6D3E"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Άρθρο 4 παράγραφος 1 σημείο 113, άρθρο 36 παράγραφος 1 στοιχείο β), και άρθρο 37</w:t>
            </w:r>
            <w:r w:rsidRPr="00DE6689">
              <w:rPr>
                <w:rFonts w:ascii="Times New Roman" w:hAnsi="Times New Roman"/>
              </w:rPr>
              <w:t xml:space="preserve"> </w:t>
            </w:r>
            <w:r w:rsidRPr="00DE6689">
              <w:rPr>
                <w:rFonts w:ascii="Times New Roman" w:hAnsi="Times New Roman"/>
                <w:bCs/>
              </w:rPr>
              <w:t>του</w:t>
            </w:r>
            <w:r w:rsidRPr="00DE6689">
              <w:rPr>
                <w:rFonts w:ascii="Times New Roman" w:hAnsi="Times New Roman"/>
              </w:rPr>
              <w:t xml:space="preserve"> </w:t>
            </w:r>
            <w:r w:rsidRPr="00DE6689">
              <w:rPr>
                <w:rStyle w:val="FormatvorlageInstructionsTabelleText"/>
                <w:rFonts w:ascii="Times New Roman" w:hAnsi="Times New Roman"/>
                <w:sz w:val="22"/>
                <w:szCs w:val="22"/>
              </w:rPr>
              <w:t>κανονισμού (ΕΕ) αριθ. 575/2013.</w:t>
            </w:r>
          </w:p>
        </w:tc>
      </w:tr>
      <w:tr w:rsidR="00C24790" w:rsidRPr="00DE6689" w14:paraId="0E5AEECA"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C9A8B91"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FE8FFE2"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Λοιπά άυλα στοιχεία ενεργητικού</w:t>
            </w:r>
          </w:p>
          <w:p w14:paraId="58AD6282"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rPr>
              <w:t xml:space="preserve"> του</w:t>
            </w:r>
            <w:r w:rsidRPr="00DE6689">
              <w:rPr>
                <w:rFonts w:ascii="Times New Roman" w:hAnsi="Times New Roman"/>
                <w:bCs/>
                <w:szCs w:val="22"/>
              </w:rPr>
              <w:t xml:space="preserve"> κανονισμού (ΕΕ) </w:t>
            </w:r>
            <w:r w:rsidRPr="00DE6689">
              <w:rPr>
                <w:rFonts w:ascii="Times New Roman" w:hAnsi="Times New Roman"/>
                <w:bCs/>
                <w:szCs w:val="22"/>
              </w:rPr>
              <w:t>2019/2033</w:t>
            </w:r>
            <w:r w:rsidRPr="00DE6689">
              <w:rPr>
                <w:rFonts w:ascii="Times New Roman" w:hAnsi="Times New Roman"/>
                <w:bCs/>
                <w:szCs w:val="22"/>
              </w:rPr>
              <w:t>.</w:t>
            </w:r>
          </w:p>
          <w:p w14:paraId="0EA8F42A" w14:textId="77777777" w:rsidR="00C24790" w:rsidRPr="00DE6689" w:rsidRDefault="00DE6689">
            <w:pPr>
              <w:pStyle w:val="InstructionsText"/>
              <w:rPr>
                <w:rStyle w:val="FormatvorlageInstructionsTabelleText"/>
                <w:rFonts w:ascii="Times New Roman" w:eastAsiaTheme="minorHAnsi" w:hAnsi="Times New Roman"/>
                <w:bCs/>
                <w:sz w:val="22"/>
              </w:rPr>
            </w:pPr>
            <w:r w:rsidRPr="00DE6689">
              <w:rPr>
                <w:rStyle w:val="FormatvorlageInstructionsTabelleText"/>
                <w:rFonts w:ascii="Times New Roman" w:hAnsi="Times New Roman"/>
                <w:sz w:val="22"/>
              </w:rPr>
              <w:lastRenderedPageBreak/>
              <w:t>Άρθρο 4 παράγραφος 1 σημείο 115, άρθρο 36 παράγραφος 1 στοιχείο β) και άρθρο 37 στοιχείο α)</w:t>
            </w:r>
            <w:r w:rsidRPr="00DE6689">
              <w:t xml:space="preserve"> του </w:t>
            </w:r>
            <w:r w:rsidRPr="00DE6689">
              <w:rPr>
                <w:rStyle w:val="FormatvorlageInstructionsTabelleText"/>
                <w:rFonts w:ascii="Times New Roman" w:hAnsi="Times New Roman"/>
                <w:sz w:val="22"/>
              </w:rPr>
              <w:t>κανονισμού (ΕΕ) αριθ. 575/2013.</w:t>
            </w:r>
          </w:p>
          <w:p w14:paraId="02ABA80F"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Τα λοιπά άυλα στοιχεία ενεργητικού περιλαμβάνουν τα άυλα στοιχεία ενεργητικού δυνάμει του ισχύοντος λογιστικού προτύπου, πλην τη</w:t>
            </w:r>
            <w:r w:rsidRPr="00DE6689">
              <w:rPr>
                <w:rStyle w:val="FormatvorlageInstructionsTabelleText"/>
                <w:rFonts w:ascii="Times New Roman" w:hAnsi="Times New Roman"/>
                <w:sz w:val="22"/>
                <w:szCs w:val="22"/>
              </w:rPr>
              <w:t>ς υπεραξίας, επίσης σύμφωνα με το ισχύον λογιστικό πρότυπο.</w:t>
            </w:r>
          </w:p>
        </w:tc>
      </w:tr>
      <w:tr w:rsidR="00C24790" w:rsidRPr="00DE6689" w14:paraId="55C025D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1877CB9"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lastRenderedPageBreak/>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5C89EAC"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Αναβαλλόμενες φορολογικές απαιτήσεις που βασίζονται σε μελλοντική κερδοφορία και δεν προκύπτουν από προσωρινές διαφορές πλην των σχετικών φορολογικών υποχρεώσεων</w:t>
            </w:r>
          </w:p>
          <w:p w14:paraId="0C7C01AE"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2 στοιχ</w:t>
            </w:r>
            <w:r w:rsidRPr="00DE6689">
              <w:rPr>
                <w:rFonts w:ascii="Times New Roman" w:hAnsi="Times New Roman"/>
                <w:bCs/>
                <w:szCs w:val="22"/>
              </w:rPr>
              <w:t>είο α)</w:t>
            </w:r>
            <w:r w:rsidRPr="00DE6689">
              <w:rPr>
                <w:rFonts w:ascii="Times New Roman" w:hAnsi="Times New Roman"/>
                <w:bCs/>
              </w:rPr>
              <w:t xml:space="preserve"> του</w:t>
            </w:r>
            <w:r w:rsidRPr="00DE6689">
              <w:rPr>
                <w:rFonts w:ascii="Times New Roman" w:hAnsi="Times New Roman"/>
                <w:bCs/>
                <w:szCs w:val="22"/>
              </w:rPr>
              <w:t xml:space="preserve"> κανονισμού (ΕΕ) </w:t>
            </w:r>
            <w:r w:rsidRPr="00DE6689">
              <w:rPr>
                <w:rFonts w:ascii="Times New Roman" w:hAnsi="Times New Roman"/>
                <w:bCs/>
                <w:szCs w:val="22"/>
              </w:rPr>
              <w:t>2019/2033</w:t>
            </w:r>
            <w:r w:rsidRPr="00DE6689">
              <w:rPr>
                <w:rFonts w:ascii="Times New Roman" w:hAnsi="Times New Roman"/>
                <w:bCs/>
                <w:szCs w:val="22"/>
              </w:rPr>
              <w:t>.</w:t>
            </w:r>
          </w:p>
          <w:p w14:paraId="0C5937D9"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36 παράγραφος 1 στοιχείο γ)</w:t>
            </w:r>
            <w:r w:rsidRPr="00DE6689">
              <w:rPr>
                <w:rFonts w:ascii="Times New Roman" w:hAnsi="Times New Roman"/>
                <w:bCs/>
              </w:rPr>
              <w:t xml:space="preserve"> του</w:t>
            </w:r>
            <w:r w:rsidRPr="00DE6689">
              <w:rPr>
                <w:rFonts w:ascii="Times New Roman" w:hAnsi="Times New Roman"/>
                <w:bCs/>
                <w:szCs w:val="22"/>
              </w:rPr>
              <w:t xml:space="preserve"> κανονισμού (ΕΕ) αριθ. 575/2013.</w:t>
            </w:r>
          </w:p>
        </w:tc>
      </w:tr>
      <w:tr w:rsidR="00C24790" w:rsidRPr="00DE6689" w14:paraId="472B8CC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777C6A6"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590CB49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Ειδικές συμμετοχές εκτός του χρηματοπιστωτικού τομέα που υπερβαίνουν το 15 % των ιδίων κεφαλαίων</w:t>
            </w:r>
          </w:p>
          <w:p w14:paraId="57788FA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10 παράγραφος 1 στοιχείο α)</w:t>
            </w:r>
            <w:r w:rsidRPr="00DE6689">
              <w:rPr>
                <w:rFonts w:ascii="Times New Roman" w:hAnsi="Times New Roman"/>
                <w:bCs/>
              </w:rPr>
              <w:t xml:space="preserve"> του</w:t>
            </w:r>
            <w:r w:rsidRPr="00DE6689">
              <w:rPr>
                <w:rFonts w:ascii="Times New Roman" w:hAnsi="Times New Roman"/>
                <w:bCs/>
                <w:szCs w:val="22"/>
              </w:rPr>
              <w:t xml:space="preserve"> κανονισμού (ΕΕ) </w:t>
            </w:r>
            <w:r w:rsidRPr="00DE6689">
              <w:rPr>
                <w:rFonts w:ascii="Times New Roman" w:hAnsi="Times New Roman"/>
                <w:bCs/>
                <w:szCs w:val="22"/>
              </w:rPr>
              <w:t>2019/2033</w:t>
            </w:r>
            <w:r w:rsidRPr="00DE6689">
              <w:rPr>
                <w:rFonts w:ascii="Times New Roman" w:hAnsi="Times New Roman"/>
                <w:bCs/>
                <w:szCs w:val="22"/>
              </w:rPr>
              <w:t>.</w:t>
            </w:r>
          </w:p>
        </w:tc>
      </w:tr>
      <w:tr w:rsidR="00C24790" w:rsidRPr="00DE6689" w14:paraId="4D5DFD5E"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CC46DFB"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46BC1F28"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Συνολικές ειδικές συμμετοχές σε επιχειρήσεις εκτός των οντοτήτων του χρηματοπιστωτικού τομέα που υπερβαίνουν το 60 % των ιδίων κεφαλαίων τους</w:t>
            </w:r>
          </w:p>
          <w:p w14:paraId="3A042DCE"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10 παράγραφος 1 στοιχείο β)</w:t>
            </w:r>
            <w:r w:rsidRPr="00DE6689">
              <w:rPr>
                <w:rFonts w:ascii="Times New Roman" w:hAnsi="Times New Roman"/>
                <w:bCs/>
              </w:rPr>
              <w:t xml:space="preserve"> του</w:t>
            </w:r>
            <w:r w:rsidRPr="00DE6689">
              <w:rPr>
                <w:rFonts w:ascii="Times New Roman" w:hAnsi="Times New Roman"/>
                <w:bCs/>
                <w:szCs w:val="22"/>
              </w:rPr>
              <w:t xml:space="preserve"> κανονισμού (ΕΕ) </w:t>
            </w:r>
            <w:r w:rsidRPr="00DE6689">
              <w:rPr>
                <w:rFonts w:ascii="Times New Roman" w:hAnsi="Times New Roman"/>
                <w:bCs/>
                <w:szCs w:val="22"/>
              </w:rPr>
              <w:t>2019/2033</w:t>
            </w:r>
            <w:r w:rsidRPr="00DE6689">
              <w:rPr>
                <w:rFonts w:ascii="Times New Roman" w:hAnsi="Times New Roman"/>
                <w:bCs/>
                <w:szCs w:val="22"/>
              </w:rPr>
              <w:t>.</w:t>
            </w:r>
          </w:p>
        </w:tc>
      </w:tr>
      <w:tr w:rsidR="00C24790" w:rsidRPr="00DE6689" w14:paraId="5EC28A85"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9CDEE92"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C460E56"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xml:space="preserve">(-) </w:t>
            </w:r>
            <w:r w:rsidRPr="00DE6689">
              <w:rPr>
                <w:rFonts w:ascii="Times New Roman" w:hAnsi="Times New Roman"/>
                <w:b/>
                <w:bCs/>
                <w:szCs w:val="22"/>
                <w:u w:val="single"/>
              </w:rPr>
              <w:t>Μέσα CET1 οντοτήτων του χρηματοπιστωτικού τομέα όπου το ίδρυμα δεν έχει σημαντική επένδυση</w:t>
            </w:r>
          </w:p>
          <w:p w14:paraId="06A0D508"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2 στοιχείο γ) του κανονισμού (ΕΕ) </w:t>
            </w:r>
            <w:r w:rsidRPr="00DE6689">
              <w:rPr>
                <w:rFonts w:ascii="Times New Roman" w:hAnsi="Times New Roman"/>
                <w:bCs/>
                <w:szCs w:val="22"/>
              </w:rPr>
              <w:t>2019/2033</w:t>
            </w:r>
            <w:r w:rsidRPr="00DE6689">
              <w:rPr>
                <w:rFonts w:ascii="Times New Roman" w:hAnsi="Times New Roman"/>
                <w:bCs/>
                <w:szCs w:val="22"/>
              </w:rPr>
              <w:t>.</w:t>
            </w:r>
          </w:p>
          <w:p w14:paraId="63195AF0"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36 παράγραφος 1 στοιχείο η) του κανονισμού (ΕΕ) αριθ. 575/2013.</w:t>
            </w:r>
          </w:p>
        </w:tc>
      </w:tr>
      <w:tr w:rsidR="00C24790" w:rsidRPr="00DE6689" w14:paraId="0D5C892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848E848"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003F570"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xml:space="preserve">(-) Μέσα CET1 </w:t>
            </w:r>
            <w:r w:rsidRPr="00DE6689">
              <w:rPr>
                <w:rFonts w:ascii="Times New Roman" w:hAnsi="Times New Roman"/>
                <w:b/>
                <w:bCs/>
                <w:szCs w:val="22"/>
                <w:u w:val="single"/>
              </w:rPr>
              <w:t>οντοτήτων του χρηματοπιστωτικού τομέα όπου το ίδρυμα έχει σημαντική επένδυση</w:t>
            </w:r>
          </w:p>
          <w:p w14:paraId="42EB9703"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2 στοιχείο δ) του κανονισμού (ΕΕ) </w:t>
            </w:r>
            <w:r w:rsidRPr="00DE6689">
              <w:rPr>
                <w:rFonts w:ascii="Times New Roman" w:hAnsi="Times New Roman"/>
                <w:bCs/>
                <w:szCs w:val="22"/>
              </w:rPr>
              <w:t>2019/2033</w:t>
            </w:r>
            <w:r w:rsidRPr="00DE6689">
              <w:rPr>
                <w:rFonts w:ascii="Times New Roman" w:hAnsi="Times New Roman"/>
                <w:bCs/>
                <w:szCs w:val="22"/>
              </w:rPr>
              <w:t>.</w:t>
            </w:r>
          </w:p>
          <w:p w14:paraId="630D394F"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36 παράγραφος 1 στοιχείο θ) του κανονισμού (ΕΕ) αριθ. 575/2013.</w:t>
            </w:r>
          </w:p>
        </w:tc>
      </w:tr>
      <w:tr w:rsidR="00C24790" w:rsidRPr="00DE6689" w14:paraId="7A01725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205936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AF3A24B"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xml:space="preserve">(-) Περιουσιακά στοιχεία συνταξιοδοτικών </w:t>
            </w:r>
            <w:r w:rsidRPr="00DE6689">
              <w:rPr>
                <w:rFonts w:ascii="Times New Roman" w:hAnsi="Times New Roman"/>
                <w:b/>
                <w:bCs/>
                <w:szCs w:val="22"/>
                <w:u w:val="single"/>
              </w:rPr>
              <w:t>ταμείων προκαθορισμένων παροχών</w:t>
            </w:r>
          </w:p>
          <w:p w14:paraId="0FA5D79D"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2 στοιχείο β) του κανονισμού (ΕΕ) </w:t>
            </w:r>
            <w:r w:rsidRPr="00DE6689">
              <w:rPr>
                <w:rFonts w:ascii="Times New Roman" w:hAnsi="Times New Roman"/>
                <w:bCs/>
                <w:szCs w:val="22"/>
              </w:rPr>
              <w:t>2019/2033</w:t>
            </w:r>
            <w:r w:rsidRPr="00DE6689">
              <w:rPr>
                <w:rFonts w:ascii="Times New Roman" w:hAnsi="Times New Roman"/>
                <w:bCs/>
                <w:szCs w:val="22"/>
              </w:rPr>
              <w:t>.</w:t>
            </w:r>
          </w:p>
          <w:p w14:paraId="684D56A2"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36 παράγραφος 1 στοιχείο ε) του κανονισμού (ΕΕ) αριθ. 575/2013.</w:t>
            </w:r>
          </w:p>
        </w:tc>
      </w:tr>
      <w:tr w:rsidR="00C24790" w:rsidRPr="00DE6689" w14:paraId="57C83EE1" w14:textId="77777777">
        <w:tblPrEx>
          <w:tblLook w:val="00A0" w:firstRow="1" w:lastRow="0" w:firstColumn="1" w:lastColumn="0" w:noHBand="0" w:noVBand="0"/>
        </w:tblPrEx>
        <w:tc>
          <w:tcPr>
            <w:tcW w:w="1129" w:type="dxa"/>
            <w:vAlign w:val="center"/>
          </w:tcPr>
          <w:p w14:paraId="248B9C17"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1AEFF234"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Λοιπές αφαιρέσεις</w:t>
            </w:r>
          </w:p>
          <w:p w14:paraId="022B7230"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Το άθροισμα τυχόν άλλων αφαιρέσεων που απαριθμούνται στο άρθρο 3</w:t>
            </w:r>
            <w:r w:rsidRPr="00DE6689">
              <w:rPr>
                <w:rFonts w:ascii="Times New Roman" w:hAnsi="Times New Roman"/>
                <w:bCs/>
                <w:szCs w:val="22"/>
              </w:rPr>
              <w:t>6 παράγραφος 1 του κανονισμού (ΕΕ) αριθ. 575/2013.</w:t>
            </w:r>
          </w:p>
        </w:tc>
      </w:tr>
      <w:tr w:rsidR="00C24790" w:rsidRPr="00DE6689" w14:paraId="31653E97" w14:textId="77777777">
        <w:tblPrEx>
          <w:tblLook w:val="00A0" w:firstRow="1" w:lastRow="0" w:firstColumn="1" w:lastColumn="0" w:noHBand="0" w:noVBand="0"/>
        </w:tblPrEx>
        <w:tc>
          <w:tcPr>
            <w:tcW w:w="1129" w:type="dxa"/>
            <w:vAlign w:val="center"/>
          </w:tcPr>
          <w:p w14:paraId="3821145C" w14:textId="77777777" w:rsidR="00C24790" w:rsidRPr="00DE6689" w:rsidRDefault="00DE6689">
            <w:pPr>
              <w:spacing w:after="120"/>
              <w:jc w:val="both"/>
              <w:rPr>
                <w:rFonts w:ascii="Times New Roman" w:hAnsi="Times New Roman" w:cs="Times New Roman"/>
                <w:color w:val="000000"/>
                <w:szCs w:val="22"/>
              </w:rPr>
            </w:pPr>
            <w:r w:rsidRPr="00DE6689">
              <w:rPr>
                <w:rFonts w:ascii="Times New Roman" w:hAnsi="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6816D700"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CET1: Άλλα στοιχεία κεφαλαίου, αφαιρέσεις και προσαρμογές</w:t>
            </w:r>
          </w:p>
          <w:p w14:paraId="4F430313"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Η γραμμή αυτή περιλαμβάνει το άθροισμα των ακόλουθων στοιχείων, ανάλογα με την περίπτωση:</w:t>
            </w:r>
          </w:p>
          <w:p w14:paraId="58D9D534"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 xml:space="preserve">Μεταβατικές προσαρμογές λόγω αποδοχής του </w:t>
            </w:r>
            <w:r w:rsidRPr="00DE6689">
              <w:rPr>
                <w:rFonts w:ascii="Times New Roman" w:hAnsi="Times New Roman"/>
                <w:bCs/>
              </w:rPr>
              <w:t>προϋφιστάμενου καθεστώτος όσον αφορά τα κεφαλαιακά μέσα CET1 [άρθρο 483 παράγραφοι 1, 2 και 3 και άρθρα 484 έως 487 του κανονισμού (ΕΕ) αριθ. 575/2013].</w:t>
            </w:r>
          </w:p>
          <w:p w14:paraId="37D51BE9"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 xml:space="preserve">Μεταβατικές προσαρμογές λόγω πρόσθετων δικαιωμάτων μειοψηφίας [άρθρα 479 και 480 του κανονισμού (ΕΕ) </w:t>
            </w:r>
            <w:r w:rsidRPr="00DE6689">
              <w:rPr>
                <w:rFonts w:ascii="Times New Roman" w:hAnsi="Times New Roman"/>
                <w:bCs/>
              </w:rPr>
              <w:t>αριθ. 575/2013].</w:t>
            </w:r>
          </w:p>
          <w:p w14:paraId="059C8254"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Άλλες μεταβατικές προσαρμογές στο κεφάλαιο CET1 [άρθρα 469 έως 478 και άρθρο 481 του κανονισμού (ΕΕ) αριθ. 575/2013]: προσαρμογές στις αφαιρέσεις από το κεφάλαιο CET1 λόγω μεταβατικών διατάξεων.</w:t>
            </w:r>
          </w:p>
          <w:p w14:paraId="60408B55" w14:textId="77777777" w:rsidR="00C24790" w:rsidRPr="00DE6689" w:rsidRDefault="00DE6689">
            <w:pPr>
              <w:spacing w:after="120"/>
              <w:ind w:left="360" w:hanging="360"/>
              <w:contextualSpacing/>
              <w:jc w:val="both"/>
              <w:rPr>
                <w:rFonts w:ascii="Times New Roman" w:eastAsia="Times New Roman" w:hAnsi="Times New Roman"/>
                <w:b/>
                <w:bCs/>
                <w:u w:val="single"/>
              </w:rPr>
            </w:pPr>
            <w:r w:rsidRPr="00DE6689">
              <w:rPr>
                <w:rFonts w:ascii="Times New Roman" w:eastAsia="Times New Roman" w:hAnsi="Times New Roman" w:cs="Times New Roman"/>
                <w:bCs/>
                <w:szCs w:val="22"/>
              </w:rPr>
              <w:lastRenderedPageBreak/>
              <w:t>—</w:t>
            </w:r>
            <w:r w:rsidRPr="00DE6689">
              <w:rPr>
                <w:rFonts w:ascii="Times New Roman" w:eastAsia="Times New Roman" w:hAnsi="Times New Roman" w:cs="Times New Roman"/>
                <w:bCs/>
                <w:szCs w:val="22"/>
              </w:rPr>
              <w:tab/>
            </w:r>
            <w:r w:rsidRPr="00DE6689">
              <w:rPr>
                <w:rFonts w:ascii="Times New Roman" w:hAnsi="Times New Roman"/>
                <w:bCs/>
              </w:rPr>
              <w:t xml:space="preserve">Άλλα στοιχεία κεφαλαίου CET1 ή </w:t>
            </w:r>
            <w:r w:rsidRPr="00DE6689">
              <w:rPr>
                <w:rFonts w:ascii="Times New Roman" w:hAnsi="Times New Roman"/>
                <w:bCs/>
              </w:rPr>
              <w:t>αφαιρέσεις από στοιχείο του κεφαλαίου CET1 που δεν μπορούν να αναφερθούν σε καμία από τις γραμμές 4 έως 26.</w:t>
            </w:r>
          </w:p>
          <w:p w14:paraId="272E2C46"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Η γραμμή αυτή δεν χρησιμοποιείται για να συμπεριληφθούν στον υπολογισμό των συντελεστών φερεγγυότητας στοιχεία κεφαλαίου ή αφαιρέσεις που δεν καλύπτ</w:t>
            </w:r>
            <w:r w:rsidRPr="00DE6689">
              <w:rPr>
                <w:rFonts w:ascii="Times New Roman" w:hAnsi="Times New Roman"/>
                <w:bCs/>
                <w:szCs w:val="22"/>
              </w:rPr>
              <w:t xml:space="preserve">ονται από τον κανονισμό (ΕΕ) </w:t>
            </w:r>
            <w:r w:rsidRPr="00DE6689">
              <w:rPr>
                <w:rFonts w:ascii="Times New Roman" w:hAnsi="Times New Roman"/>
                <w:bCs/>
                <w:szCs w:val="22"/>
              </w:rPr>
              <w:t>2019/2033</w:t>
            </w:r>
            <w:r w:rsidRPr="00DE6689">
              <w:rPr>
                <w:rFonts w:ascii="Times New Roman" w:hAnsi="Times New Roman"/>
                <w:bCs/>
                <w:szCs w:val="22"/>
              </w:rPr>
              <w:t xml:space="preserve"> ή τον κανονισμό (ΕΕ) αριθ. 575/2013.</w:t>
            </w:r>
          </w:p>
        </w:tc>
      </w:tr>
      <w:tr w:rsidR="00C24790" w:rsidRPr="00DE6689" w14:paraId="624C87A6" w14:textId="77777777">
        <w:tblPrEx>
          <w:tblLook w:val="00A0" w:firstRow="1" w:lastRow="0" w:firstColumn="1" w:lastColumn="0" w:noHBand="0" w:noVBand="0"/>
        </w:tblPrEx>
        <w:tc>
          <w:tcPr>
            <w:tcW w:w="1129" w:type="dxa"/>
            <w:vAlign w:val="center"/>
          </w:tcPr>
          <w:p w14:paraId="141EF36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lastRenderedPageBreak/>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026DB53B"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ΠΡΟΣΘΕΤΟ ΚΕΦΑΛΑΙΟ ΤΗΣ ΚΑΤΗΓΟΡΙΑΣ 1</w:t>
            </w:r>
          </w:p>
          <w:p w14:paraId="45CE4BFC"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1 του κανονισμού (ΕΕ) αριθ. </w:t>
            </w:r>
            <w:r w:rsidRPr="00DE6689">
              <w:rPr>
                <w:rFonts w:ascii="Times New Roman" w:hAnsi="Times New Roman"/>
                <w:bCs/>
                <w:szCs w:val="22"/>
              </w:rPr>
              <w:t>2019/2033</w:t>
            </w:r>
            <w:r w:rsidRPr="00DE6689">
              <w:rPr>
                <w:rFonts w:ascii="Times New Roman" w:hAnsi="Times New Roman"/>
                <w:bCs/>
                <w:szCs w:val="22"/>
              </w:rPr>
              <w:t>.</w:t>
            </w:r>
          </w:p>
          <w:p w14:paraId="1645DB31"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61 του κανονισμού (ΕΕ) αριθ. 575/2013.</w:t>
            </w:r>
          </w:p>
          <w:p w14:paraId="10F6ACB6"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 xml:space="preserve">Δημοσιοποιείται το συνολικό </w:t>
            </w:r>
            <w:r w:rsidRPr="00DE6689">
              <w:rPr>
                <w:rFonts w:ascii="Times New Roman" w:hAnsi="Times New Roman"/>
                <w:bCs/>
                <w:szCs w:val="22"/>
              </w:rPr>
              <w:t>άθροισμα των γραμμών 29 έως 31 και 39.</w:t>
            </w:r>
          </w:p>
        </w:tc>
      </w:tr>
      <w:tr w:rsidR="00C24790" w:rsidRPr="00DE6689" w14:paraId="699D5334" w14:textId="77777777">
        <w:tblPrEx>
          <w:tblLook w:val="00A0" w:firstRow="1" w:lastRow="0" w:firstColumn="1" w:lastColumn="0" w:noHBand="0" w:noVBand="0"/>
        </w:tblPrEx>
        <w:tc>
          <w:tcPr>
            <w:tcW w:w="1129" w:type="dxa"/>
            <w:vAlign w:val="center"/>
          </w:tcPr>
          <w:p w14:paraId="2CFCDAB9"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7B5FC8DD"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
                <w:bCs/>
                <w:szCs w:val="22"/>
                <w:u w:val="single"/>
              </w:rPr>
              <w:t>Πλήρως καταβεβλημένα, απευθείας εκδοθέντα κεφαλαιακά μέσα</w:t>
            </w:r>
          </w:p>
          <w:p w14:paraId="24A9C87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207B37CC"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51 στοιχείο α) και άρθρα 52, 53 και 54</w:t>
            </w:r>
            <w:r w:rsidRPr="00DE6689">
              <w:t xml:space="preserve"> του </w:t>
            </w:r>
            <w:r w:rsidRPr="00DE6689">
              <w:rPr>
                <w:rStyle w:val="FormatvorlageInstructionsTabelleText"/>
                <w:rFonts w:ascii="Times New Roman" w:hAnsi="Times New Roman"/>
                <w:sz w:val="22"/>
              </w:rPr>
              <w:t>κανονισμού (ΕΕ) αριθ. 575/2013</w:t>
            </w:r>
            <w:r w:rsidRPr="00DE6689">
              <w:t>.</w:t>
            </w:r>
          </w:p>
          <w:p w14:paraId="32184F0C"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Το προς δημο</w:t>
            </w:r>
            <w:r w:rsidRPr="00DE6689">
              <w:rPr>
                <w:rStyle w:val="FormatvorlageInstructionsTabelleText"/>
                <w:rFonts w:ascii="Times New Roman" w:hAnsi="Times New Roman"/>
                <w:sz w:val="22"/>
                <w:szCs w:val="22"/>
              </w:rPr>
              <w:t>σιοποίηση ποσό δεν περιλαμβάνει τη διαφορά από την έκδοση μετοχών υπέρ το άρτιο που αφορά τα μέσα.</w:t>
            </w:r>
          </w:p>
        </w:tc>
      </w:tr>
      <w:tr w:rsidR="00C24790" w:rsidRPr="00DE6689" w14:paraId="206A2E2D" w14:textId="77777777">
        <w:tblPrEx>
          <w:tblLook w:val="00A0" w:firstRow="1" w:lastRow="0" w:firstColumn="1" w:lastColumn="0" w:noHBand="0" w:noVBand="0"/>
        </w:tblPrEx>
        <w:tc>
          <w:tcPr>
            <w:tcW w:w="1129" w:type="dxa"/>
            <w:vAlign w:val="center"/>
          </w:tcPr>
          <w:p w14:paraId="538DD58B" w14:textId="77777777" w:rsidR="00C24790" w:rsidRPr="00DE6689" w:rsidRDefault="00DE6689">
            <w:pPr>
              <w:spacing w:after="120"/>
              <w:jc w:val="both"/>
              <w:rPr>
                <w:rFonts w:ascii="Times New Roman" w:hAnsi="Times New Roman" w:cs="Times New Roman"/>
                <w:color w:val="000000"/>
                <w:szCs w:val="22"/>
              </w:rPr>
            </w:pPr>
            <w:r w:rsidRPr="00DE6689">
              <w:rPr>
                <w:rFonts w:ascii="Times New Roman" w:hAnsi="Times New Roman"/>
                <w:color w:val="000000"/>
                <w:szCs w:val="22"/>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034625AB"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Διαφορά από έκδοση μετοχών υπέρ το άρτιο</w:t>
            </w:r>
          </w:p>
          <w:p w14:paraId="351FC16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1E4A58D2"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51 στοιχείο β)</w:t>
            </w:r>
            <w:r w:rsidRPr="00DE6689">
              <w:t xml:space="preserve"> του </w:t>
            </w:r>
            <w:r w:rsidRPr="00DE6689">
              <w:rPr>
                <w:rStyle w:val="FormatvorlageInstructionsTabelleText"/>
                <w:rFonts w:ascii="Times New Roman" w:hAnsi="Times New Roman"/>
                <w:sz w:val="22"/>
              </w:rPr>
              <w:t xml:space="preserve">κανονισμού (ΕΕ) </w:t>
            </w:r>
            <w:r w:rsidRPr="00DE6689">
              <w:rPr>
                <w:rStyle w:val="FormatvorlageInstructionsTabelleText"/>
                <w:rFonts w:ascii="Times New Roman" w:hAnsi="Times New Roman"/>
                <w:sz w:val="22"/>
              </w:rPr>
              <w:t>αριθ. 575/2013.</w:t>
            </w:r>
          </w:p>
          <w:p w14:paraId="253E2BB6"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Ο όρος </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διαφορά από την έκδοση μετοχών υπέρ το άρτιο</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 xml:space="preserve"> έχει την ίδια έννοια με αυτήν του εφαρμοστέου λογιστικού προτύπου.</w:t>
            </w:r>
          </w:p>
          <w:p w14:paraId="5D1F9A2A"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 xml:space="preserve">Το προς δημοσιοποίηση ποσό στο συγκεκριμένο στοιχείο είναι το μέρος που σχετίζεται με τα </w:t>
            </w:r>
            <w:r w:rsidRPr="00DE6689">
              <w:rPr>
                <w:rStyle w:val="FormatvorlageInstructionsTabelleText"/>
                <w:rFonts w:ascii="Times New Roman" w:hAnsi="Times New Roman"/>
                <w:sz w:val="22"/>
                <w:szCs w:val="22"/>
              </w:rPr>
              <w:t>«</w:t>
            </w:r>
            <w:r w:rsidRPr="00DE6689">
              <w:rPr>
                <w:rStyle w:val="FormatvorlageInstructionsTabelleText"/>
                <w:rFonts w:ascii="Times New Roman" w:hAnsi="Times New Roman"/>
                <w:sz w:val="22"/>
                <w:szCs w:val="22"/>
              </w:rPr>
              <w:t>καταβεβλημένα κεφαλαιακά μέσα</w:t>
            </w:r>
            <w:r w:rsidRPr="00DE6689">
              <w:rPr>
                <w:rStyle w:val="FormatvorlageInstructionsTabelleText"/>
                <w:rFonts w:ascii="Times New Roman" w:hAnsi="Times New Roman"/>
                <w:sz w:val="22"/>
                <w:szCs w:val="22"/>
              </w:rPr>
              <w:t>»</w:t>
            </w:r>
            <w:r w:rsidRPr="00DE6689">
              <w:rPr>
                <w:rStyle w:val="FormatvorlageInstructionsTabelleText"/>
                <w:rFonts w:ascii="Times New Roman" w:hAnsi="Times New Roman"/>
                <w:sz w:val="22"/>
                <w:szCs w:val="22"/>
              </w:rPr>
              <w:t>.</w:t>
            </w:r>
          </w:p>
        </w:tc>
      </w:tr>
      <w:tr w:rsidR="00C24790" w:rsidRPr="00DE6689" w14:paraId="6F903DD5" w14:textId="77777777">
        <w:tblPrEx>
          <w:tblLook w:val="00A0" w:firstRow="1" w:lastRow="0" w:firstColumn="1" w:lastColumn="0" w:noHBand="0" w:noVBand="0"/>
        </w:tblPrEx>
        <w:tc>
          <w:tcPr>
            <w:tcW w:w="1129" w:type="dxa"/>
            <w:tcBorders>
              <w:bottom w:val="single" w:sz="4" w:space="0" w:color="auto"/>
            </w:tcBorders>
            <w:vAlign w:val="center"/>
          </w:tcPr>
          <w:p w14:paraId="247A43EC"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018C8AD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ΣΥΝΟΛΙΚΕΣ ΑΦΑΙΡΕΣΕΙΣ ΑΠΟ ΠΡΟΣΘΕΤΑ ΣΤΟΙΧΕΙΑ ΤΗΣ ΚΑΤΗΓΟΡΙΑΣ 1</w:t>
            </w:r>
          </w:p>
          <w:p w14:paraId="07B6B58B" w14:textId="77777777" w:rsidR="00C24790" w:rsidRPr="00DE6689" w:rsidRDefault="00DE6689">
            <w:pPr>
              <w:spacing w:before="60" w:after="60"/>
              <w:rPr>
                <w:rFonts w:ascii="Times New Roman" w:hAnsi="Times New Roman" w:cs="Times New Roman"/>
                <w:szCs w:val="22"/>
              </w:rPr>
            </w:pPr>
            <w:r w:rsidRPr="00DE6689">
              <w:rPr>
                <w:rFonts w:ascii="Times New Roman" w:hAnsi="Times New Roman"/>
                <w:szCs w:val="22"/>
              </w:rPr>
              <w:t>Άρθρο 56</w:t>
            </w:r>
            <w:r w:rsidRPr="00DE6689">
              <w:rPr>
                <w:rFonts w:ascii="Times New Roman" w:hAnsi="Times New Roman"/>
                <w:bCs/>
                <w:szCs w:val="22"/>
              </w:rPr>
              <w:t xml:space="preserve"> του</w:t>
            </w:r>
            <w:r w:rsidRPr="00DE6689">
              <w:rPr>
                <w:rFonts w:ascii="Times New Roman" w:hAnsi="Times New Roman"/>
                <w:szCs w:val="22"/>
              </w:rPr>
              <w:t xml:space="preserve"> κανονισμού (ΕΕ) αριθ. 575/2013.</w:t>
            </w:r>
          </w:p>
          <w:p w14:paraId="075F56C3"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Δημοσιοποιείται το συνολικό άθροισμα της γραμμής 32 και των γραμμών 36 έως 38.</w:t>
            </w:r>
          </w:p>
        </w:tc>
      </w:tr>
      <w:tr w:rsidR="00C24790" w:rsidRPr="00DE6689" w14:paraId="1BA5E9C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BA10569"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B59541A"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Ίδια μέσα AT1</w:t>
            </w:r>
          </w:p>
          <w:p w14:paraId="6CFC43CE"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24C2384A" w14:textId="77777777" w:rsidR="00C24790" w:rsidRPr="00DE6689" w:rsidRDefault="00DE6689">
            <w:pPr>
              <w:pStyle w:val="InstructionsText"/>
              <w:rPr>
                <w:rStyle w:val="FormatvorlageInstructionsTabelleText"/>
                <w:rFonts w:ascii="Times New Roman" w:eastAsiaTheme="minorHAnsi" w:hAnsi="Times New Roman"/>
                <w:bCs/>
                <w:sz w:val="22"/>
              </w:rPr>
            </w:pPr>
            <w:r w:rsidRPr="00DE6689">
              <w:rPr>
                <w:rStyle w:val="FormatvorlageInstructionsTabelleText"/>
                <w:rFonts w:ascii="Times New Roman" w:hAnsi="Times New Roman"/>
                <w:sz w:val="22"/>
              </w:rPr>
              <w:t>Άρθρο 52 παράγραφος 1 στοιχείο β), άρθρο 56 στοιχείο α) και άρθρο 57</w:t>
            </w:r>
            <w:r w:rsidRPr="00DE6689">
              <w:t xml:space="preserve"> του</w:t>
            </w:r>
            <w:r w:rsidRPr="00DE6689">
              <w:rPr>
                <w:rStyle w:val="FormatvorlageInstructionsTabelleText"/>
                <w:rFonts w:ascii="Times New Roman" w:hAnsi="Times New Roman"/>
                <w:sz w:val="22"/>
              </w:rPr>
              <w:t xml:space="preserve"> κανονισμού (ΕΕ) αριθ. 575/2013.</w:t>
            </w:r>
          </w:p>
          <w:p w14:paraId="49F62B80"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Ίδια μέσα AT1 που βρίσκονται στην κατοχή της επιχείρησης επενδύσεων κατά την ημερομηνία υποβολής αναφοράς. Με την επιφύ</w:t>
            </w:r>
            <w:r w:rsidRPr="00DE6689">
              <w:rPr>
                <w:rStyle w:val="FormatvorlageInstructionsTabelleText"/>
                <w:rFonts w:ascii="Times New Roman" w:hAnsi="Times New Roman"/>
                <w:sz w:val="22"/>
              </w:rPr>
              <w:t>λαξη των εξαιρέσεων του άρθρου 57 του κανονισμού (ΕΕ) αριθ. 575/2013.</w:t>
            </w:r>
          </w:p>
          <w:p w14:paraId="03EFA552" w14:textId="77777777" w:rsidR="00C24790" w:rsidRPr="00DE6689" w:rsidRDefault="00DE6689">
            <w:pPr>
              <w:pStyle w:val="InstructionsText"/>
            </w:pPr>
            <w:r w:rsidRPr="00DE6689">
              <w:rPr>
                <w:rStyle w:val="FormatvorlageInstructionsTabelleText"/>
                <w:rFonts w:ascii="Times New Roman" w:hAnsi="Times New Roman"/>
                <w:sz w:val="22"/>
              </w:rPr>
              <w:t>Το προς δημοσιοποίηση ποσό περιλαμβάνει τη διαφορά από την έκδοση μετοχών υπέρ το άρτιο που αφορά τις ίδιες μετοχές.</w:t>
            </w:r>
          </w:p>
        </w:tc>
      </w:tr>
      <w:tr w:rsidR="00C24790" w:rsidRPr="00DE6689" w14:paraId="0F33CB93" w14:textId="77777777">
        <w:tblPrEx>
          <w:tblLook w:val="00A0" w:firstRow="1" w:lastRow="0" w:firstColumn="1" w:lastColumn="0" w:noHBand="0" w:noVBand="0"/>
        </w:tblPrEx>
        <w:tc>
          <w:tcPr>
            <w:tcW w:w="1129" w:type="dxa"/>
            <w:shd w:val="clear" w:color="auto" w:fill="auto"/>
            <w:vAlign w:val="center"/>
          </w:tcPr>
          <w:p w14:paraId="47060022"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4C4002D3"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Άμεσες συμμετοχές σε μέσα AT1</w:t>
            </w:r>
          </w:p>
          <w:p w14:paraId="4EB936C3"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2 στοιχείο γ) του κανονισμού (ΕΕ) </w:t>
            </w:r>
            <w:r w:rsidRPr="00DE6689">
              <w:rPr>
                <w:rFonts w:ascii="Times New Roman" w:hAnsi="Times New Roman"/>
                <w:bCs/>
                <w:szCs w:val="22"/>
              </w:rPr>
              <w:t>2019/2033</w:t>
            </w:r>
            <w:r w:rsidRPr="00DE6689">
              <w:rPr>
                <w:rFonts w:ascii="Times New Roman" w:hAnsi="Times New Roman"/>
                <w:bCs/>
                <w:szCs w:val="22"/>
              </w:rPr>
              <w:t>.</w:t>
            </w:r>
          </w:p>
          <w:p w14:paraId="3276B613"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56 στοιχείο α) του κανονισμού (ΕΕ) αριθ. 575/2013.</w:t>
            </w:r>
          </w:p>
        </w:tc>
      </w:tr>
      <w:tr w:rsidR="00C24790" w:rsidRPr="00DE6689" w14:paraId="1933B45D" w14:textId="77777777">
        <w:tblPrEx>
          <w:tblLook w:val="00A0" w:firstRow="1" w:lastRow="0" w:firstColumn="1" w:lastColumn="0" w:noHBand="0" w:noVBand="0"/>
        </w:tblPrEx>
        <w:tc>
          <w:tcPr>
            <w:tcW w:w="1129" w:type="dxa"/>
            <w:shd w:val="clear" w:color="auto" w:fill="auto"/>
            <w:vAlign w:val="center"/>
          </w:tcPr>
          <w:p w14:paraId="5115839E"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41672D99"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Έμμεσες συμμετοχές σε μέσα AT1</w:t>
            </w:r>
          </w:p>
          <w:p w14:paraId="2E4D2152"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2 στοιχείο γ) του κανονισμού (ΕΕ) </w:t>
            </w:r>
            <w:r w:rsidRPr="00DE6689">
              <w:rPr>
                <w:rFonts w:ascii="Times New Roman" w:hAnsi="Times New Roman"/>
                <w:bCs/>
                <w:szCs w:val="22"/>
              </w:rPr>
              <w:t>2019/2033</w:t>
            </w:r>
            <w:r w:rsidRPr="00DE6689">
              <w:rPr>
                <w:rFonts w:ascii="Times New Roman" w:hAnsi="Times New Roman"/>
                <w:bCs/>
                <w:szCs w:val="22"/>
              </w:rPr>
              <w:t>.</w:t>
            </w:r>
          </w:p>
          <w:p w14:paraId="60041F5A"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56 στοιχείο α) του κανονισμού (ΕΕ) αριθ. 575/2013.</w:t>
            </w:r>
          </w:p>
        </w:tc>
      </w:tr>
      <w:tr w:rsidR="00C24790" w:rsidRPr="00DE6689" w14:paraId="6847AF3B" w14:textId="77777777">
        <w:tblPrEx>
          <w:tblLook w:val="00A0" w:firstRow="1" w:lastRow="0" w:firstColumn="1" w:lastColumn="0" w:noHBand="0" w:noVBand="0"/>
        </w:tblPrEx>
        <w:tc>
          <w:tcPr>
            <w:tcW w:w="1129" w:type="dxa"/>
            <w:shd w:val="clear" w:color="auto" w:fill="auto"/>
            <w:vAlign w:val="center"/>
          </w:tcPr>
          <w:p w14:paraId="6F9B0024"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2861534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Σύνθετες συμμετοχές σε μέσα AT1</w:t>
            </w:r>
          </w:p>
          <w:p w14:paraId="38C56BF1"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lastRenderedPageBreak/>
              <w:t xml:space="preserve">Άρθρο 9 παράγραφος 2 στοιχείο γ) του κανονισμού (ΕΕ) </w:t>
            </w:r>
            <w:r w:rsidRPr="00DE6689">
              <w:rPr>
                <w:rFonts w:ascii="Times New Roman" w:hAnsi="Times New Roman"/>
                <w:bCs/>
                <w:szCs w:val="22"/>
              </w:rPr>
              <w:t>2019/2033</w:t>
            </w:r>
            <w:r w:rsidRPr="00DE6689">
              <w:rPr>
                <w:rFonts w:ascii="Times New Roman" w:hAnsi="Times New Roman"/>
                <w:bCs/>
                <w:szCs w:val="22"/>
              </w:rPr>
              <w:t>.</w:t>
            </w:r>
          </w:p>
          <w:p w14:paraId="08CAD48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 xml:space="preserve">Άρθρο 56 στοιχείο α) του </w:t>
            </w:r>
            <w:r w:rsidRPr="00DE6689">
              <w:rPr>
                <w:rFonts w:ascii="Times New Roman" w:hAnsi="Times New Roman"/>
                <w:bCs/>
                <w:szCs w:val="22"/>
              </w:rPr>
              <w:t>κανονισμού (ΕΕ) αριθ. 575/2013.</w:t>
            </w:r>
          </w:p>
        </w:tc>
      </w:tr>
      <w:tr w:rsidR="00C24790" w:rsidRPr="00DE6689" w14:paraId="62C07426" w14:textId="77777777">
        <w:tblPrEx>
          <w:tblLook w:val="00A0" w:firstRow="1" w:lastRow="0" w:firstColumn="1" w:lastColumn="0" w:noHBand="0" w:noVBand="0"/>
        </w:tblPrEx>
        <w:tc>
          <w:tcPr>
            <w:tcW w:w="1129" w:type="dxa"/>
            <w:shd w:val="clear" w:color="auto" w:fill="auto"/>
            <w:vAlign w:val="center"/>
          </w:tcPr>
          <w:p w14:paraId="211A5E2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lastRenderedPageBreak/>
              <w:t>36</w:t>
            </w:r>
          </w:p>
        </w:tc>
        <w:tc>
          <w:tcPr>
            <w:tcW w:w="7683" w:type="dxa"/>
            <w:tcBorders>
              <w:top w:val="nil"/>
              <w:left w:val="single" w:sz="4" w:space="0" w:color="auto"/>
              <w:bottom w:val="single" w:sz="4" w:space="0" w:color="auto"/>
              <w:right w:val="single" w:sz="4" w:space="0" w:color="auto"/>
            </w:tcBorders>
            <w:shd w:val="clear" w:color="auto" w:fill="auto"/>
            <w:vAlign w:val="bottom"/>
          </w:tcPr>
          <w:p w14:paraId="0B99B67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Μέσα AT1 οντοτήτων του χρηματοπιστωτικού τομέα όπου το ίδρυμα δεν έχει σημαντική επένδυση</w:t>
            </w:r>
          </w:p>
          <w:p w14:paraId="22FA8A1E"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2 στοιχείο γ) του κανονισμού (ΕΕ) </w:t>
            </w:r>
            <w:r w:rsidRPr="00DE6689">
              <w:rPr>
                <w:rFonts w:ascii="Times New Roman" w:hAnsi="Times New Roman"/>
                <w:bCs/>
                <w:szCs w:val="22"/>
              </w:rPr>
              <w:t>2019/2033</w:t>
            </w:r>
            <w:r w:rsidRPr="00DE6689">
              <w:rPr>
                <w:rFonts w:ascii="Times New Roman" w:hAnsi="Times New Roman"/>
                <w:bCs/>
                <w:szCs w:val="22"/>
              </w:rPr>
              <w:t>.</w:t>
            </w:r>
          </w:p>
          <w:p w14:paraId="009156E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56 στοιχείο γ) του κανονισμού (ΕΕ) αριθ. 575/2013.</w:t>
            </w:r>
          </w:p>
        </w:tc>
      </w:tr>
      <w:tr w:rsidR="00C24790" w:rsidRPr="00DE6689" w14:paraId="75CFB9E4" w14:textId="77777777">
        <w:tblPrEx>
          <w:tblLook w:val="00A0" w:firstRow="1" w:lastRow="0" w:firstColumn="1" w:lastColumn="0" w:noHBand="0" w:noVBand="0"/>
        </w:tblPrEx>
        <w:tc>
          <w:tcPr>
            <w:tcW w:w="1129" w:type="dxa"/>
            <w:shd w:val="clear" w:color="auto" w:fill="auto"/>
            <w:vAlign w:val="center"/>
          </w:tcPr>
          <w:p w14:paraId="0C34BC89"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5E3193D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Μέσα AT1 οντοτήτων του χρηματοπιστωτικού τομέα όπου το ίδρυμα έχει σημαντική επένδυση</w:t>
            </w:r>
          </w:p>
          <w:p w14:paraId="2F0137D5"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2 στοιχείο γ) του κανονισμού (ΕΕ) </w:t>
            </w:r>
            <w:r w:rsidRPr="00DE6689">
              <w:rPr>
                <w:rFonts w:ascii="Times New Roman" w:hAnsi="Times New Roman"/>
                <w:bCs/>
                <w:szCs w:val="22"/>
              </w:rPr>
              <w:t>2019/2033</w:t>
            </w:r>
            <w:r w:rsidRPr="00DE6689">
              <w:rPr>
                <w:rFonts w:ascii="Times New Roman" w:hAnsi="Times New Roman"/>
                <w:bCs/>
                <w:szCs w:val="22"/>
              </w:rPr>
              <w:t>.</w:t>
            </w:r>
          </w:p>
          <w:p w14:paraId="5CC7BDF8"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56 στοιχείο δ) του κανονισμού (ΕΕ) αριθ. 575/2013.</w:t>
            </w:r>
          </w:p>
        </w:tc>
      </w:tr>
      <w:tr w:rsidR="00C24790" w:rsidRPr="00DE6689" w14:paraId="43CC9B8C" w14:textId="77777777">
        <w:tblPrEx>
          <w:tblLook w:val="00A0" w:firstRow="1" w:lastRow="0" w:firstColumn="1" w:lastColumn="0" w:noHBand="0" w:noVBand="0"/>
        </w:tblPrEx>
        <w:tc>
          <w:tcPr>
            <w:tcW w:w="1129" w:type="dxa"/>
            <w:shd w:val="clear" w:color="auto" w:fill="auto"/>
            <w:vAlign w:val="center"/>
          </w:tcPr>
          <w:p w14:paraId="3D1B6820" w14:textId="77777777" w:rsidR="00C24790" w:rsidRPr="00DE6689" w:rsidRDefault="00DE6689">
            <w:pPr>
              <w:spacing w:after="120"/>
              <w:jc w:val="both"/>
              <w:rPr>
                <w:rFonts w:ascii="Times New Roman" w:hAnsi="Times New Roman" w:cs="Times New Roman"/>
                <w:color w:val="000000"/>
                <w:szCs w:val="22"/>
              </w:rPr>
            </w:pPr>
            <w:r w:rsidRPr="00DE6689">
              <w:rPr>
                <w:rFonts w:ascii="Times New Roman" w:hAnsi="Times New Roman"/>
                <w:color w:val="000000"/>
                <w:szCs w:val="22"/>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5F7656AF"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Λοιπές αφαιρέσεις</w:t>
            </w:r>
          </w:p>
          <w:p w14:paraId="59E8673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Το άθροισμα όλων τω</w:t>
            </w:r>
            <w:r w:rsidRPr="00DE6689">
              <w:rPr>
                <w:rFonts w:ascii="Times New Roman" w:hAnsi="Times New Roman"/>
                <w:bCs/>
                <w:szCs w:val="22"/>
              </w:rPr>
              <w:t>ν λοιπών αφαιρέσεων σύμφωνα με το άρθρο 56 του κανονισμού (ΕΕ) αριθ. 575/2013, οι οποίες δεν περιλαμβάνονται σε καμία από τις ανωτέρω γραμμές.</w:t>
            </w:r>
          </w:p>
        </w:tc>
      </w:tr>
      <w:tr w:rsidR="00C24790" w:rsidRPr="00DE6689" w14:paraId="0FD1E4A0" w14:textId="77777777">
        <w:tblPrEx>
          <w:tblLook w:val="00A0" w:firstRow="1" w:lastRow="0" w:firstColumn="1" w:lastColumn="0" w:noHBand="0" w:noVBand="0"/>
        </w:tblPrEx>
        <w:tc>
          <w:tcPr>
            <w:tcW w:w="1129" w:type="dxa"/>
            <w:shd w:val="clear" w:color="auto" w:fill="auto"/>
            <w:vAlign w:val="center"/>
          </w:tcPr>
          <w:p w14:paraId="1B781949" w14:textId="77777777" w:rsidR="00C24790" w:rsidRPr="00DE6689" w:rsidRDefault="00DE6689">
            <w:pPr>
              <w:spacing w:after="120"/>
              <w:jc w:val="both"/>
              <w:rPr>
                <w:rFonts w:ascii="Times New Roman" w:hAnsi="Times New Roman" w:cs="Times New Roman"/>
                <w:color w:val="000000"/>
                <w:szCs w:val="22"/>
              </w:rPr>
            </w:pPr>
            <w:r w:rsidRPr="00DE6689">
              <w:rPr>
                <w:rFonts w:ascii="Times New Roman" w:hAnsi="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696ECDAC"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Πρόσθετα στοιχεία της κατηγορίας 1: Άλλα στοιχεία κεφαλαίου, αφαιρέσεις και προσαρμογές</w:t>
            </w:r>
          </w:p>
          <w:p w14:paraId="5AD53C9D"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Η γραμμή αυτή περιλαμ</w:t>
            </w:r>
            <w:r w:rsidRPr="00DE6689">
              <w:rPr>
                <w:rFonts w:ascii="Times New Roman" w:hAnsi="Times New Roman"/>
                <w:bCs/>
                <w:szCs w:val="22"/>
              </w:rPr>
              <w:t>βάνει το άθροισμα των ακόλουθων στοιχείων, ανάλογα με την περίπτωση:</w:t>
            </w:r>
          </w:p>
          <w:p w14:paraId="418339E9"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 xml:space="preserve">Μεταβατικές προσαρμογές λόγω αποδοχής του προϋφιστάμενου καθεστώτος όσον αφορά τα κεφαλαιακά μέσα AT1 [άρθρο 483 παράγραφοι 4 και 5, άρθρα 484 έως 487, άρθρα 489 και 491 του κανονισμού </w:t>
            </w:r>
            <w:r w:rsidRPr="00DE6689">
              <w:rPr>
                <w:rFonts w:ascii="Times New Roman" w:hAnsi="Times New Roman"/>
                <w:bCs/>
              </w:rPr>
              <w:t>(ΕΕ) αριθ. 575/2013].</w:t>
            </w:r>
          </w:p>
          <w:p w14:paraId="6251888B"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 xml:space="preserve">Μέσα που εκδίδονται από θυγατρικές και αναγνωρίζονται στο κεφάλαιο AT1 [άρθρα 83, 85 και 86 του κανονισμού (ΕΕ) αριθ. 575/2013]: άθροισμα όλων των ποσών του αποδεκτού κεφαλαίου Τ1 θυγατρικών που περιλαμβάνονται στα </w:t>
            </w:r>
            <w:r w:rsidRPr="00DE6689">
              <w:rPr>
                <w:rFonts w:ascii="Times New Roman" w:hAnsi="Times New Roman"/>
                <w:bCs/>
              </w:rPr>
              <w:t>ενοποιημένα κεφάλαια ΑΤ1, συμπεριλαμβανομένου επίσης του κεφαλαίου που εκδίδεται από οντότητα ειδικού σκοπού [άρθρο 83 του κανονισμού (ΕΕ) αριθ. 575/2013].</w:t>
            </w:r>
          </w:p>
          <w:p w14:paraId="6CF021B9"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Μεταβατικές προσαρμογές λόγω της πρόσθετης αναγνώρισης μέσων που εκδίδονται από θυγατρικές στο κεφ</w:t>
            </w:r>
            <w:r w:rsidRPr="00DE6689">
              <w:rPr>
                <w:rFonts w:ascii="Times New Roman" w:hAnsi="Times New Roman"/>
                <w:bCs/>
              </w:rPr>
              <w:t>άλαιο ΑΤ1 [άρθρο 480 του κανονισμού (ΕΕ) αριθ. 575/2013] και προσαρμογές στο αποδεκτό κεφάλαιο T1 που περιλαμβάνεται στο ενοποιημένο κεφάλαιο ΑΤ1 λόγω μεταβατικών διατάξεων.</w:t>
            </w:r>
          </w:p>
          <w:p w14:paraId="534A9F41"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Άλλες μεταβατικές προσαρμογές στο κεφάλαιο AT1 [άρθρα 472, 473α, 474, 475, 478 κ</w:t>
            </w:r>
            <w:r w:rsidRPr="00DE6689">
              <w:rPr>
                <w:rFonts w:ascii="Times New Roman" w:hAnsi="Times New Roman"/>
                <w:bCs/>
              </w:rPr>
              <w:t>αι 481 του κανονισμού (ΕΕ) αριθ. 575/2013]: προσαρμογές στις αφαιρέσεις λόγω μεταβατικών διατάξεων.</w:t>
            </w:r>
          </w:p>
          <w:p w14:paraId="70CC73ED"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 xml:space="preserve">Υπερβάλλον ποσό αφαίρεσης από στοιχεία ΑΤ1 επί κεφαλαίου ΑΤ1, που αφαιρείται από το κεφάλαιο CET1 σύμφωνα με το άρθρο 36 παράγραφος 1 στοιχείο ι) του </w:t>
            </w:r>
            <w:r w:rsidRPr="00DE6689">
              <w:rPr>
                <w:rFonts w:ascii="Times New Roman" w:hAnsi="Times New Roman"/>
                <w:bCs/>
              </w:rPr>
              <w:t>κανονισμού (ΕΕ) αριθ. 575/2013: τα πρόσθετα στοιχεία της κατηγορίας 1 δεν μπορούν να είναι αρνητικά, αλλά είναι πιθανό οι αφαιρέσεις από στοιχεία AT1 να υπερβαίνουν το ποσό των διαθέσιμων στοιχείων AT1. Όταν συμβαίνει αυτό, το εν λόγω στοιχείο αντιπροσωπεύ</w:t>
            </w:r>
            <w:r w:rsidRPr="00DE6689">
              <w:rPr>
                <w:rFonts w:ascii="Times New Roman" w:hAnsi="Times New Roman"/>
                <w:bCs/>
              </w:rPr>
              <w:t>ει το ποσό που απαιτείται για την αύξηση του ποσού που αναφέρεται στη γραμμή 28 στο μηδέν και ισούται με το αντίστροφο του υπερβάλλοντος ποσού των αφαιρέσεων από στοιχεία ΑΤ1 επί κεφαλαίου ΑΤ1 που περιλαμβάνονται, μεταξύ άλλων αφαιρέσεων, στη γραμμή 38.</w:t>
            </w:r>
          </w:p>
          <w:p w14:paraId="6E8839D7"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Άλλα στοιχεία κεφαλαίου AT1 ή αφαιρέσεις από στοιχείο του κεφαλαίου AT1 που δεν μπορούν να αναφερθούν σε καμία από τις γραμμές 29 έως 38.</w:t>
            </w:r>
          </w:p>
          <w:p w14:paraId="7B1FD8E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lastRenderedPageBreak/>
              <w:t>Η γραμμή αυτή δεν χρησιμοποιείται για να συμπεριληφθούν στον υπολογισμό των συντελεστών φερεγγυότητας στοιχεία κεφαλαί</w:t>
            </w:r>
            <w:r w:rsidRPr="00DE6689">
              <w:rPr>
                <w:rFonts w:ascii="Times New Roman" w:hAnsi="Times New Roman"/>
                <w:bCs/>
                <w:szCs w:val="22"/>
              </w:rPr>
              <w:t xml:space="preserve">ου ή αφαιρέσεις που δεν καλύπτονται από τον κανονισμό (ΕΕ) </w:t>
            </w:r>
            <w:r w:rsidRPr="00DE6689">
              <w:rPr>
                <w:rFonts w:ascii="Times New Roman" w:hAnsi="Times New Roman"/>
                <w:bCs/>
                <w:szCs w:val="22"/>
              </w:rPr>
              <w:t>2019/2033</w:t>
            </w:r>
            <w:r w:rsidRPr="00DE6689">
              <w:rPr>
                <w:rFonts w:ascii="Times New Roman" w:hAnsi="Times New Roman"/>
                <w:bCs/>
                <w:szCs w:val="22"/>
              </w:rPr>
              <w:t xml:space="preserve"> ή τον κανονισμό (ΕΕ) αριθ. 575/2013.</w:t>
            </w:r>
          </w:p>
        </w:tc>
      </w:tr>
      <w:tr w:rsidR="00C24790" w:rsidRPr="00DE6689" w14:paraId="5D8E4A4C" w14:textId="77777777">
        <w:tblPrEx>
          <w:tblLook w:val="00A0" w:firstRow="1" w:lastRow="0" w:firstColumn="1" w:lastColumn="0" w:noHBand="0" w:noVBand="0"/>
        </w:tblPrEx>
        <w:tc>
          <w:tcPr>
            <w:tcW w:w="1129" w:type="dxa"/>
            <w:shd w:val="clear" w:color="auto" w:fill="auto"/>
            <w:vAlign w:val="center"/>
          </w:tcPr>
          <w:p w14:paraId="023C9097"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lastRenderedPageBreak/>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6883A8C0"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ΚΕΦΑΛΑΙΟ ΤΗΣ ΚΑΤΗΓΟΡΙΑΣ 2</w:t>
            </w:r>
          </w:p>
          <w:p w14:paraId="1DEDBAED"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2 του κανονισμού (ΕΕ) </w:t>
            </w:r>
            <w:r w:rsidRPr="00DE6689">
              <w:rPr>
                <w:rFonts w:ascii="Times New Roman" w:hAnsi="Times New Roman"/>
                <w:bCs/>
                <w:szCs w:val="22"/>
              </w:rPr>
              <w:t>2019/2033</w:t>
            </w:r>
            <w:r w:rsidRPr="00DE6689">
              <w:rPr>
                <w:rFonts w:ascii="Times New Roman" w:hAnsi="Times New Roman"/>
                <w:bCs/>
                <w:szCs w:val="22"/>
              </w:rPr>
              <w:t>.</w:t>
            </w:r>
          </w:p>
          <w:p w14:paraId="4428D32A"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Άρθρο 71</w:t>
            </w:r>
            <w:r w:rsidRPr="00DE6689">
              <w:rPr>
                <w:rFonts w:ascii="Times New Roman" w:hAnsi="Times New Roman"/>
                <w:bCs/>
                <w:szCs w:val="22"/>
              </w:rPr>
              <w:t xml:space="preserve"> του</w:t>
            </w:r>
            <w:r w:rsidRPr="00DE6689">
              <w:rPr>
                <w:rStyle w:val="FormatvorlageInstructionsTabelleText"/>
                <w:rFonts w:ascii="Times New Roman" w:hAnsi="Times New Roman"/>
                <w:sz w:val="22"/>
                <w:szCs w:val="22"/>
              </w:rPr>
              <w:t xml:space="preserve"> κανονισμού (ΕΕ) αριθ. 575/2013.</w:t>
            </w:r>
          </w:p>
          <w:p w14:paraId="6D39CD8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Δημοσιοποιείται το συνο</w:t>
            </w:r>
            <w:r w:rsidRPr="00DE6689">
              <w:rPr>
                <w:rFonts w:ascii="Times New Roman" w:hAnsi="Times New Roman"/>
                <w:bCs/>
                <w:szCs w:val="22"/>
              </w:rPr>
              <w:t>λικό άθροισμα των γραμμών 41 έως 43 και 50.</w:t>
            </w:r>
          </w:p>
        </w:tc>
      </w:tr>
      <w:tr w:rsidR="00C24790" w:rsidRPr="00DE6689" w14:paraId="0DB9BAE8" w14:textId="77777777">
        <w:tblPrEx>
          <w:tblLook w:val="00A0" w:firstRow="1" w:lastRow="0" w:firstColumn="1" w:lastColumn="0" w:noHBand="0" w:noVBand="0"/>
        </w:tblPrEx>
        <w:tc>
          <w:tcPr>
            <w:tcW w:w="1129" w:type="dxa"/>
            <w:shd w:val="clear" w:color="auto" w:fill="auto"/>
            <w:vAlign w:val="center"/>
          </w:tcPr>
          <w:p w14:paraId="36C51D8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430993D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
                <w:bCs/>
                <w:szCs w:val="22"/>
                <w:u w:val="single"/>
              </w:rPr>
              <w:t>Πλήρως καταβεβλημένα, απευθείας εκδοθέντα κεφαλαιακά μέσα</w:t>
            </w:r>
          </w:p>
          <w:p w14:paraId="61786402"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62A18B93" w14:textId="77777777" w:rsidR="00C24790" w:rsidRPr="00DE6689" w:rsidRDefault="00DE6689">
            <w:pPr>
              <w:pStyle w:val="InstructionsText"/>
              <w:rPr>
                <w:rStyle w:val="FormatvorlageInstructionsTabelleText"/>
                <w:rFonts w:ascii="Times New Roman" w:eastAsiaTheme="minorHAnsi" w:hAnsi="Times New Roman"/>
                <w:bCs/>
                <w:sz w:val="22"/>
              </w:rPr>
            </w:pPr>
            <w:r w:rsidRPr="00DE6689">
              <w:rPr>
                <w:rStyle w:val="FormatvorlageInstructionsTabelleText"/>
                <w:rFonts w:ascii="Times New Roman" w:hAnsi="Times New Roman"/>
                <w:sz w:val="22"/>
              </w:rPr>
              <w:t>Άρθρο 62 στοιχείο α), άρθρα 63 και 65 του κανονισμού (ΕΕ) αριθ. 575/2013.</w:t>
            </w:r>
          </w:p>
          <w:p w14:paraId="6A7460F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 xml:space="preserve">Το προς </w:t>
            </w:r>
            <w:r w:rsidRPr="00DE6689">
              <w:rPr>
                <w:rStyle w:val="FormatvorlageInstructionsTabelleText"/>
                <w:rFonts w:ascii="Times New Roman" w:hAnsi="Times New Roman"/>
                <w:sz w:val="22"/>
                <w:szCs w:val="22"/>
              </w:rPr>
              <w:t>δημοσιοποίηση ποσό δεν περιλαμβάνει τη διαφορά από την έκδοση μετοχών υπέρ το άρτιο που αφορά τα μέσα.</w:t>
            </w:r>
          </w:p>
        </w:tc>
      </w:tr>
      <w:tr w:rsidR="00C24790" w:rsidRPr="00DE6689" w14:paraId="7D9E9564" w14:textId="77777777">
        <w:tblPrEx>
          <w:tblLook w:val="00A0" w:firstRow="1" w:lastRow="0" w:firstColumn="1" w:lastColumn="0" w:noHBand="0" w:noVBand="0"/>
        </w:tblPrEx>
        <w:tc>
          <w:tcPr>
            <w:tcW w:w="1129" w:type="dxa"/>
            <w:shd w:val="clear" w:color="auto" w:fill="auto"/>
            <w:vAlign w:val="center"/>
          </w:tcPr>
          <w:p w14:paraId="29440676"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31B8AED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Διαφορά από έκδοση μετοχών υπέρ το άρτιο</w:t>
            </w:r>
          </w:p>
          <w:p w14:paraId="15183D02"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5DE93377"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Άρθρο 62 στοιχείο β) και άρθρο 65 του </w:t>
            </w:r>
            <w:r w:rsidRPr="00DE6689">
              <w:rPr>
                <w:rStyle w:val="FormatvorlageInstructionsTabelleText"/>
                <w:rFonts w:ascii="Times New Roman" w:hAnsi="Times New Roman"/>
                <w:sz w:val="22"/>
              </w:rPr>
              <w:t>κανονισμού (ΕΕ) αριθ. 575/2013.</w:t>
            </w:r>
          </w:p>
          <w:p w14:paraId="56684FD8"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Ο όρος </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διαφορά από την έκδοση μετοχών υπέρ το άρτιο</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 xml:space="preserve"> έχει την ίδια έννοια με αυτήν του εφαρμοστέου λογιστικού προτύπου.</w:t>
            </w:r>
          </w:p>
          <w:p w14:paraId="7ACBF5B8" w14:textId="77777777" w:rsidR="00C24790" w:rsidRPr="00DE6689" w:rsidRDefault="00DE6689">
            <w:pPr>
              <w:pStyle w:val="InstructionsText"/>
            </w:pPr>
            <w:r w:rsidRPr="00DE6689">
              <w:rPr>
                <w:rStyle w:val="FormatvorlageInstructionsTabelleText"/>
                <w:rFonts w:ascii="Times New Roman" w:hAnsi="Times New Roman"/>
                <w:sz w:val="22"/>
              </w:rPr>
              <w:t xml:space="preserve">Το προς δημοσιοποίηση ποσό στο συγκεκριμένο στοιχείο είναι το μέρος που σχετίζεται με τα </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καταβεβλημένα</w:t>
            </w:r>
            <w:r w:rsidRPr="00DE6689">
              <w:rPr>
                <w:rStyle w:val="FormatvorlageInstructionsTabelleText"/>
                <w:rFonts w:ascii="Times New Roman" w:hAnsi="Times New Roman"/>
                <w:sz w:val="22"/>
              </w:rPr>
              <w:t xml:space="preserve"> κεφαλαιακά μέσα</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w:t>
            </w:r>
          </w:p>
        </w:tc>
      </w:tr>
      <w:tr w:rsidR="00C24790" w:rsidRPr="00DE6689" w14:paraId="0CBDDF3C" w14:textId="77777777">
        <w:tblPrEx>
          <w:tblLook w:val="00A0" w:firstRow="1" w:lastRow="0" w:firstColumn="1" w:lastColumn="0" w:noHBand="0" w:noVBand="0"/>
        </w:tblPrEx>
        <w:tc>
          <w:tcPr>
            <w:tcW w:w="1129" w:type="dxa"/>
            <w:shd w:val="clear" w:color="auto" w:fill="auto"/>
            <w:vAlign w:val="center"/>
          </w:tcPr>
          <w:p w14:paraId="47D61FC7"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7C8DF84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ΣΥΝΟΛΙΚΕΣ ΑΦΑΙΡΕΣΕΙΣ ΑΠΟ ΜΕΣΑ ΤΗΣ ΚΑΤΗΓΟΡΙΑΣ 2</w:t>
            </w:r>
          </w:p>
          <w:p w14:paraId="6D7A6D3E"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szCs w:val="22"/>
              </w:rPr>
              <w:t>Άρθρο 66 του κανονισμού (ΕΕ) αριθ. 575/2013.</w:t>
            </w:r>
          </w:p>
        </w:tc>
      </w:tr>
      <w:tr w:rsidR="00C24790" w:rsidRPr="00DE6689" w14:paraId="3FCD3FB3" w14:textId="77777777">
        <w:tblPrEx>
          <w:tblLook w:val="00A0" w:firstRow="1" w:lastRow="0" w:firstColumn="1" w:lastColumn="0" w:noHBand="0" w:noVBand="0"/>
        </w:tblPrEx>
        <w:tc>
          <w:tcPr>
            <w:tcW w:w="1129" w:type="dxa"/>
            <w:shd w:val="clear" w:color="auto" w:fill="auto"/>
            <w:vAlign w:val="center"/>
          </w:tcPr>
          <w:p w14:paraId="6B29B013"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3954BA58"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Ίδια μέσα T2</w:t>
            </w:r>
          </w:p>
          <w:p w14:paraId="027D9C1D"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27DAA55B"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63 στοιχείο β) σημείο</w:t>
            </w:r>
            <w:r w:rsidRPr="00DE6689">
              <w:rPr>
                <w:rStyle w:val="FormatvorlageInstructionsTabelleText"/>
                <w:rFonts w:ascii="Times New Roman" w:hAnsi="Times New Roman"/>
                <w:sz w:val="22"/>
              </w:rPr>
              <w:t xml:space="preserve"> i)</w:t>
            </w:r>
            <w:r w:rsidRPr="00DE6689">
              <w:rPr>
                <w:rStyle w:val="FormatvorlageInstructionsTabelleText"/>
                <w:rFonts w:ascii="Times New Roman" w:hAnsi="Times New Roman"/>
                <w:sz w:val="22"/>
              </w:rPr>
              <w:t xml:space="preserve">, άρθρο 66 </w:t>
            </w:r>
            <w:r w:rsidRPr="00DE6689">
              <w:rPr>
                <w:rStyle w:val="FormatvorlageInstructionsTabelleText"/>
                <w:rFonts w:ascii="Times New Roman" w:hAnsi="Times New Roman"/>
                <w:sz w:val="22"/>
              </w:rPr>
              <w:t>στοιχείο α) και άρθρο 67 του κανονισμού (ΕΕ) αριθ. 575/2013.</w:t>
            </w:r>
          </w:p>
          <w:p w14:paraId="0A065CF8"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Ίδια μέσα T2 που βρίσκονται στην κατοχή του αναφέροντος ιδρύματος ή ομίλου κατά την ημερομηνία υποβολής αναφοράς. Με την επιφύλαξη των εξαιρέσεων του άρθρου 67 του κανονισμού (ΕΕ) αριθ. 575/2013.</w:t>
            </w:r>
          </w:p>
          <w:p w14:paraId="31295675"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Οι τοποθετήσεις σε μετοχές που περιλαμβάνονται στα </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Κεφαλαιακά μέσα που δεν είναι επιλέξιμα</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 xml:space="preserve"> δεν δημοσιοποιούνται στη συγκεκριμένη γραμμή.</w:t>
            </w:r>
          </w:p>
          <w:p w14:paraId="19E6A178" w14:textId="77777777" w:rsidR="00C24790" w:rsidRPr="00DE6689" w:rsidRDefault="00DE6689">
            <w:pPr>
              <w:pStyle w:val="InstructionsText"/>
            </w:pPr>
            <w:r w:rsidRPr="00DE6689">
              <w:rPr>
                <w:rStyle w:val="FormatvorlageInstructionsTabelleText"/>
                <w:rFonts w:ascii="Times New Roman" w:hAnsi="Times New Roman"/>
                <w:sz w:val="22"/>
              </w:rPr>
              <w:t xml:space="preserve">Το προς δημοσιοποίηση ποσό περιλαμβάνει τη διαφορά από την έκδοση μετοχών υπέρ το άρτιο που αφορά τις ίδιες </w:t>
            </w:r>
            <w:r w:rsidRPr="00DE6689">
              <w:rPr>
                <w:rStyle w:val="FormatvorlageInstructionsTabelleText"/>
                <w:rFonts w:ascii="Times New Roman" w:hAnsi="Times New Roman"/>
                <w:sz w:val="22"/>
              </w:rPr>
              <w:t>μετοχές.</w:t>
            </w:r>
          </w:p>
        </w:tc>
      </w:tr>
      <w:tr w:rsidR="00C24790" w:rsidRPr="00DE6689" w14:paraId="476CF238" w14:textId="77777777">
        <w:tblPrEx>
          <w:tblLook w:val="00A0" w:firstRow="1" w:lastRow="0" w:firstColumn="1" w:lastColumn="0" w:noHBand="0" w:noVBand="0"/>
        </w:tblPrEx>
        <w:tc>
          <w:tcPr>
            <w:tcW w:w="1129" w:type="dxa"/>
            <w:shd w:val="clear" w:color="auto" w:fill="auto"/>
            <w:vAlign w:val="center"/>
          </w:tcPr>
          <w:p w14:paraId="40119E54"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7EF3D05B"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Άμεσες συμμετοχές σε μέσα T2</w:t>
            </w:r>
          </w:p>
          <w:p w14:paraId="6A8D3D13" w14:textId="77777777" w:rsidR="00C24790" w:rsidRPr="00DE6689" w:rsidRDefault="00DE6689">
            <w:pPr>
              <w:pStyle w:val="InstructionsText"/>
            </w:pPr>
            <w:r w:rsidRPr="00DE6689">
              <w:rPr>
                <w:rStyle w:val="FormatvorlageInstructionsTabelleText"/>
                <w:rFonts w:ascii="Times New Roman" w:hAnsi="Times New Roman"/>
                <w:sz w:val="22"/>
              </w:rPr>
              <w:t>Άρθρο 63 στοιχείο β), άρθρο 66 στοιχείο α) και άρθρο 67 του κανονισμού (ΕΕ) αριθ. 575/2013.</w:t>
            </w:r>
          </w:p>
        </w:tc>
      </w:tr>
      <w:tr w:rsidR="00C24790" w:rsidRPr="00DE6689" w14:paraId="27D98984" w14:textId="77777777">
        <w:tblPrEx>
          <w:tblLook w:val="00A0" w:firstRow="1" w:lastRow="0" w:firstColumn="1" w:lastColumn="0" w:noHBand="0" w:noVBand="0"/>
        </w:tblPrEx>
        <w:tc>
          <w:tcPr>
            <w:tcW w:w="1129" w:type="dxa"/>
            <w:shd w:val="clear" w:color="auto" w:fill="auto"/>
            <w:vAlign w:val="center"/>
          </w:tcPr>
          <w:p w14:paraId="399532E6"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2BCE7241"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Έμμεσες συμμετοχές σε μέσα T2</w:t>
            </w:r>
          </w:p>
          <w:p w14:paraId="2A01F32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 xml:space="preserve">Άρθρο 4 παράγραφος 1 σημείο 114, άρθρο 63 στοιχείο β), άρθρο 66 στοιχείο α) και </w:t>
            </w:r>
            <w:r w:rsidRPr="00DE6689">
              <w:rPr>
                <w:rStyle w:val="FormatvorlageInstructionsTabelleText"/>
                <w:rFonts w:ascii="Times New Roman" w:hAnsi="Times New Roman"/>
                <w:sz w:val="22"/>
                <w:szCs w:val="22"/>
              </w:rPr>
              <w:t>άρθρο 67 του κανονισμού (ΕΕ) αριθ. 575/2013.</w:t>
            </w:r>
          </w:p>
        </w:tc>
      </w:tr>
      <w:tr w:rsidR="00C24790" w:rsidRPr="00DE6689" w14:paraId="26D49244" w14:textId="77777777">
        <w:tblPrEx>
          <w:tblLook w:val="00A0" w:firstRow="1" w:lastRow="0" w:firstColumn="1" w:lastColumn="0" w:noHBand="0" w:noVBand="0"/>
        </w:tblPrEx>
        <w:tc>
          <w:tcPr>
            <w:tcW w:w="1129" w:type="dxa"/>
            <w:shd w:val="clear" w:color="auto" w:fill="auto"/>
            <w:vAlign w:val="center"/>
          </w:tcPr>
          <w:p w14:paraId="5F7D53D5"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14:paraId="66060C23"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Σύνθετες συμμετοχές σε μέσα T2</w:t>
            </w:r>
          </w:p>
          <w:p w14:paraId="110C7AE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Άρθρο 4 παράγραφος 1 σημείο 126, άρθρο 63 στοιχείο β), άρθρο 66 στοιχείο α) και άρθρο 67 του κανονισμού (ΕΕ) αριθ. 575/2013.</w:t>
            </w:r>
          </w:p>
        </w:tc>
      </w:tr>
      <w:tr w:rsidR="00C24790" w:rsidRPr="00DE6689" w14:paraId="0867973F" w14:textId="77777777">
        <w:tblPrEx>
          <w:tblLook w:val="00A0" w:firstRow="1" w:lastRow="0" w:firstColumn="1" w:lastColumn="0" w:noHBand="0" w:noVBand="0"/>
        </w:tblPrEx>
        <w:tc>
          <w:tcPr>
            <w:tcW w:w="1129" w:type="dxa"/>
            <w:shd w:val="clear" w:color="auto" w:fill="auto"/>
            <w:vAlign w:val="center"/>
          </w:tcPr>
          <w:p w14:paraId="43FC0F13"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14:paraId="37DB139C"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xml:space="preserve">(-) Μέσα T2 οντοτήτων του </w:t>
            </w:r>
            <w:r w:rsidRPr="00DE6689">
              <w:rPr>
                <w:rFonts w:ascii="Times New Roman" w:hAnsi="Times New Roman"/>
                <w:b/>
                <w:bCs/>
                <w:szCs w:val="22"/>
                <w:u w:val="single"/>
              </w:rPr>
              <w:t>χρηματοπιστωτικού τομέα όπου το ίδρυμα δεν έχει σημαντική επένδυση</w:t>
            </w:r>
          </w:p>
          <w:p w14:paraId="6A8C1AFD"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lastRenderedPageBreak/>
              <w:t xml:space="preserve">Άρθρο 9 παράγραφος 2 στοιχείο γ) του κανονισμού (ΕΕ) </w:t>
            </w:r>
            <w:r w:rsidRPr="00DE6689">
              <w:rPr>
                <w:rFonts w:ascii="Times New Roman" w:hAnsi="Times New Roman"/>
                <w:bCs/>
                <w:szCs w:val="22"/>
              </w:rPr>
              <w:t>2019/2033</w:t>
            </w:r>
            <w:r w:rsidRPr="00DE6689">
              <w:rPr>
                <w:rFonts w:ascii="Times New Roman" w:hAnsi="Times New Roman"/>
                <w:bCs/>
                <w:szCs w:val="22"/>
              </w:rPr>
              <w:t>.</w:t>
            </w:r>
          </w:p>
          <w:p w14:paraId="1BF45B84"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66 στοιχείο γ) του κανονισμού (ΕΕ) αριθ. 575/2013.</w:t>
            </w:r>
          </w:p>
        </w:tc>
      </w:tr>
      <w:tr w:rsidR="00C24790" w:rsidRPr="00DE6689" w14:paraId="0FF575B7" w14:textId="77777777">
        <w:tblPrEx>
          <w:tblLook w:val="00A0" w:firstRow="1" w:lastRow="0" w:firstColumn="1" w:lastColumn="0" w:noHBand="0" w:noVBand="0"/>
        </w:tblPrEx>
        <w:tc>
          <w:tcPr>
            <w:tcW w:w="1129" w:type="dxa"/>
            <w:tcBorders>
              <w:bottom w:val="single" w:sz="4" w:space="0" w:color="auto"/>
            </w:tcBorders>
            <w:shd w:val="clear" w:color="auto" w:fill="auto"/>
            <w:vAlign w:val="center"/>
          </w:tcPr>
          <w:p w14:paraId="0921F986"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lastRenderedPageBreak/>
              <w:t>49</w:t>
            </w:r>
          </w:p>
        </w:tc>
        <w:tc>
          <w:tcPr>
            <w:tcW w:w="7683" w:type="dxa"/>
            <w:tcBorders>
              <w:top w:val="nil"/>
              <w:left w:val="single" w:sz="4" w:space="0" w:color="auto"/>
              <w:bottom w:val="single" w:sz="4" w:space="0" w:color="auto"/>
              <w:right w:val="single" w:sz="4" w:space="0" w:color="auto"/>
            </w:tcBorders>
            <w:shd w:val="clear" w:color="auto" w:fill="auto"/>
            <w:vAlign w:val="bottom"/>
          </w:tcPr>
          <w:p w14:paraId="776E2E8B"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Μέσα T2 οντοτήτων του χρηματοπιστωτικού τομέα όπου το ίδρυμα</w:t>
            </w:r>
            <w:r w:rsidRPr="00DE6689">
              <w:rPr>
                <w:rFonts w:ascii="Times New Roman" w:hAnsi="Times New Roman"/>
                <w:b/>
                <w:bCs/>
                <w:szCs w:val="22"/>
                <w:u w:val="single"/>
              </w:rPr>
              <w:t xml:space="preserve"> έχει σημαντική επένδυση</w:t>
            </w:r>
          </w:p>
          <w:p w14:paraId="58FC726C"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4 παράγραφος 1 σημείο 27, άρθρο 66 στοιχείο δ), άρθρα 68, 69 και 79 του κανονισμού (ΕΕ) αριθ. 575/2013.</w:t>
            </w:r>
          </w:p>
          <w:p w14:paraId="67BE70AC"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Οι συμμετοχές του ιδρύματος σε μέσα Τ2 οντοτήτων του χρηματοπιστωτικού τομέα [όπως ορίζονται στο άρθρο 4 παράγραφος 1 σημ</w:t>
            </w:r>
            <w:r w:rsidRPr="00DE6689">
              <w:rPr>
                <w:rStyle w:val="FormatvorlageInstructionsTabelleText"/>
                <w:rFonts w:ascii="Times New Roman" w:hAnsi="Times New Roman"/>
                <w:sz w:val="22"/>
                <w:szCs w:val="22"/>
              </w:rPr>
              <w:t>είο 27 του κανονισμού (ΕΕ) αριθ. 575/2013] όπου η επιχείρηση επενδύσεων έχει σημαντική επένδυση, αφαιρούνται εντελώς.</w:t>
            </w:r>
          </w:p>
        </w:tc>
      </w:tr>
      <w:tr w:rsidR="00C24790" w:rsidRPr="00DE6689" w14:paraId="688E166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6B1B14A" w14:textId="77777777" w:rsidR="00C24790" w:rsidRPr="00DE6689" w:rsidRDefault="00DE6689">
            <w:pPr>
              <w:spacing w:after="120"/>
              <w:jc w:val="both"/>
              <w:rPr>
                <w:rFonts w:ascii="Times New Roman" w:hAnsi="Times New Roman" w:cs="Times New Roman"/>
                <w:color w:val="000000"/>
                <w:szCs w:val="22"/>
              </w:rPr>
            </w:pPr>
            <w:r w:rsidRPr="00DE6689">
              <w:rPr>
                <w:rFonts w:ascii="Times New Roman" w:hAnsi="Times New Roman"/>
                <w:color w:val="000000"/>
                <w:szCs w:val="22"/>
              </w:rPr>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9EB4C7B"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Στοιχεία της κατηγορίας 2: Άλλα στοιχεία κεφαλαίου, αφαιρέσεις και προσαρμογές</w:t>
            </w:r>
          </w:p>
          <w:p w14:paraId="52E1FA67"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Η γραμμή αυτή περιλαμβάνει το άθροισμα των </w:t>
            </w:r>
            <w:r w:rsidRPr="00DE6689">
              <w:rPr>
                <w:rFonts w:ascii="Times New Roman" w:hAnsi="Times New Roman"/>
                <w:bCs/>
                <w:szCs w:val="22"/>
              </w:rPr>
              <w:t>ακόλουθων στοιχείων, ανάλογα με την περίπτωση:</w:t>
            </w:r>
          </w:p>
          <w:p w14:paraId="425014AA"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 xml:space="preserve">Μεταβατικές προσαρμογές λόγω αποδοχής του προϋφιστάμενου καθεστώτος όσον αφορά τα κεφαλαιακά μέσα T2 [άρθρο 483 παράγραφοι 6 και 7, άρθρα 484, 486, 488, 490 και 491 του κανονισμού (ΕΕ) αριθ. </w:t>
            </w:r>
            <w:r w:rsidRPr="00DE6689">
              <w:rPr>
                <w:rFonts w:ascii="Times New Roman" w:hAnsi="Times New Roman"/>
                <w:bCs/>
              </w:rPr>
              <w:t>575/2013].</w:t>
            </w:r>
          </w:p>
          <w:p w14:paraId="15359008"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Μέσα που εκδίδονται από θυγατρικές και αναγνωρίζονται στο κεφάλαιο T2 [άρθρα 83, 87 και 88 του κανονισμού (ΕΕ) αριθ. 575/2013]: άθροισμα όλων των ποσών των αποδεκτών ιδίων κεφαλαίων θυγατρικών που περιλαμβάνονται στο ενοποιημένο κεφάλαιο T2, σ</w:t>
            </w:r>
            <w:r w:rsidRPr="00DE6689">
              <w:rPr>
                <w:rFonts w:ascii="Times New Roman" w:hAnsi="Times New Roman"/>
                <w:bCs/>
              </w:rPr>
              <w:t>υμπεριλαμβανομένου επίσης του αποδεκτού κεφαλαίου της κατηγορίας 2 που εκδίδεται από οντότητα ειδικού σκοπού [άρθρο 83 του κανονισμού (ΕΕ) αριθ. 575/2013].</w:t>
            </w:r>
          </w:p>
          <w:p w14:paraId="42E34751"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Μεταβατικές προσαρμογές λόγω πρόσθετης αναγνώρισης στο κεφάλαιο T2 μέσων που εκδίδονται από θυγατρ</w:t>
            </w:r>
            <w:r w:rsidRPr="00DE6689">
              <w:rPr>
                <w:rFonts w:ascii="Times New Roman" w:hAnsi="Times New Roman"/>
                <w:bCs/>
              </w:rPr>
              <w:t>ικές [άρθρο 480 του κανονισμού (ΕΕ) αριθ. 575/2013]: Προσαρμογές στα αποδεκτά ίδια κεφάλαια που περιλαμβάνονται στα ενοποιημένα κεφάλαια Τ2 λόγω μεταβατικών διατάξεων.</w:t>
            </w:r>
          </w:p>
          <w:p w14:paraId="2433C20C"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 xml:space="preserve">Άλλες μεταβατικές προσαρμογές στο κεφάλαιο T2 [άρθρα 472, 473α, 476, 477, 478 και 481 </w:t>
            </w:r>
            <w:r w:rsidRPr="00DE6689">
              <w:rPr>
                <w:rFonts w:ascii="Times New Roman" w:hAnsi="Times New Roman"/>
                <w:bCs/>
              </w:rPr>
              <w:t>του κανονισμού (ΕΕ) αριθ. 575/2013]: προσαρμογές στις αφαιρέσεις από το κεφάλαιο της κατηγορίας 2 λόγω μεταβατικών διατάξεων.</w:t>
            </w:r>
          </w:p>
          <w:p w14:paraId="70A8151B"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Υπερβάλλον ποσό αφαίρεσης από στοιχεία Τ2 επί κεφαλαίου Τ2, που αφαιρείται από το κεφάλαιο ΑΤ1 σύμφωνα με το άρθρο 56 στοιχείο ε</w:t>
            </w:r>
            <w:r w:rsidRPr="00DE6689">
              <w:rPr>
                <w:rFonts w:ascii="Times New Roman" w:hAnsi="Times New Roman"/>
                <w:bCs/>
              </w:rPr>
              <w:t>) του κανονισμού (ΕΕ) αριθ. 575/2013: τα στοιχεία της κατηγορίας 2 δεν μπορούν να είναι αρνητικά, αλλά είναι πιθανό οι αφαιρέσεις από στοιχεία T2 να υπερβαίνουν το ποσό των διαθέσιμων στοιχείων T2. Όταν συμβαίνει αυτό, το εν λόγω στοιχείο αντιπροσωπεύει το</w:t>
            </w:r>
            <w:r w:rsidRPr="00DE6689">
              <w:rPr>
                <w:rFonts w:ascii="Times New Roman" w:hAnsi="Times New Roman"/>
                <w:bCs/>
              </w:rPr>
              <w:t xml:space="preserve"> ποσό που απαιτείται για την αύξηση του ποσού που αναφέρεται στη γραμμή 40 στο μηδέν.</w:t>
            </w:r>
          </w:p>
          <w:p w14:paraId="7B3EA956"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Άλλα στοιχεία κεφαλαίου T2 ή αφαιρέσεις από στοιχείο του κεφαλαίου T2 που δεν μπορούν να αναφερθούν σε καμία από τις γραμμές 41 έως 49.</w:t>
            </w:r>
          </w:p>
          <w:p w14:paraId="2DF34440"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Η γραμμή αυτή δεν χρησιμοποιείτα</w:t>
            </w:r>
            <w:r w:rsidRPr="00DE6689">
              <w:rPr>
                <w:rFonts w:ascii="Times New Roman" w:hAnsi="Times New Roman"/>
                <w:bCs/>
                <w:szCs w:val="22"/>
              </w:rPr>
              <w:t xml:space="preserve">ι για να συμπεριληφθούν στον υπολογισμό των συντελεστών φερεγγυότητας στοιχεία κεφαλαίου ή αφαιρέσεις που δεν καλύπτονται από τον κανονισμό (ΕΕ) </w:t>
            </w:r>
            <w:r w:rsidRPr="00DE6689">
              <w:rPr>
                <w:rFonts w:ascii="Times New Roman" w:hAnsi="Times New Roman"/>
                <w:bCs/>
                <w:szCs w:val="22"/>
              </w:rPr>
              <w:t>2019/2033</w:t>
            </w:r>
            <w:r w:rsidRPr="00DE6689">
              <w:rPr>
                <w:rFonts w:ascii="Times New Roman" w:hAnsi="Times New Roman"/>
                <w:bCs/>
                <w:szCs w:val="22"/>
              </w:rPr>
              <w:t xml:space="preserve"> ή τον κανονισμό (ΕΕ) αριθ. 575/2013.</w:t>
            </w:r>
          </w:p>
        </w:tc>
      </w:tr>
    </w:tbl>
    <w:p w14:paraId="2DFE4E60" w14:textId="77777777" w:rsidR="00C24790" w:rsidRPr="00DE6689" w:rsidRDefault="00C24790">
      <w:pPr>
        <w:spacing w:before="120" w:after="120"/>
        <w:jc w:val="both"/>
        <w:rPr>
          <w:rFonts w:ascii="Times New Roman" w:hAnsi="Times New Roman" w:cs="Times New Roman"/>
          <w:bCs/>
          <w:sz w:val="24"/>
          <w:lang w:val="en-IE"/>
        </w:rPr>
      </w:pPr>
    </w:p>
    <w:p w14:paraId="1011945E" w14:textId="77777777" w:rsidR="00C24790" w:rsidRPr="00DE6689" w:rsidRDefault="00DE6689">
      <w:pPr>
        <w:ind w:left="720"/>
        <w:rPr>
          <w:rFonts w:ascii="Times New Roman" w:hAnsi="Times New Roman" w:cs="Times New Roman"/>
          <w:b/>
          <w:bCs/>
          <w:sz w:val="24"/>
        </w:rPr>
      </w:pPr>
      <w:r w:rsidRPr="00DE6689">
        <w:rPr>
          <w:rFonts w:ascii="Times New Roman" w:hAnsi="Times New Roman"/>
          <w:b/>
          <w:bCs/>
          <w:sz w:val="24"/>
        </w:rPr>
        <w:t>Υπόδειγμα EU I CC</w:t>
      </w:r>
      <w:r w:rsidRPr="00DE6689">
        <w:rPr>
          <w:rFonts w:ascii="Times New Roman" w:hAnsi="Times New Roman"/>
          <w:b/>
          <w:bCs/>
          <w:sz w:val="24"/>
        </w:rPr>
        <w:t>1.02</w:t>
      </w:r>
      <w:r w:rsidRPr="00DE6689">
        <w:rPr>
          <w:rFonts w:ascii="Times New Roman" w:hAnsi="Times New Roman"/>
          <w:b/>
          <w:bCs/>
          <w:sz w:val="24"/>
        </w:rPr>
        <w:t xml:space="preserve"> — Σύνθεση των κανονιστικών ιδίων κεφαλαίων (μικρές και μη διασυνδεδεμένες επιχειρήσεις επενδύσεων)</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C24790" w:rsidRPr="00DE6689" w14:paraId="7087F326" w14:textId="77777777">
        <w:trPr>
          <w:trHeight w:val="395"/>
        </w:trPr>
        <w:tc>
          <w:tcPr>
            <w:tcW w:w="8812" w:type="dxa"/>
            <w:gridSpan w:val="2"/>
            <w:shd w:val="clear" w:color="auto" w:fill="D9D9D9" w:themeFill="background1" w:themeFillShade="D9"/>
          </w:tcPr>
          <w:p w14:paraId="0D758550" w14:textId="77777777" w:rsidR="00C24790" w:rsidRPr="00DE6689" w:rsidRDefault="00DE6689">
            <w:pPr>
              <w:pStyle w:val="TableTitle"/>
              <w:spacing w:before="0" w:after="0"/>
              <w:jc w:val="left"/>
              <w:rPr>
                <w:rFonts w:ascii="Times New Roman" w:hAnsi="Times New Roman"/>
                <w:szCs w:val="22"/>
              </w:rPr>
            </w:pPr>
            <w:r w:rsidRPr="00DE6689">
              <w:rPr>
                <w:rFonts w:ascii="Times New Roman" w:hAnsi="Times New Roman"/>
                <w:szCs w:val="22"/>
              </w:rPr>
              <w:t>Νομικά κείμενα αναφοράς και οδηγίες</w:t>
            </w:r>
          </w:p>
        </w:tc>
      </w:tr>
      <w:tr w:rsidR="00C24790" w:rsidRPr="00DE6689" w14:paraId="0D90AC1C" w14:textId="77777777">
        <w:tblPrEx>
          <w:tblLook w:val="00A0" w:firstRow="1" w:lastRow="0" w:firstColumn="1" w:lastColumn="0" w:noHBand="0" w:noVBand="0"/>
        </w:tblPrEx>
        <w:tc>
          <w:tcPr>
            <w:tcW w:w="1129" w:type="dxa"/>
            <w:tcBorders>
              <w:bottom w:val="single" w:sz="4" w:space="0" w:color="auto"/>
            </w:tcBorders>
            <w:shd w:val="clear" w:color="auto" w:fill="D9D9D9"/>
          </w:tcPr>
          <w:p w14:paraId="2A87F5A3"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szCs w:val="22"/>
              </w:rPr>
              <w:t>Γραμμή</w:t>
            </w:r>
          </w:p>
        </w:tc>
        <w:tc>
          <w:tcPr>
            <w:tcW w:w="7683" w:type="dxa"/>
            <w:tcBorders>
              <w:bottom w:val="single" w:sz="4" w:space="0" w:color="auto"/>
            </w:tcBorders>
            <w:shd w:val="clear" w:color="auto" w:fill="D9D9D9"/>
          </w:tcPr>
          <w:p w14:paraId="3CE7395E"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szCs w:val="22"/>
              </w:rPr>
              <w:t>Νομικά κείμενα αναφοράς και οδηγίες</w:t>
            </w:r>
          </w:p>
        </w:tc>
      </w:tr>
      <w:tr w:rsidR="00C24790" w:rsidRPr="00DE6689" w14:paraId="4396000F" w14:textId="77777777">
        <w:tblPrEx>
          <w:tblLook w:val="00A0" w:firstRow="1" w:lastRow="0" w:firstColumn="1" w:lastColumn="0" w:noHBand="0" w:noVBand="0"/>
        </w:tblPrEx>
        <w:tc>
          <w:tcPr>
            <w:tcW w:w="1129" w:type="dxa"/>
            <w:shd w:val="clear" w:color="auto" w:fill="auto"/>
            <w:vAlign w:val="center"/>
          </w:tcPr>
          <w:p w14:paraId="0227634D"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lastRenderedPageBreak/>
              <w:t>1</w:t>
            </w:r>
          </w:p>
        </w:tc>
        <w:tc>
          <w:tcPr>
            <w:tcW w:w="7683" w:type="dxa"/>
            <w:shd w:val="clear" w:color="auto" w:fill="auto"/>
          </w:tcPr>
          <w:p w14:paraId="3C192C22"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Ίδια κεφάλαια</w:t>
            </w:r>
          </w:p>
          <w:p w14:paraId="2CBEDFC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1 του κανονισμού (ΕΕ) </w:t>
            </w:r>
            <w:r w:rsidRPr="00DE6689">
              <w:rPr>
                <w:rFonts w:ascii="Times New Roman" w:hAnsi="Times New Roman"/>
                <w:bCs/>
                <w:szCs w:val="22"/>
              </w:rPr>
              <w:t>2019/2033</w:t>
            </w:r>
            <w:r w:rsidRPr="00DE6689">
              <w:rPr>
                <w:rFonts w:ascii="Times New Roman" w:hAnsi="Times New Roman"/>
                <w:bCs/>
                <w:szCs w:val="22"/>
              </w:rPr>
              <w:t>.</w:t>
            </w:r>
          </w:p>
          <w:p w14:paraId="319CCF4F"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Τα ίδια κεφάλαια μιας επιχείρησης επενδύσεων απαρτίζονται από το άθροισμα του κεφαλαίου κοινών μετοχών της κατηγορίας 1, του πρόσθετου κεφαλαίου της κατηγορίας 1 και του κεφαλαίου της κατηγορίας 2.</w:t>
            </w:r>
          </w:p>
          <w:p w14:paraId="67C9CBA2"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Δημοσι</w:t>
            </w:r>
            <w:r w:rsidRPr="00DE6689">
              <w:rPr>
                <w:rFonts w:ascii="Times New Roman" w:hAnsi="Times New Roman"/>
                <w:bCs/>
                <w:szCs w:val="22"/>
              </w:rPr>
              <w:t>οποιείται το συνολικό άθροισμα της γραμμής 2 και 25.</w:t>
            </w:r>
          </w:p>
        </w:tc>
      </w:tr>
      <w:tr w:rsidR="00C24790" w:rsidRPr="00DE6689" w14:paraId="158A394A" w14:textId="77777777">
        <w:tblPrEx>
          <w:tblLook w:val="00A0" w:firstRow="1" w:lastRow="0" w:firstColumn="1" w:lastColumn="0" w:noHBand="0" w:noVBand="0"/>
        </w:tblPrEx>
        <w:tc>
          <w:tcPr>
            <w:tcW w:w="1129" w:type="dxa"/>
            <w:shd w:val="clear" w:color="auto" w:fill="auto"/>
            <w:vAlign w:val="center"/>
          </w:tcPr>
          <w:p w14:paraId="6C8D231A"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w:t>
            </w:r>
          </w:p>
        </w:tc>
        <w:tc>
          <w:tcPr>
            <w:tcW w:w="7683" w:type="dxa"/>
            <w:shd w:val="clear" w:color="auto" w:fill="auto"/>
          </w:tcPr>
          <w:p w14:paraId="7D888C9C"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Κεφάλαιο της κατηγορίας 1</w:t>
            </w:r>
          </w:p>
          <w:p w14:paraId="7A8739B9"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Το κεφάλαιο της κατηγορίας 1 είναι το άθροισμα του κεφαλαίου κοινών μετοχών της κατηγορίας 1 και του πρόσθετου κεφαλαίου της κατηγορίας 1.</w:t>
            </w:r>
          </w:p>
          <w:p w14:paraId="30BE748E"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 xml:space="preserve">Δημοσιοποιείται το συνολικό </w:t>
            </w:r>
            <w:r w:rsidRPr="00DE6689">
              <w:rPr>
                <w:rFonts w:ascii="Times New Roman" w:hAnsi="Times New Roman"/>
                <w:bCs/>
                <w:szCs w:val="22"/>
              </w:rPr>
              <w:t>άθροισμα της γραμμής 3 και 20.</w:t>
            </w:r>
          </w:p>
        </w:tc>
      </w:tr>
      <w:tr w:rsidR="00C24790" w:rsidRPr="00DE6689" w14:paraId="1ACE80F7" w14:textId="77777777">
        <w:tblPrEx>
          <w:tblLook w:val="00A0" w:firstRow="1" w:lastRow="0" w:firstColumn="1" w:lastColumn="0" w:noHBand="0" w:noVBand="0"/>
        </w:tblPrEx>
        <w:tc>
          <w:tcPr>
            <w:tcW w:w="1129" w:type="dxa"/>
            <w:shd w:val="clear" w:color="auto" w:fill="auto"/>
            <w:vAlign w:val="center"/>
          </w:tcPr>
          <w:p w14:paraId="72C48D38"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3</w:t>
            </w:r>
          </w:p>
        </w:tc>
        <w:tc>
          <w:tcPr>
            <w:tcW w:w="7683" w:type="dxa"/>
            <w:shd w:val="clear" w:color="auto" w:fill="auto"/>
          </w:tcPr>
          <w:p w14:paraId="796A862A"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InstructionsTabelleberschrift"/>
                <w:rFonts w:ascii="Times New Roman" w:hAnsi="Times New Roman"/>
                <w:sz w:val="22"/>
                <w:szCs w:val="22"/>
              </w:rPr>
              <w:t>Κεφάλαιο κοινών μετοχών της κατηγορίας 1</w:t>
            </w:r>
          </w:p>
          <w:p w14:paraId="06A9FDF6"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1 του κανονισμού (ΕΕ) </w:t>
            </w:r>
            <w:r w:rsidRPr="00DE6689">
              <w:rPr>
                <w:rFonts w:ascii="Times New Roman" w:hAnsi="Times New Roman"/>
                <w:bCs/>
                <w:szCs w:val="22"/>
              </w:rPr>
              <w:t>2019/2033</w:t>
            </w:r>
            <w:r w:rsidRPr="00DE6689">
              <w:rPr>
                <w:rFonts w:ascii="Times New Roman" w:hAnsi="Times New Roman"/>
                <w:bCs/>
                <w:szCs w:val="22"/>
              </w:rPr>
              <w:t>.</w:t>
            </w:r>
          </w:p>
          <w:p w14:paraId="42806DDB"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Άρθρο 50 του κανονισμού (ΕΕ) αριθ. 575/2013.</w:t>
            </w:r>
          </w:p>
          <w:p w14:paraId="540339D5"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Δημοσιοποιείται το συνολικό άθροισμα των γραμμών 4 έως 11 και 19.</w:t>
            </w:r>
          </w:p>
        </w:tc>
      </w:tr>
      <w:tr w:rsidR="00C24790" w:rsidRPr="00DE6689" w14:paraId="1F8BEE6E" w14:textId="77777777">
        <w:tblPrEx>
          <w:tblLook w:val="00A0" w:firstRow="1" w:lastRow="0" w:firstColumn="1" w:lastColumn="0" w:noHBand="0" w:noVBand="0"/>
        </w:tblPrEx>
        <w:tc>
          <w:tcPr>
            <w:tcW w:w="1129" w:type="dxa"/>
            <w:shd w:val="clear" w:color="auto" w:fill="auto"/>
            <w:vAlign w:val="center"/>
          </w:tcPr>
          <w:p w14:paraId="7F363C5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4</w:t>
            </w:r>
          </w:p>
        </w:tc>
        <w:tc>
          <w:tcPr>
            <w:tcW w:w="7683" w:type="dxa"/>
            <w:shd w:val="clear" w:color="auto" w:fill="auto"/>
          </w:tcPr>
          <w:p w14:paraId="5EB7150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
                <w:bCs/>
                <w:szCs w:val="22"/>
                <w:u w:val="single"/>
              </w:rPr>
              <w:t>Πλήρως καταβεβλ</w:t>
            </w:r>
            <w:r w:rsidRPr="00DE6689">
              <w:rPr>
                <w:rFonts w:ascii="Times New Roman" w:hAnsi="Times New Roman"/>
                <w:b/>
                <w:bCs/>
                <w:szCs w:val="22"/>
                <w:u w:val="single"/>
              </w:rPr>
              <w:t>ημένα κεφαλαιακά μέσα</w:t>
            </w:r>
          </w:p>
          <w:p w14:paraId="30AD9105"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0DA13580"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26 παράγραφος 1 στοιχείο α) και άρθρα 27 έως 31 του κανονισμού (ΕΕ) αριθ. 575/2013.</w:t>
            </w:r>
          </w:p>
          <w:p w14:paraId="7C8E2A51"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Περιλαμβάνονται κεφαλαιακά μέσα αλληλασφαλιστικών ενώσεων, συνεταιριστικών εταιρει</w:t>
            </w:r>
            <w:r w:rsidRPr="00DE6689">
              <w:rPr>
                <w:rStyle w:val="FormatvorlageInstructionsTabelleText"/>
                <w:rFonts w:ascii="Times New Roman" w:hAnsi="Times New Roman"/>
                <w:sz w:val="22"/>
              </w:rPr>
              <w:t>ών ή παρόμοιων ιδρυμάτων [άρθρα 27 και 29 του κανονισμού (ΕΕ) αριθ. 575/2013].</w:t>
            </w:r>
          </w:p>
          <w:p w14:paraId="74FA55D1"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Δεν περιλαμβάνεται η διαφορά από την έκδοση μετοχών υπέρ το άρτιο που αφορά τα μέσα.</w:t>
            </w:r>
          </w:p>
          <w:p w14:paraId="42BB1E73" w14:textId="77777777" w:rsidR="00C24790" w:rsidRPr="00DE6689" w:rsidRDefault="00DE6689">
            <w:pPr>
              <w:pStyle w:val="InstructionsText"/>
            </w:pPr>
            <w:r w:rsidRPr="00DE6689">
              <w:rPr>
                <w:rStyle w:val="FormatvorlageInstructionsTabelleText"/>
                <w:rFonts w:ascii="Times New Roman" w:hAnsi="Times New Roman"/>
                <w:sz w:val="22"/>
              </w:rPr>
              <w:t xml:space="preserve">Κεφαλαιακά μέσα που αναλαμβάνονται από δημόσιες αρχές σε καταστάσεις έκτακτης ανάγκης </w:t>
            </w:r>
            <w:r w:rsidRPr="00DE6689">
              <w:rPr>
                <w:rStyle w:val="FormatvorlageInstructionsTabelleText"/>
                <w:rFonts w:ascii="Times New Roman" w:hAnsi="Times New Roman"/>
                <w:sz w:val="22"/>
              </w:rPr>
              <w:t>περιλαμβάνονται, εάν συντρέχουν όλες οι προϋποθέσεις του άρθρου 31 του κανονισμού (ΕΕ) αριθ. 575/2013.</w:t>
            </w:r>
          </w:p>
        </w:tc>
      </w:tr>
      <w:tr w:rsidR="00C24790" w:rsidRPr="00DE6689" w14:paraId="254AB0E7" w14:textId="77777777">
        <w:tblPrEx>
          <w:tblLook w:val="00A0" w:firstRow="1" w:lastRow="0" w:firstColumn="1" w:lastColumn="0" w:noHBand="0" w:noVBand="0"/>
        </w:tblPrEx>
        <w:tc>
          <w:tcPr>
            <w:tcW w:w="1129" w:type="dxa"/>
            <w:shd w:val="clear" w:color="auto" w:fill="auto"/>
            <w:vAlign w:val="center"/>
          </w:tcPr>
          <w:p w14:paraId="5646C4D5"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5</w:t>
            </w:r>
          </w:p>
        </w:tc>
        <w:tc>
          <w:tcPr>
            <w:tcW w:w="7683" w:type="dxa"/>
            <w:shd w:val="clear" w:color="auto" w:fill="auto"/>
          </w:tcPr>
          <w:p w14:paraId="73F9F52B"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Διαφορά από έκδοση μετοχών υπέρ το άρτιο</w:t>
            </w:r>
          </w:p>
          <w:p w14:paraId="573F720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38053BBF"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Άρθρο 26 παράγραφος 1 στοιχείο β) του κανονισμο</w:t>
            </w:r>
            <w:r w:rsidRPr="00DE6689">
              <w:rPr>
                <w:rStyle w:val="FormatvorlageInstructionsTabelleText"/>
                <w:rFonts w:ascii="Times New Roman" w:hAnsi="Times New Roman"/>
                <w:sz w:val="22"/>
                <w:szCs w:val="22"/>
              </w:rPr>
              <w:t>ύ (ΕΕ) αριθ. 575/2013.</w:t>
            </w:r>
          </w:p>
          <w:p w14:paraId="3BD1EEBF"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Ο όρος </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διαφορά από την έκδοση μετοχών υπέρ το άρτιο</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 xml:space="preserve"> έχει την ίδια έννοια με αυτήν του εφαρμοστέου λογιστικού προτύπου.</w:t>
            </w:r>
          </w:p>
          <w:p w14:paraId="7FC0DF7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 xml:space="preserve">Το προς δημοσιοποίηση ποσό στο συγκεκριμένο στοιχείο είναι το μέρος που σχετίζεται με τα </w:t>
            </w:r>
            <w:r w:rsidRPr="00DE6689">
              <w:rPr>
                <w:rStyle w:val="FormatvorlageInstructionsTabelleText"/>
                <w:rFonts w:ascii="Times New Roman" w:hAnsi="Times New Roman"/>
                <w:sz w:val="22"/>
                <w:szCs w:val="22"/>
              </w:rPr>
              <w:t>«</w:t>
            </w:r>
            <w:r w:rsidRPr="00DE6689">
              <w:rPr>
                <w:rStyle w:val="FormatvorlageInstructionsTabelleText"/>
                <w:rFonts w:ascii="Times New Roman" w:hAnsi="Times New Roman"/>
                <w:sz w:val="22"/>
                <w:szCs w:val="22"/>
              </w:rPr>
              <w:t>καταβεβλημένα κεφαλαια</w:t>
            </w:r>
            <w:r w:rsidRPr="00DE6689">
              <w:rPr>
                <w:rStyle w:val="FormatvorlageInstructionsTabelleText"/>
                <w:rFonts w:ascii="Times New Roman" w:hAnsi="Times New Roman"/>
                <w:sz w:val="22"/>
                <w:szCs w:val="22"/>
              </w:rPr>
              <w:t>κά μέσα</w:t>
            </w:r>
            <w:r w:rsidRPr="00DE6689">
              <w:rPr>
                <w:rStyle w:val="FormatvorlageInstructionsTabelleText"/>
                <w:rFonts w:ascii="Times New Roman" w:hAnsi="Times New Roman"/>
                <w:sz w:val="22"/>
                <w:szCs w:val="22"/>
              </w:rPr>
              <w:t>»</w:t>
            </w:r>
            <w:r w:rsidRPr="00DE6689">
              <w:rPr>
                <w:rStyle w:val="FormatvorlageInstructionsTabelleText"/>
                <w:rFonts w:ascii="Times New Roman" w:hAnsi="Times New Roman"/>
                <w:sz w:val="22"/>
                <w:szCs w:val="22"/>
              </w:rPr>
              <w:t>.</w:t>
            </w:r>
          </w:p>
        </w:tc>
      </w:tr>
      <w:tr w:rsidR="00C24790" w:rsidRPr="00DE6689" w14:paraId="32BAD950" w14:textId="77777777">
        <w:tblPrEx>
          <w:tblLook w:val="00A0" w:firstRow="1" w:lastRow="0" w:firstColumn="1" w:lastColumn="0" w:noHBand="0" w:noVBand="0"/>
        </w:tblPrEx>
        <w:tc>
          <w:tcPr>
            <w:tcW w:w="1129" w:type="dxa"/>
            <w:shd w:val="clear" w:color="auto" w:fill="auto"/>
            <w:vAlign w:val="center"/>
          </w:tcPr>
          <w:p w14:paraId="3D71566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6</w:t>
            </w:r>
          </w:p>
        </w:tc>
        <w:tc>
          <w:tcPr>
            <w:tcW w:w="7683" w:type="dxa"/>
            <w:shd w:val="clear" w:color="auto" w:fill="auto"/>
          </w:tcPr>
          <w:p w14:paraId="400B6D2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Κέρδη εις νέον</w:t>
            </w:r>
          </w:p>
          <w:p w14:paraId="1167479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42312359" w14:textId="77777777" w:rsidR="00C24790" w:rsidRPr="00DE6689" w:rsidRDefault="00DE6689">
            <w:pPr>
              <w:spacing w:after="120"/>
              <w:jc w:val="both"/>
              <w:rPr>
                <w:rFonts w:ascii="Times New Roman" w:eastAsia="Times New Roman" w:hAnsi="Times New Roman" w:cs="Times New Roman"/>
                <w:bCs/>
                <w:szCs w:val="22"/>
              </w:rPr>
            </w:pPr>
            <w:r w:rsidRPr="00DE6689">
              <w:rPr>
                <w:rStyle w:val="FormatvorlageInstructionsTabelleText"/>
                <w:rFonts w:ascii="Times New Roman" w:hAnsi="Times New Roman"/>
                <w:sz w:val="22"/>
                <w:szCs w:val="22"/>
              </w:rPr>
              <w:t>Άρθρο 26 παράγραφος 1 στοιχείο γ) του κανονισμού (ΕΕ) αριθ. 575/2013.</w:t>
            </w:r>
          </w:p>
          <w:p w14:paraId="7225E479"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 xml:space="preserve">Τα κέρδη εις νέον περιλαμβάνουν τα κέρδη εις νέον από προηγούμενα έτη συν τα επιλέξιμα </w:t>
            </w:r>
            <w:r w:rsidRPr="00DE6689">
              <w:rPr>
                <w:rStyle w:val="FormatvorlageInstructionsTabelleText"/>
                <w:rFonts w:ascii="Times New Roman" w:hAnsi="Times New Roman"/>
                <w:sz w:val="22"/>
                <w:szCs w:val="22"/>
              </w:rPr>
              <w:t>ενδιάμεσα κέρδη περιόδου ή κέρδη τέλους χρήσεως.</w:t>
            </w:r>
          </w:p>
        </w:tc>
      </w:tr>
      <w:tr w:rsidR="00C24790" w:rsidRPr="00DE6689" w14:paraId="058D04B9" w14:textId="77777777">
        <w:tblPrEx>
          <w:tblLook w:val="00A0" w:firstRow="1" w:lastRow="0" w:firstColumn="1" w:lastColumn="0" w:noHBand="0" w:noVBand="0"/>
        </w:tblPrEx>
        <w:tc>
          <w:tcPr>
            <w:tcW w:w="1129" w:type="dxa"/>
            <w:shd w:val="clear" w:color="auto" w:fill="auto"/>
            <w:vAlign w:val="center"/>
          </w:tcPr>
          <w:p w14:paraId="452FA682"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7</w:t>
            </w:r>
          </w:p>
        </w:tc>
        <w:tc>
          <w:tcPr>
            <w:tcW w:w="7683" w:type="dxa"/>
            <w:shd w:val="clear" w:color="auto" w:fill="auto"/>
          </w:tcPr>
          <w:p w14:paraId="501397E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Συσσωρευμένα λοιπά συνολικά έσοδα</w:t>
            </w:r>
          </w:p>
          <w:p w14:paraId="1AB7481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04568084" w14:textId="77777777" w:rsidR="00C24790" w:rsidRPr="00DE6689" w:rsidRDefault="00DE6689">
            <w:pPr>
              <w:spacing w:after="120"/>
              <w:jc w:val="both"/>
              <w:rPr>
                <w:rFonts w:ascii="Times New Roman" w:hAnsi="Times New Roman" w:cs="Times New Roman"/>
                <w:bCs/>
                <w:szCs w:val="22"/>
              </w:rPr>
            </w:pPr>
            <w:r w:rsidRPr="00DE6689">
              <w:rPr>
                <w:rStyle w:val="FormatvorlageInstructionsTabelleText"/>
                <w:rFonts w:ascii="Times New Roman" w:hAnsi="Times New Roman"/>
                <w:sz w:val="22"/>
                <w:szCs w:val="22"/>
              </w:rPr>
              <w:t>Άρθρο 26 παράγραφος 1 στοιχείο δ) του κανονισμού (ΕΕ) αριθ. 575/2013.</w:t>
            </w:r>
          </w:p>
        </w:tc>
      </w:tr>
      <w:tr w:rsidR="00C24790" w:rsidRPr="00DE6689" w14:paraId="29140924" w14:textId="77777777">
        <w:tblPrEx>
          <w:tblLook w:val="00A0" w:firstRow="1" w:lastRow="0" w:firstColumn="1" w:lastColumn="0" w:noHBand="0" w:noVBand="0"/>
        </w:tblPrEx>
        <w:tc>
          <w:tcPr>
            <w:tcW w:w="1129" w:type="dxa"/>
            <w:shd w:val="clear" w:color="auto" w:fill="auto"/>
            <w:vAlign w:val="center"/>
          </w:tcPr>
          <w:p w14:paraId="0DFAEC9A"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lastRenderedPageBreak/>
              <w:t>8</w:t>
            </w:r>
          </w:p>
        </w:tc>
        <w:tc>
          <w:tcPr>
            <w:tcW w:w="7683" w:type="dxa"/>
            <w:tcBorders>
              <w:bottom w:val="single" w:sz="4" w:space="0" w:color="auto"/>
            </w:tcBorders>
            <w:shd w:val="clear" w:color="auto" w:fill="auto"/>
          </w:tcPr>
          <w:p w14:paraId="6E5376AE"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Άλλα αποθεματικά</w:t>
            </w:r>
          </w:p>
          <w:p w14:paraId="12FCEDE5"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w:t>
            </w:r>
            <w:r w:rsidRPr="00DE6689">
              <w:rPr>
                <w:rFonts w:ascii="Times New Roman" w:hAnsi="Times New Roman"/>
                <w:bCs/>
                <w:szCs w:val="22"/>
              </w:rPr>
              <w:t>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0C3F2743"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Άρθρο 4 παράγραφος 1 σημείο 117 και άρθρο 26 παράγραφος 1 στοιχείο ε) του κανονισμού (ΕΕ) αριθ. 575/2013.</w:t>
            </w:r>
          </w:p>
          <w:p w14:paraId="6DD1EA3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Το προς δημοσιοποίηση ποσό δεν περιλαμβάνει προβλεπόμενες φορολογικές οφειλές κατά τη στιγμή του</w:t>
            </w:r>
            <w:r w:rsidRPr="00DE6689">
              <w:rPr>
                <w:rStyle w:val="FormatvorlageInstructionsTabelleText"/>
                <w:rFonts w:ascii="Times New Roman" w:hAnsi="Times New Roman"/>
                <w:sz w:val="22"/>
                <w:szCs w:val="22"/>
              </w:rPr>
              <w:t xml:space="preserve"> υπολογισμού.</w:t>
            </w:r>
          </w:p>
        </w:tc>
      </w:tr>
      <w:tr w:rsidR="00C24790" w:rsidRPr="00DE6689" w14:paraId="1DF47B2D" w14:textId="77777777">
        <w:tblPrEx>
          <w:tblLook w:val="00A0" w:firstRow="1" w:lastRow="0" w:firstColumn="1" w:lastColumn="0" w:noHBand="0" w:noVBand="0"/>
        </w:tblPrEx>
        <w:tc>
          <w:tcPr>
            <w:tcW w:w="1129" w:type="dxa"/>
            <w:shd w:val="clear" w:color="auto" w:fill="auto"/>
            <w:vAlign w:val="center"/>
          </w:tcPr>
          <w:p w14:paraId="00AF81F9" w14:textId="77777777" w:rsidR="00C24790" w:rsidRPr="00DE6689" w:rsidRDefault="00DE6689">
            <w:pPr>
              <w:spacing w:after="120"/>
              <w:jc w:val="both"/>
              <w:rPr>
                <w:rFonts w:ascii="Times New Roman" w:hAnsi="Times New Roman" w:cs="Times New Roman"/>
                <w:color w:val="000000"/>
                <w:szCs w:val="22"/>
              </w:rPr>
            </w:pPr>
            <w:r w:rsidRPr="00DE6689">
              <w:rPr>
                <w:rFonts w:ascii="Times New Roman" w:hAnsi="Times New Roman"/>
                <w:color w:val="000000"/>
                <w:szCs w:val="22"/>
              </w:rPr>
              <w:t>9</w:t>
            </w:r>
          </w:p>
        </w:tc>
        <w:tc>
          <w:tcPr>
            <w:tcW w:w="7683" w:type="dxa"/>
            <w:shd w:val="clear" w:color="auto" w:fill="auto"/>
          </w:tcPr>
          <w:p w14:paraId="6819E36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Προσαρμογές στο CET1 λόγω εποπτικών προσαρμογών</w:t>
            </w:r>
          </w:p>
          <w:p w14:paraId="4435DE3B"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Άρθρο 9 παράγραφος 1 σημείο</w:t>
            </w:r>
            <w:r w:rsidRPr="00DE6689">
              <w:rPr>
                <w:rStyle w:val="FormatvorlageInstructionsTabelleText"/>
                <w:rFonts w:ascii="Times New Roman" w:hAnsi="Times New Roman"/>
                <w:sz w:val="22"/>
                <w:szCs w:val="22"/>
              </w:rPr>
              <w:t xml:space="preserve"> i)</w:t>
            </w:r>
            <w:r w:rsidRPr="00DE6689">
              <w:rPr>
                <w:rStyle w:val="FormatvorlageInstructionsTabelleText"/>
                <w:rFonts w:ascii="Times New Roman" w:hAnsi="Times New Roman"/>
                <w:sz w:val="22"/>
                <w:szCs w:val="22"/>
              </w:rPr>
              <w:t xml:space="preserve"> του κανονισμού (ΕΕ) </w:t>
            </w:r>
            <w:r w:rsidRPr="00DE6689">
              <w:rPr>
                <w:rStyle w:val="FormatvorlageInstructionsTabelleText"/>
                <w:rFonts w:ascii="Times New Roman" w:hAnsi="Times New Roman"/>
                <w:sz w:val="22"/>
                <w:szCs w:val="22"/>
              </w:rPr>
              <w:t>2019/2033</w:t>
            </w:r>
            <w:r w:rsidRPr="00DE6689">
              <w:rPr>
                <w:rStyle w:val="FormatvorlageInstructionsTabelleText"/>
                <w:rFonts w:ascii="Times New Roman" w:hAnsi="Times New Roman"/>
                <w:sz w:val="22"/>
                <w:szCs w:val="22"/>
              </w:rPr>
              <w:t>.</w:t>
            </w:r>
          </w:p>
          <w:p w14:paraId="619B4D61"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Άρθρα 32 έως 35 του κανονισμού (ΕΕ) αριθ. 575/2013.</w:t>
            </w:r>
          </w:p>
        </w:tc>
      </w:tr>
      <w:tr w:rsidR="00C24790" w:rsidRPr="00DE6689" w14:paraId="111CA92A" w14:textId="77777777">
        <w:tblPrEx>
          <w:tblLook w:val="00A0" w:firstRow="1" w:lastRow="0" w:firstColumn="1" w:lastColumn="0" w:noHBand="0" w:noVBand="0"/>
        </w:tblPrEx>
        <w:tc>
          <w:tcPr>
            <w:tcW w:w="1129" w:type="dxa"/>
            <w:shd w:val="clear" w:color="auto" w:fill="auto"/>
            <w:vAlign w:val="center"/>
          </w:tcPr>
          <w:p w14:paraId="47262744" w14:textId="77777777" w:rsidR="00C24790" w:rsidRPr="00DE6689" w:rsidRDefault="00DE6689">
            <w:pPr>
              <w:spacing w:after="120"/>
              <w:jc w:val="both"/>
              <w:rPr>
                <w:rFonts w:ascii="Times New Roman" w:hAnsi="Times New Roman" w:cs="Times New Roman"/>
                <w:color w:val="000000"/>
                <w:szCs w:val="22"/>
              </w:rPr>
            </w:pPr>
            <w:r w:rsidRPr="00DE6689">
              <w:rPr>
                <w:rFonts w:ascii="Times New Roman" w:hAnsi="Times New Roman"/>
                <w:color w:val="000000"/>
                <w:szCs w:val="22"/>
              </w:rPr>
              <w:t>10</w:t>
            </w:r>
          </w:p>
        </w:tc>
        <w:tc>
          <w:tcPr>
            <w:tcW w:w="7683" w:type="dxa"/>
            <w:shd w:val="clear" w:color="auto" w:fill="auto"/>
          </w:tcPr>
          <w:p w14:paraId="1DBD4534"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Λοιπά κεφάλαια</w:t>
            </w:r>
          </w:p>
          <w:p w14:paraId="0114AC2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 xml:space="preserve">Άρθρο 9 παράγραφος 4 του κανονισμού (ΕΕ) </w:t>
            </w:r>
            <w:r w:rsidRPr="00DE6689">
              <w:rPr>
                <w:rFonts w:ascii="Times New Roman" w:hAnsi="Times New Roman"/>
                <w:bCs/>
                <w:szCs w:val="22"/>
              </w:rPr>
              <w:t>2019/2033</w:t>
            </w:r>
            <w:r w:rsidRPr="00DE6689">
              <w:rPr>
                <w:rFonts w:ascii="Times New Roman" w:hAnsi="Times New Roman"/>
                <w:bCs/>
                <w:szCs w:val="22"/>
              </w:rPr>
              <w:t>.</w:t>
            </w:r>
          </w:p>
        </w:tc>
      </w:tr>
      <w:tr w:rsidR="00C24790" w:rsidRPr="00DE6689" w14:paraId="7F2E916D" w14:textId="77777777">
        <w:tblPrEx>
          <w:tblLook w:val="00A0" w:firstRow="1" w:lastRow="0" w:firstColumn="1" w:lastColumn="0" w:noHBand="0" w:noVBand="0"/>
        </w:tblPrEx>
        <w:tc>
          <w:tcPr>
            <w:tcW w:w="1129" w:type="dxa"/>
            <w:shd w:val="clear" w:color="auto" w:fill="auto"/>
            <w:vAlign w:val="center"/>
          </w:tcPr>
          <w:p w14:paraId="139259B3" w14:textId="77777777" w:rsidR="00C24790" w:rsidRPr="00DE6689" w:rsidRDefault="00DE6689">
            <w:pPr>
              <w:spacing w:after="120"/>
              <w:jc w:val="both"/>
              <w:rPr>
                <w:rFonts w:ascii="Times New Roman" w:hAnsi="Times New Roman" w:cs="Times New Roman"/>
                <w:color w:val="000000"/>
                <w:szCs w:val="22"/>
              </w:rPr>
            </w:pPr>
            <w:r w:rsidRPr="00DE6689">
              <w:rPr>
                <w:rFonts w:ascii="Times New Roman" w:hAnsi="Times New Roman"/>
                <w:color w:val="000000"/>
                <w:szCs w:val="22"/>
              </w:rPr>
              <w:t>11</w:t>
            </w:r>
          </w:p>
        </w:tc>
        <w:tc>
          <w:tcPr>
            <w:tcW w:w="7683" w:type="dxa"/>
            <w:shd w:val="clear" w:color="auto" w:fill="auto"/>
          </w:tcPr>
          <w:p w14:paraId="7087D1CC"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ΣΥΝΟΛΙΚΕΣ ΑΦΑΙΡΕΣΕΙΣ ΑΠΟ ΤΟ ΚΕΦΑΛΑΙΟ ΚΟΙΝΩΝ ΜΕΤΟΧΩΝ ΤΗΣ ΚΑΤΗΓΟΡΙΑΣ 1</w:t>
            </w:r>
          </w:p>
          <w:p w14:paraId="25887649"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Δημοσιοποιείται το συνολικό άθροισμα των γραμμών 12 έως 18.</w:t>
            </w:r>
          </w:p>
        </w:tc>
      </w:tr>
      <w:tr w:rsidR="00C24790" w:rsidRPr="00DE6689" w14:paraId="286756E5"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88E0AAB"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3C3C1691"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Ζημίες της τρέχουσας χρήσης</w:t>
            </w:r>
          </w:p>
          <w:p w14:paraId="683A8759"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szCs w:val="22"/>
              </w:rPr>
              <w:t xml:space="preserve">Άρθρο 36 παράγραφος 1 στοιχείο </w:t>
            </w:r>
            <w:r w:rsidRPr="00DE6689">
              <w:rPr>
                <w:rFonts w:ascii="Times New Roman" w:hAnsi="Times New Roman"/>
                <w:szCs w:val="22"/>
              </w:rPr>
              <w:t>α) του κανονισμού (ΕΕ) αριθ. 575/2013.</w:t>
            </w:r>
          </w:p>
        </w:tc>
      </w:tr>
      <w:tr w:rsidR="00C24790" w:rsidRPr="00DE6689" w14:paraId="1C16C02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F7D68C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92A89F8"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Υπεραξία</w:t>
            </w:r>
          </w:p>
          <w:p w14:paraId="5FFBAE7B"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55619826"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Άρθρο 4 παράγραφος 1 σημείο 113, άρθρο 36 παράγραφος 1 στοιχείο β), και άρθρο 37 του κανονισμού (ΕΕ) αριθ. 575/2013.</w:t>
            </w:r>
          </w:p>
        </w:tc>
      </w:tr>
      <w:tr w:rsidR="00C24790" w:rsidRPr="00DE6689" w14:paraId="70EBEC1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FD548B1"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4528991"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xml:space="preserve">(-) Λοιπά </w:t>
            </w:r>
            <w:r w:rsidRPr="00DE6689">
              <w:rPr>
                <w:rFonts w:ascii="Times New Roman" w:hAnsi="Times New Roman"/>
                <w:b/>
                <w:bCs/>
                <w:szCs w:val="22"/>
                <w:u w:val="single"/>
              </w:rPr>
              <w:t>άυλα στοιχεία ενεργητικού</w:t>
            </w:r>
          </w:p>
          <w:p w14:paraId="0D743C4C"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3F39E110" w14:textId="77777777" w:rsidR="00C24790" w:rsidRPr="00DE6689" w:rsidRDefault="00DE6689">
            <w:pPr>
              <w:pStyle w:val="InstructionsText"/>
              <w:rPr>
                <w:rStyle w:val="FormatvorlageInstructionsTabelleText"/>
                <w:rFonts w:ascii="Times New Roman" w:eastAsiaTheme="minorHAnsi" w:hAnsi="Times New Roman"/>
                <w:bCs/>
                <w:sz w:val="22"/>
              </w:rPr>
            </w:pPr>
            <w:r w:rsidRPr="00DE6689">
              <w:rPr>
                <w:rStyle w:val="FormatvorlageInstructionsTabelleText"/>
                <w:rFonts w:ascii="Times New Roman" w:hAnsi="Times New Roman"/>
                <w:sz w:val="22"/>
              </w:rPr>
              <w:t>Άρθρο 4 παράγραφος 1 σημείο 115, άρθρο 36 παράγραφος 1 στοιχείο β) και άρθρο 37 στοιχείο α) του κανονισμού (ΕΕ) αριθ. 575/2013.</w:t>
            </w:r>
          </w:p>
          <w:p w14:paraId="2A7BF828"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 xml:space="preserve">Τα λοιπά άυλα στοιχεία </w:t>
            </w:r>
            <w:r w:rsidRPr="00DE6689">
              <w:rPr>
                <w:rStyle w:val="FormatvorlageInstructionsTabelleText"/>
                <w:rFonts w:ascii="Times New Roman" w:hAnsi="Times New Roman"/>
                <w:sz w:val="22"/>
                <w:szCs w:val="22"/>
              </w:rPr>
              <w:t>ενεργητικού είναι τα άυλα στοιχεία ενεργητικού δυνάμει του ισχύοντος λογιστικού προτύπου, πλην της υπεραξίας, επίσης σύμφωνα με το ισχύον λογιστικό πρότυπο.</w:t>
            </w:r>
          </w:p>
        </w:tc>
      </w:tr>
      <w:tr w:rsidR="00C24790" w:rsidRPr="00DE6689" w14:paraId="1068AB7E"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5CD658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3BDD6C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Αναβαλλόμενες φορολογικές απαιτήσεις που βασίζονται σε μελλοντική κερδοφορία και δεν προκύπ</w:t>
            </w:r>
            <w:r w:rsidRPr="00DE6689">
              <w:rPr>
                <w:rFonts w:ascii="Times New Roman" w:hAnsi="Times New Roman"/>
                <w:b/>
                <w:bCs/>
                <w:szCs w:val="22"/>
                <w:u w:val="single"/>
              </w:rPr>
              <w:t>τουν από προσωρινές διαφορές πλην των σχετικών φορολογικών υποχρεώσεων</w:t>
            </w:r>
          </w:p>
          <w:p w14:paraId="34E529C5"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2 στοιχείο α) του κανονισμού (ΕΕ) </w:t>
            </w:r>
            <w:r w:rsidRPr="00DE6689">
              <w:rPr>
                <w:rFonts w:ascii="Times New Roman" w:hAnsi="Times New Roman"/>
                <w:bCs/>
                <w:szCs w:val="22"/>
              </w:rPr>
              <w:t>2019/2033</w:t>
            </w:r>
            <w:r w:rsidRPr="00DE6689">
              <w:rPr>
                <w:rFonts w:ascii="Times New Roman" w:hAnsi="Times New Roman"/>
                <w:bCs/>
                <w:szCs w:val="22"/>
              </w:rPr>
              <w:t>.</w:t>
            </w:r>
          </w:p>
          <w:p w14:paraId="56803B1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36 παράγραφος 1 στοιχείο γ) του κανονισμού (ΕΕ) αριθ. 575/2013.</w:t>
            </w:r>
          </w:p>
        </w:tc>
      </w:tr>
      <w:tr w:rsidR="00C24790" w:rsidRPr="00DE6689" w14:paraId="797F40E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A87C017"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4E0F87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Ειδικές συμμετοχές εκτός του χρηματοπιστωτι</w:t>
            </w:r>
            <w:r w:rsidRPr="00DE6689">
              <w:rPr>
                <w:rFonts w:ascii="Times New Roman" w:hAnsi="Times New Roman"/>
                <w:b/>
                <w:bCs/>
                <w:szCs w:val="22"/>
                <w:u w:val="single"/>
              </w:rPr>
              <w:t>κού τομέα που υπερβαίνουν το 15 % των ιδίων κεφαλαίων</w:t>
            </w:r>
          </w:p>
          <w:p w14:paraId="25A9ADDA"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 xml:space="preserve">Άρθρο 10 παράγραφος 1 στοιχείο α) του κανονισμού (ΕΕ) </w:t>
            </w:r>
            <w:r w:rsidRPr="00DE6689">
              <w:rPr>
                <w:rFonts w:ascii="Times New Roman" w:hAnsi="Times New Roman"/>
                <w:bCs/>
                <w:szCs w:val="22"/>
              </w:rPr>
              <w:t>2019/2033</w:t>
            </w:r>
            <w:r w:rsidRPr="00DE6689">
              <w:rPr>
                <w:rFonts w:ascii="Times New Roman" w:hAnsi="Times New Roman"/>
                <w:bCs/>
                <w:szCs w:val="22"/>
              </w:rPr>
              <w:t>.</w:t>
            </w:r>
          </w:p>
        </w:tc>
      </w:tr>
      <w:tr w:rsidR="00C24790" w:rsidRPr="00DE6689" w14:paraId="09A4DA6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1E9234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07FA1F8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xml:space="preserve">(-) Συνολικές ειδικές συμμετοχές σε επιχειρήσεις εκτός των οντοτήτων του χρηματοπιστωτικού τομέα που υπερβαίνουν το 60 % των </w:t>
            </w:r>
            <w:r w:rsidRPr="00DE6689">
              <w:rPr>
                <w:rFonts w:ascii="Times New Roman" w:hAnsi="Times New Roman"/>
                <w:b/>
                <w:bCs/>
                <w:szCs w:val="22"/>
                <w:u w:val="single"/>
              </w:rPr>
              <w:t>ιδίων κεφαλαίων τους</w:t>
            </w:r>
          </w:p>
          <w:p w14:paraId="21991AC6"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 xml:space="preserve">Άρθρο 10 παράγραφος 1 στοιχείο α) του κανονισμού (ΕΕ) </w:t>
            </w:r>
            <w:r w:rsidRPr="00DE6689">
              <w:rPr>
                <w:rFonts w:ascii="Times New Roman" w:hAnsi="Times New Roman"/>
                <w:bCs/>
                <w:szCs w:val="22"/>
              </w:rPr>
              <w:t>2019/2033</w:t>
            </w:r>
            <w:r w:rsidRPr="00DE6689">
              <w:rPr>
                <w:rFonts w:ascii="Times New Roman" w:hAnsi="Times New Roman"/>
                <w:bCs/>
                <w:szCs w:val="22"/>
              </w:rPr>
              <w:t>.</w:t>
            </w:r>
          </w:p>
        </w:tc>
      </w:tr>
      <w:tr w:rsidR="00C24790" w:rsidRPr="00DE6689" w14:paraId="0C8910E3" w14:textId="77777777">
        <w:tblPrEx>
          <w:tblLook w:val="00A0" w:firstRow="1" w:lastRow="0" w:firstColumn="1" w:lastColumn="0" w:noHBand="0" w:noVBand="0"/>
        </w:tblPrEx>
        <w:tc>
          <w:tcPr>
            <w:tcW w:w="1129" w:type="dxa"/>
            <w:vAlign w:val="center"/>
          </w:tcPr>
          <w:p w14:paraId="145B44F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14:paraId="0C70626A"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Λοιπές αφαιρέσεις</w:t>
            </w:r>
          </w:p>
          <w:p w14:paraId="4E7C2AF6"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szCs w:val="22"/>
              </w:rPr>
              <w:lastRenderedPageBreak/>
              <w:t>Το άθροισμα τυχόν άλλων αφαιρέσεων που απαριθμούνται στο άρθρο 36 παράγραφος 1 του κανονισμού (ΕΕ) αριθ. 575/2013.</w:t>
            </w:r>
          </w:p>
        </w:tc>
      </w:tr>
      <w:tr w:rsidR="00C24790" w:rsidRPr="00DE6689" w14:paraId="136CDE79" w14:textId="77777777">
        <w:tblPrEx>
          <w:tblLook w:val="00A0" w:firstRow="1" w:lastRow="0" w:firstColumn="1" w:lastColumn="0" w:noHBand="0" w:noVBand="0"/>
        </w:tblPrEx>
        <w:tc>
          <w:tcPr>
            <w:tcW w:w="1129" w:type="dxa"/>
            <w:vAlign w:val="center"/>
          </w:tcPr>
          <w:p w14:paraId="01598F10" w14:textId="77777777" w:rsidR="00C24790" w:rsidRPr="00DE6689" w:rsidRDefault="00DE6689">
            <w:pPr>
              <w:spacing w:after="120"/>
              <w:jc w:val="both"/>
              <w:rPr>
                <w:rFonts w:ascii="Times New Roman" w:hAnsi="Times New Roman" w:cs="Times New Roman"/>
                <w:color w:val="000000"/>
                <w:szCs w:val="22"/>
              </w:rPr>
            </w:pPr>
            <w:r w:rsidRPr="00DE6689">
              <w:rPr>
                <w:rFonts w:ascii="Times New Roman" w:hAnsi="Times New Roman"/>
                <w:color w:val="000000"/>
                <w:szCs w:val="22"/>
              </w:rPr>
              <w:lastRenderedPageBreak/>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63D20DEF"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xml:space="preserve">CET1: Άλλα </w:t>
            </w:r>
            <w:r w:rsidRPr="00DE6689">
              <w:rPr>
                <w:rFonts w:ascii="Times New Roman" w:hAnsi="Times New Roman"/>
                <w:b/>
                <w:bCs/>
                <w:szCs w:val="22"/>
                <w:u w:val="single"/>
              </w:rPr>
              <w:t>στοιχεία κεφαλαίου, αφαιρέσεις και προσαρμογές</w:t>
            </w:r>
          </w:p>
          <w:p w14:paraId="0C6D81B7"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Η γραμμή αυτή περιλαμβάνει το άθροισμα των ακόλουθων στοιχείων, ανάλογα με την περίπτωση:</w:t>
            </w:r>
          </w:p>
          <w:p w14:paraId="6015FA08"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 xml:space="preserve">Μεταβατικές προσαρμογές λόγω αποδοχής του προϋφιστάμενου καθεστώτος όσον αφορά τα κεφαλαιακά μέσα CET1 [άρθρο 483 </w:t>
            </w:r>
            <w:r w:rsidRPr="00DE6689">
              <w:rPr>
                <w:rFonts w:ascii="Times New Roman" w:hAnsi="Times New Roman"/>
                <w:bCs/>
              </w:rPr>
              <w:t>παράγραφοι 1, 2 και 3 και άρθρα 484 έως 487 του κανονισμού (ΕΕ) αριθ. 575/2013].</w:t>
            </w:r>
          </w:p>
          <w:p w14:paraId="4625F9B8"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Μεταβατικές προσαρμογές λόγω πρόσθετων δικαιωμάτων μειοψηφίας [άρθρα 479 και 480 του κανονισμού (ΕΕ) αριθ. 575/2013].</w:t>
            </w:r>
          </w:p>
          <w:p w14:paraId="39E9E880"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Άλλες μεταβατικές προσαρμογές στο κεφάλαιο CET1 [άρθρ</w:t>
            </w:r>
            <w:r w:rsidRPr="00DE6689">
              <w:rPr>
                <w:rFonts w:ascii="Times New Roman" w:hAnsi="Times New Roman"/>
                <w:bCs/>
              </w:rPr>
              <w:t>α 469 έως 478 και άρθρο 481 του κανονισμού (ΕΕ) αριθ. 575/2013]: προσαρμογές στις αφαιρέσεις από το κεφάλαιο CET1 λόγω μεταβατικών διατάξεων.</w:t>
            </w:r>
          </w:p>
          <w:p w14:paraId="5D895C7A" w14:textId="77777777" w:rsidR="00C24790" w:rsidRPr="00DE6689" w:rsidRDefault="00DE6689">
            <w:pPr>
              <w:spacing w:after="120"/>
              <w:ind w:left="360" w:hanging="360"/>
              <w:contextualSpacing/>
              <w:jc w:val="both"/>
              <w:rPr>
                <w:rFonts w:ascii="Times New Roman" w:eastAsia="Times New Roman" w:hAnsi="Times New Roman"/>
                <w:b/>
                <w:bCs/>
                <w:u w:val="single"/>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Άλλα στοιχεία κεφαλαίου CET1 ή αφαιρέσεις από στοιχείο του κεφαλαίου CET1 που δεν μπορούν να αναφερθούν σε καμία</w:t>
            </w:r>
            <w:r w:rsidRPr="00DE6689">
              <w:rPr>
                <w:rFonts w:ascii="Times New Roman" w:hAnsi="Times New Roman"/>
                <w:bCs/>
              </w:rPr>
              <w:t xml:space="preserve"> από τις γραμμές 4 έως 18.</w:t>
            </w:r>
          </w:p>
          <w:p w14:paraId="79AD9653"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 xml:space="preserve">Η γραμμή αυτή δεν χρησιμοποιείται για να συμπεριληφθούν στον υπολογισμό των συντελεστών φερεγγυότητας στοιχεία κεφαλαίου ή αφαιρέσεις που δεν καλύπτονται από τον κανονισμό (ΕΕ) </w:t>
            </w:r>
            <w:r w:rsidRPr="00DE6689">
              <w:rPr>
                <w:rFonts w:ascii="Times New Roman" w:hAnsi="Times New Roman"/>
                <w:bCs/>
                <w:szCs w:val="22"/>
              </w:rPr>
              <w:t>2019/2033</w:t>
            </w:r>
            <w:r w:rsidRPr="00DE6689">
              <w:rPr>
                <w:rFonts w:ascii="Times New Roman" w:hAnsi="Times New Roman"/>
                <w:bCs/>
                <w:szCs w:val="22"/>
              </w:rPr>
              <w:t xml:space="preserve"> ή τον κανονισμό (ΕΕ) αριθ. 575/2013.</w:t>
            </w:r>
          </w:p>
        </w:tc>
      </w:tr>
      <w:tr w:rsidR="00C24790" w:rsidRPr="00DE6689" w14:paraId="479E614B" w14:textId="77777777">
        <w:tblPrEx>
          <w:tblLook w:val="00A0" w:firstRow="1" w:lastRow="0" w:firstColumn="1" w:lastColumn="0" w:noHBand="0" w:noVBand="0"/>
        </w:tblPrEx>
        <w:tc>
          <w:tcPr>
            <w:tcW w:w="1129" w:type="dxa"/>
            <w:vAlign w:val="center"/>
          </w:tcPr>
          <w:p w14:paraId="529F8639"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4CED105F"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Π</w:t>
            </w:r>
            <w:r w:rsidRPr="00DE6689">
              <w:rPr>
                <w:rFonts w:ascii="Times New Roman" w:hAnsi="Times New Roman"/>
                <w:b/>
                <w:bCs/>
                <w:szCs w:val="22"/>
                <w:u w:val="single"/>
              </w:rPr>
              <w:t>ΡΟΣΘΕΤΟ ΚΕΦΑΛΑΙΟ ΤΗΣ ΚΑΤΗΓΟΡΙΑΣ 1</w:t>
            </w:r>
          </w:p>
          <w:p w14:paraId="3D99FA48"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1 του κανονισμού (ΕΕ) </w:t>
            </w:r>
            <w:r w:rsidRPr="00DE6689">
              <w:rPr>
                <w:rFonts w:ascii="Times New Roman" w:hAnsi="Times New Roman"/>
                <w:bCs/>
                <w:szCs w:val="22"/>
              </w:rPr>
              <w:t>2019/2033</w:t>
            </w:r>
            <w:r w:rsidRPr="00DE6689">
              <w:rPr>
                <w:rFonts w:ascii="Times New Roman" w:hAnsi="Times New Roman"/>
                <w:bCs/>
                <w:szCs w:val="22"/>
              </w:rPr>
              <w:t>.</w:t>
            </w:r>
          </w:p>
          <w:p w14:paraId="572379F7" w14:textId="77777777" w:rsidR="00C24790" w:rsidRPr="00DE6689" w:rsidRDefault="00DE6689">
            <w:pPr>
              <w:spacing w:after="120"/>
              <w:jc w:val="both"/>
              <w:rPr>
                <w:rFonts w:ascii="Times New Roman" w:hAnsi="Times New Roman" w:cs="Times New Roman"/>
                <w:szCs w:val="22"/>
              </w:rPr>
            </w:pPr>
            <w:r w:rsidRPr="00DE6689">
              <w:rPr>
                <w:rFonts w:ascii="Times New Roman" w:hAnsi="Times New Roman"/>
                <w:szCs w:val="22"/>
              </w:rPr>
              <w:t>Άρθρο 61 του κανονισμού (ΕΕ) αριθ. 575/2013.</w:t>
            </w:r>
          </w:p>
          <w:p w14:paraId="070AE27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Δημοσιοποιείται το συνολικό άθροισμα των γραμμών 21 έως 24.</w:t>
            </w:r>
          </w:p>
        </w:tc>
      </w:tr>
      <w:tr w:rsidR="00C24790" w:rsidRPr="00DE6689" w14:paraId="18C9CC16" w14:textId="77777777">
        <w:tblPrEx>
          <w:tblLook w:val="00A0" w:firstRow="1" w:lastRow="0" w:firstColumn="1" w:lastColumn="0" w:noHBand="0" w:noVBand="0"/>
        </w:tblPrEx>
        <w:tc>
          <w:tcPr>
            <w:tcW w:w="1129" w:type="dxa"/>
            <w:vAlign w:val="center"/>
          </w:tcPr>
          <w:p w14:paraId="22075C54"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0F6DD371"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
                <w:bCs/>
                <w:szCs w:val="22"/>
                <w:u w:val="single"/>
              </w:rPr>
              <w:t>Πλήρως καταβεβλημένο, απευθείας εκδοθέν κεφάλαιο</w:t>
            </w:r>
          </w:p>
          <w:p w14:paraId="0355502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w:t>
            </w:r>
            <w:r w:rsidRPr="00DE6689">
              <w:rPr>
                <w:rFonts w:ascii="Times New Roman" w:hAnsi="Times New Roman"/>
                <w:bCs/>
                <w:szCs w:val="22"/>
              </w:rPr>
              <w:t>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7AEF8655"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51 στοιχείο α) και άρθρα 52, 53 και 54 του κανονισμού (ΕΕ) αριθ. 575/2013.</w:t>
            </w:r>
          </w:p>
          <w:p w14:paraId="52015940"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Το προς δημοσιοποίηση ποσό δεν περιλαμβάνει τη διαφορά από την έκδοση μετοχών υπέρ το άρτιο που αφορά τα μέσα.</w:t>
            </w:r>
          </w:p>
        </w:tc>
      </w:tr>
      <w:tr w:rsidR="00C24790" w:rsidRPr="00DE6689" w14:paraId="56049024" w14:textId="77777777">
        <w:tblPrEx>
          <w:tblLook w:val="00A0" w:firstRow="1" w:lastRow="0" w:firstColumn="1" w:lastColumn="0" w:noHBand="0" w:noVBand="0"/>
        </w:tblPrEx>
        <w:tc>
          <w:tcPr>
            <w:tcW w:w="1129" w:type="dxa"/>
            <w:vAlign w:val="center"/>
          </w:tcPr>
          <w:p w14:paraId="10A727A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77AA272F"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Διαφορά από έκδοση μετοχών υπέρ το άρτιο</w:t>
            </w:r>
          </w:p>
          <w:p w14:paraId="55AE2245"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146595FF"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51 στοιχείο β) του κανονισμού (ΕΕ) αριθ. 575/2013.</w:t>
            </w:r>
          </w:p>
          <w:p w14:paraId="183824D1"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Ο όρος </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διαφορά από την έκδοση μετοχών υπέρ το άρτιο</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 xml:space="preserve"> έχει την ίδια έννοια με αυτήν του εφαρμοστ</w:t>
            </w:r>
            <w:r w:rsidRPr="00DE6689">
              <w:rPr>
                <w:rStyle w:val="FormatvorlageInstructionsTabelleText"/>
                <w:rFonts w:ascii="Times New Roman" w:hAnsi="Times New Roman"/>
                <w:sz w:val="22"/>
              </w:rPr>
              <w:t>έου λογιστικού προτύπου.</w:t>
            </w:r>
          </w:p>
          <w:p w14:paraId="3CE91CD9"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 xml:space="preserve">Το προς δημοσιοποίηση ποσό στο συγκεκριμένο στοιχείο είναι το μέρος που σχετίζεται με τα </w:t>
            </w:r>
            <w:r w:rsidRPr="00DE6689">
              <w:rPr>
                <w:rStyle w:val="FormatvorlageInstructionsTabelleText"/>
                <w:rFonts w:ascii="Times New Roman" w:hAnsi="Times New Roman"/>
                <w:sz w:val="22"/>
                <w:szCs w:val="22"/>
              </w:rPr>
              <w:t>«</w:t>
            </w:r>
            <w:r w:rsidRPr="00DE6689">
              <w:rPr>
                <w:rStyle w:val="FormatvorlageInstructionsTabelleText"/>
                <w:rFonts w:ascii="Times New Roman" w:hAnsi="Times New Roman"/>
                <w:sz w:val="22"/>
                <w:szCs w:val="22"/>
              </w:rPr>
              <w:t>καταβεβλημένα κεφαλαιακά μέσα</w:t>
            </w:r>
            <w:r w:rsidRPr="00DE6689">
              <w:rPr>
                <w:rStyle w:val="FormatvorlageInstructionsTabelleText"/>
                <w:rFonts w:ascii="Times New Roman" w:hAnsi="Times New Roman"/>
                <w:sz w:val="22"/>
                <w:szCs w:val="22"/>
              </w:rPr>
              <w:t>»</w:t>
            </w:r>
            <w:r w:rsidRPr="00DE6689">
              <w:rPr>
                <w:rStyle w:val="FormatvorlageInstructionsTabelleText"/>
                <w:rFonts w:ascii="Times New Roman" w:hAnsi="Times New Roman"/>
                <w:sz w:val="22"/>
                <w:szCs w:val="22"/>
              </w:rPr>
              <w:t>.</w:t>
            </w:r>
          </w:p>
        </w:tc>
      </w:tr>
      <w:tr w:rsidR="00C24790" w:rsidRPr="00DE6689" w14:paraId="5D322321" w14:textId="77777777">
        <w:tblPrEx>
          <w:tblLook w:val="00A0" w:firstRow="1" w:lastRow="0" w:firstColumn="1" w:lastColumn="0" w:noHBand="0" w:noVBand="0"/>
        </w:tblPrEx>
        <w:tc>
          <w:tcPr>
            <w:tcW w:w="1129" w:type="dxa"/>
            <w:tcBorders>
              <w:bottom w:val="single" w:sz="4" w:space="0" w:color="auto"/>
            </w:tcBorders>
            <w:vAlign w:val="center"/>
          </w:tcPr>
          <w:p w14:paraId="081A90B8"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7E2E9BF0"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ΣΥΝΟΛΙΚΕΣ ΑΦΑΙΡΕΣΕΙΣ ΑΠΟ ΠΡΟΣΘΕΤΑ ΣΤΟΙΧΕΙΑ ΤΗΣ ΚΑΤΗΓΟΡΙΑΣ 1</w:t>
            </w:r>
          </w:p>
          <w:p w14:paraId="5D212FC3" w14:textId="77777777" w:rsidR="00C24790" w:rsidRPr="00DE6689" w:rsidRDefault="00DE6689">
            <w:pPr>
              <w:spacing w:before="60" w:after="60"/>
              <w:rPr>
                <w:rFonts w:ascii="Times New Roman" w:eastAsia="Times New Roman" w:hAnsi="Times New Roman" w:cs="Times New Roman"/>
                <w:b/>
                <w:bCs/>
                <w:szCs w:val="22"/>
                <w:u w:val="single"/>
              </w:rPr>
            </w:pPr>
            <w:r w:rsidRPr="00DE6689">
              <w:rPr>
                <w:rFonts w:ascii="Times New Roman" w:hAnsi="Times New Roman"/>
                <w:szCs w:val="22"/>
              </w:rPr>
              <w:t>Άρθρο 56 του κανονισμού (ΕΕ) αριθ. 575/20</w:t>
            </w:r>
            <w:r w:rsidRPr="00DE6689">
              <w:rPr>
                <w:rFonts w:ascii="Times New Roman" w:hAnsi="Times New Roman"/>
                <w:szCs w:val="22"/>
              </w:rPr>
              <w:t>13.</w:t>
            </w:r>
          </w:p>
        </w:tc>
      </w:tr>
      <w:tr w:rsidR="00C24790" w:rsidRPr="00DE6689" w14:paraId="3FBA02B6" w14:textId="77777777">
        <w:tblPrEx>
          <w:tblLook w:val="00A0" w:firstRow="1" w:lastRow="0" w:firstColumn="1" w:lastColumn="0" w:noHBand="0" w:noVBand="0"/>
        </w:tblPrEx>
        <w:tc>
          <w:tcPr>
            <w:tcW w:w="1129" w:type="dxa"/>
            <w:tcBorders>
              <w:bottom w:val="single" w:sz="4" w:space="0" w:color="auto"/>
            </w:tcBorders>
            <w:vAlign w:val="center"/>
          </w:tcPr>
          <w:p w14:paraId="677A9A47" w14:textId="77777777" w:rsidR="00C24790" w:rsidRPr="00DE6689" w:rsidRDefault="00DE6689">
            <w:pPr>
              <w:spacing w:after="120"/>
              <w:jc w:val="both"/>
              <w:rPr>
                <w:rFonts w:ascii="Times New Roman" w:hAnsi="Times New Roman" w:cs="Times New Roman"/>
                <w:color w:val="000000"/>
                <w:szCs w:val="22"/>
              </w:rPr>
            </w:pPr>
            <w:r w:rsidRPr="00DE6689">
              <w:rPr>
                <w:rFonts w:ascii="Times New Roman" w:hAnsi="Times New Roman"/>
                <w:color w:val="000000"/>
                <w:szCs w:val="22"/>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657D883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Πρόσθετα στοιχεία της κατηγορίας 1: Άλλα στοιχεία κεφαλαίου, αφαιρέσεις και προσαρμογές</w:t>
            </w:r>
          </w:p>
          <w:p w14:paraId="1BDF411B"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Η γραμμή αυτή περιλαμβάνει το άθροισμα των ακόλουθων στοιχείων, ανάλογα με την περίπτωση:</w:t>
            </w:r>
          </w:p>
          <w:p w14:paraId="5ED17935"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 xml:space="preserve">Μεταβατικές προσαρμογές λόγω αποδοχής του </w:t>
            </w:r>
            <w:r w:rsidRPr="00DE6689">
              <w:rPr>
                <w:rFonts w:ascii="Times New Roman" w:hAnsi="Times New Roman"/>
                <w:bCs/>
              </w:rPr>
              <w:t>προϋφιστάμενου καθεστώτος όσον αφορά τα κεφαλαιακά μέσα AT1 [άρθρο 483 παράγραφοι 4 και 5, άρθρα 484 έως 487, άρθρα 489 και 491 του κανονισμού (ΕΕ) αριθ. 575/2013].</w:t>
            </w:r>
          </w:p>
          <w:p w14:paraId="2523BC46"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lastRenderedPageBreak/>
              <w:t>—</w:t>
            </w:r>
            <w:r w:rsidRPr="00DE6689">
              <w:rPr>
                <w:rFonts w:ascii="Times New Roman" w:eastAsia="Times New Roman" w:hAnsi="Times New Roman" w:cs="Times New Roman"/>
                <w:bCs/>
                <w:szCs w:val="22"/>
              </w:rPr>
              <w:tab/>
            </w:r>
            <w:r w:rsidRPr="00DE6689">
              <w:rPr>
                <w:rFonts w:ascii="Times New Roman" w:hAnsi="Times New Roman"/>
                <w:bCs/>
              </w:rPr>
              <w:t xml:space="preserve">Μέσα που εκδίδονται από θυγατρικές και αναγνωρίζονται στο κεφάλαιο AT1 [άρθρα 83, 85 και </w:t>
            </w:r>
            <w:r w:rsidRPr="00DE6689">
              <w:rPr>
                <w:rFonts w:ascii="Times New Roman" w:hAnsi="Times New Roman"/>
                <w:bCs/>
              </w:rPr>
              <w:t>86 του κανονισμού (ΕΕ) αριθ. 575/2013]: άθροισμα όλων των ποσών του αποδεκτού κεφαλαίου Τ1 θυγατρικών που περιλαμβάνονται στα ενοποιημένα κεφάλαια ΑΤ1, συμπεριλαμβανομένου επίσης του κεφαλαίου που εκδίδεται από οντότητα ειδικού σκοπού [άρθρο 83 του κανονισ</w:t>
            </w:r>
            <w:r w:rsidRPr="00DE6689">
              <w:rPr>
                <w:rFonts w:ascii="Times New Roman" w:hAnsi="Times New Roman"/>
                <w:bCs/>
              </w:rPr>
              <w:t>μού (ΕΕ) αριθ. 575/2013].</w:t>
            </w:r>
          </w:p>
          <w:p w14:paraId="66FA90FC"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Μεταβατικές προσαρμογές λόγω της πρόσθετης αναγνώρισης μέσων που εκδίδονται από θυγατρικές στο κεφάλαιο ΑΤ1 [άρθρο 480 του κανονισμού (ΕΕ) αριθ. 575/2013] και προσαρμογές στο αποδεκτό κεφάλαιο T1 που περιλαμβάνεται στο ενοποιημέ</w:t>
            </w:r>
            <w:r w:rsidRPr="00DE6689">
              <w:rPr>
                <w:rFonts w:ascii="Times New Roman" w:hAnsi="Times New Roman"/>
                <w:bCs/>
              </w:rPr>
              <w:t>νο κεφάλαιο ΑΤ1 λόγω μεταβατικών διατάξεων</w:t>
            </w:r>
          </w:p>
          <w:p w14:paraId="3598FF4B"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Άλλες μεταβατικές προσαρμογές στο κεφάλαιο AT1 [άρθρα 472, 473α, 474, 475, 478 και 481 του κανονισμού (ΕΕ) αριθ. 575/2013]: προσαρμογές στις αφαιρέσεις λόγω μεταβατικών διατάξεων.</w:t>
            </w:r>
          </w:p>
          <w:p w14:paraId="4986C1BA"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Υπερβάλλον ποσό αφαίρεσης από</w:t>
            </w:r>
            <w:r w:rsidRPr="00DE6689">
              <w:rPr>
                <w:rFonts w:ascii="Times New Roman" w:hAnsi="Times New Roman"/>
                <w:bCs/>
              </w:rPr>
              <w:t xml:space="preserve"> στοιχεία ΑΤ1 επί κεφαλαίου ΑΤ1, που αφαιρείται από το κεφάλαιο CET1 σύμφωνα με το άρθρο 36 παράγραφος 1 στοιχείο ι) του κανονισμού (ΕΕ) αριθ. 575/2013: τα πρόσθετα στοιχεία της κατηγορίας 1 δεν μπορούν να είναι αρνητικά, αλλά είναι πιθανό οι αφαιρέσεις απ</w:t>
            </w:r>
            <w:r w:rsidRPr="00DE6689">
              <w:rPr>
                <w:rFonts w:ascii="Times New Roman" w:hAnsi="Times New Roman"/>
                <w:bCs/>
              </w:rPr>
              <w:t>ό στοιχεία AT1 να υπερβαίνουν το ποσό των διαθέσιμων στοιχείων AT1. Όταν συμβαίνει αυτό, το εν λόγω στοιχείο αντιπροσωπεύει το ποσό που απαιτείται για την αύξηση του ποσού που αναφέρεται στη γραμμή 20 στο μηδέν και ισούται με το αντίστροφο του υπερβάλλοντο</w:t>
            </w:r>
            <w:r w:rsidRPr="00DE6689">
              <w:rPr>
                <w:rFonts w:ascii="Times New Roman" w:hAnsi="Times New Roman"/>
                <w:bCs/>
              </w:rPr>
              <w:t>ς ποσού των αφαιρέσεων από στοιχεία ΑΤ1 επί κεφαλαίου ΑΤ1 που περιλαμβάνονται, μεταξύ άλλων αφαιρέσεων, στη γραμμή 18.</w:t>
            </w:r>
          </w:p>
          <w:p w14:paraId="51C2E279"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Άλλα στοιχεία κεφαλαίου AT1 ή αφαιρέσεις από στοιχείο του κεφαλαίου AT1 που δεν μπορούν να αναφερθούν σε καμία από τις γραμμές 21 έως 2</w:t>
            </w:r>
            <w:r w:rsidRPr="00DE6689">
              <w:rPr>
                <w:rFonts w:ascii="Times New Roman" w:hAnsi="Times New Roman"/>
                <w:bCs/>
              </w:rPr>
              <w:t>3.</w:t>
            </w:r>
          </w:p>
          <w:p w14:paraId="3C7716FF"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 xml:space="preserve">Η γραμμή αυτή δεν χρησιμοποιείται για να συμπεριληφθούν στον υπολογισμό των συντελεστών φερεγγυότητας στοιχεία κεφαλαίου ή αφαιρέσεις που δεν καλύπτονται από τον κανονισμό (ΕΕ) </w:t>
            </w:r>
            <w:r w:rsidRPr="00DE6689">
              <w:rPr>
                <w:rFonts w:ascii="Times New Roman" w:hAnsi="Times New Roman"/>
                <w:bCs/>
                <w:szCs w:val="22"/>
              </w:rPr>
              <w:t>2019/2033</w:t>
            </w:r>
            <w:r w:rsidRPr="00DE6689">
              <w:rPr>
                <w:rFonts w:ascii="Times New Roman" w:hAnsi="Times New Roman"/>
                <w:bCs/>
                <w:szCs w:val="22"/>
              </w:rPr>
              <w:t xml:space="preserve"> ή τον κανονισμό (ΕΕ) αριθ. 575/2013.</w:t>
            </w:r>
          </w:p>
        </w:tc>
      </w:tr>
      <w:tr w:rsidR="00C24790" w:rsidRPr="00DE6689" w14:paraId="5269B9FC" w14:textId="77777777">
        <w:tblPrEx>
          <w:tblLook w:val="00A0" w:firstRow="1" w:lastRow="0" w:firstColumn="1" w:lastColumn="0" w:noHBand="0" w:noVBand="0"/>
        </w:tblPrEx>
        <w:tc>
          <w:tcPr>
            <w:tcW w:w="1129" w:type="dxa"/>
            <w:shd w:val="clear" w:color="auto" w:fill="auto"/>
            <w:vAlign w:val="center"/>
          </w:tcPr>
          <w:p w14:paraId="5E06E44B"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lastRenderedPageBreak/>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49710BD4"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xml:space="preserve">ΚΕΦΑΛΑΙΟ ΤΗΣ </w:t>
            </w:r>
            <w:r w:rsidRPr="00DE6689">
              <w:rPr>
                <w:rFonts w:ascii="Times New Roman" w:hAnsi="Times New Roman"/>
                <w:b/>
                <w:bCs/>
                <w:szCs w:val="22"/>
                <w:u w:val="single"/>
              </w:rPr>
              <w:t>ΚΑΤΗΓΟΡΙΑΣ 2</w:t>
            </w:r>
          </w:p>
          <w:p w14:paraId="10DFA427"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1 του κανονισμού (ΕΕ) </w:t>
            </w:r>
            <w:r w:rsidRPr="00DE6689">
              <w:rPr>
                <w:rFonts w:ascii="Times New Roman" w:hAnsi="Times New Roman"/>
                <w:bCs/>
                <w:szCs w:val="22"/>
              </w:rPr>
              <w:t>2019/2033</w:t>
            </w:r>
            <w:r w:rsidRPr="00DE6689">
              <w:rPr>
                <w:rFonts w:ascii="Times New Roman" w:hAnsi="Times New Roman"/>
                <w:bCs/>
                <w:szCs w:val="22"/>
              </w:rPr>
              <w:t>.</w:t>
            </w:r>
          </w:p>
          <w:p w14:paraId="6EA9215D"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Άρθρο 71 του κανονισμού (ΕΕ) αριθ. 575/2013.</w:t>
            </w:r>
          </w:p>
          <w:p w14:paraId="6971EBA3"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Δημοσιοποιείται το συνολικό άθροισμα των γραμμών 26 έως 29.</w:t>
            </w:r>
          </w:p>
        </w:tc>
      </w:tr>
      <w:tr w:rsidR="00C24790" w:rsidRPr="00DE6689" w14:paraId="5FE82891" w14:textId="77777777">
        <w:tblPrEx>
          <w:tblLook w:val="00A0" w:firstRow="1" w:lastRow="0" w:firstColumn="1" w:lastColumn="0" w:noHBand="0" w:noVBand="0"/>
        </w:tblPrEx>
        <w:tc>
          <w:tcPr>
            <w:tcW w:w="1129" w:type="dxa"/>
            <w:shd w:val="clear" w:color="auto" w:fill="auto"/>
            <w:vAlign w:val="center"/>
          </w:tcPr>
          <w:p w14:paraId="3D10D65C"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49FC4AC8"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
                <w:bCs/>
                <w:szCs w:val="22"/>
                <w:u w:val="single"/>
              </w:rPr>
              <w:t>Πλήρως καταβεβλημένα, απευθείας εκδοθέντα κεφαλαιακά μέσα</w:t>
            </w:r>
          </w:p>
          <w:p w14:paraId="6ECDBFC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w:t>
            </w:r>
            <w:r w:rsidRPr="00DE6689">
              <w:rPr>
                <w:rFonts w:ascii="Times New Roman" w:hAnsi="Times New Roman"/>
                <w:bCs/>
                <w:szCs w:val="22"/>
              </w:rPr>
              <w:t>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66444A47" w14:textId="77777777" w:rsidR="00C24790" w:rsidRPr="00DE6689" w:rsidRDefault="00DE6689">
            <w:pPr>
              <w:pStyle w:val="InstructionsText"/>
              <w:rPr>
                <w:rStyle w:val="FormatvorlageInstructionsTabelleText"/>
                <w:rFonts w:ascii="Times New Roman" w:eastAsiaTheme="minorHAnsi" w:hAnsi="Times New Roman"/>
                <w:bCs/>
                <w:sz w:val="22"/>
              </w:rPr>
            </w:pPr>
            <w:r w:rsidRPr="00DE6689">
              <w:rPr>
                <w:rStyle w:val="FormatvorlageInstructionsTabelleText"/>
                <w:rFonts w:ascii="Times New Roman" w:hAnsi="Times New Roman"/>
                <w:sz w:val="22"/>
              </w:rPr>
              <w:t>Άρθρο 62 στοιχείο α), άρθρα 63 και 65 του κανονισμού (ΕΕ) αριθ. 575/2013.</w:t>
            </w:r>
          </w:p>
          <w:p w14:paraId="64E27D2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Το προς δημοσιοποίηση ποσό δεν περιλαμβάνει τη διαφορά από την έκδοση μετοχών υπέρ το άρτιο που αφορά τα μέσα.</w:t>
            </w:r>
          </w:p>
        </w:tc>
      </w:tr>
      <w:tr w:rsidR="00C24790" w:rsidRPr="00DE6689" w14:paraId="3D6545A7" w14:textId="77777777">
        <w:tblPrEx>
          <w:tblLook w:val="00A0" w:firstRow="1" w:lastRow="0" w:firstColumn="1" w:lastColumn="0" w:noHBand="0" w:noVBand="0"/>
        </w:tblPrEx>
        <w:tc>
          <w:tcPr>
            <w:tcW w:w="1129" w:type="dxa"/>
            <w:shd w:val="clear" w:color="auto" w:fill="auto"/>
            <w:vAlign w:val="center"/>
          </w:tcPr>
          <w:p w14:paraId="686935FD"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274919A8"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xml:space="preserve">Διαφορά από έκδοση </w:t>
            </w:r>
            <w:r w:rsidRPr="00DE6689">
              <w:rPr>
                <w:rFonts w:ascii="Times New Roman" w:hAnsi="Times New Roman"/>
                <w:b/>
                <w:bCs/>
                <w:szCs w:val="22"/>
                <w:u w:val="single"/>
              </w:rPr>
              <w:t>μετοχών υπέρ το άρτιο</w:t>
            </w:r>
          </w:p>
          <w:p w14:paraId="3A6A0757"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10A86F1F"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62 στοιχείο β) και άρθρο 65 του κανονισμού (ΕΕ) αριθ. 575/2013.</w:t>
            </w:r>
          </w:p>
          <w:p w14:paraId="28BBBBEC"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Ο όρος </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διαφορά από την έκδοση μετοχών υπέρ το άρτιο</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 xml:space="preserve"> έχει την ίδια έννοια με αυτήν του εφαρμοστέου λο</w:t>
            </w:r>
            <w:r w:rsidRPr="00DE6689">
              <w:rPr>
                <w:rStyle w:val="FormatvorlageInstructionsTabelleText"/>
                <w:rFonts w:ascii="Times New Roman" w:hAnsi="Times New Roman"/>
                <w:sz w:val="22"/>
              </w:rPr>
              <w:t>γιστικού προτύπου.</w:t>
            </w:r>
          </w:p>
          <w:p w14:paraId="45252766" w14:textId="77777777" w:rsidR="00C24790" w:rsidRPr="00DE6689" w:rsidRDefault="00DE6689">
            <w:pPr>
              <w:pStyle w:val="InstructionsText"/>
            </w:pPr>
            <w:r w:rsidRPr="00DE6689">
              <w:rPr>
                <w:rStyle w:val="FormatvorlageInstructionsTabelleText"/>
                <w:rFonts w:ascii="Times New Roman" w:hAnsi="Times New Roman"/>
                <w:sz w:val="22"/>
              </w:rPr>
              <w:t xml:space="preserve">Το προς δημοσιοποίηση ποσό στο συγκεκριμένο στοιχείο είναι το μέρος που σχετίζεται με τα </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καταβεβλημένα κεφαλαιακά μέσα</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w:t>
            </w:r>
          </w:p>
        </w:tc>
      </w:tr>
      <w:tr w:rsidR="00C24790" w:rsidRPr="00DE6689" w14:paraId="50665EEF" w14:textId="77777777">
        <w:tblPrEx>
          <w:tblLook w:val="00A0" w:firstRow="1" w:lastRow="0" w:firstColumn="1" w:lastColumn="0" w:noHBand="0" w:noVBand="0"/>
        </w:tblPrEx>
        <w:tc>
          <w:tcPr>
            <w:tcW w:w="1129" w:type="dxa"/>
            <w:shd w:val="clear" w:color="auto" w:fill="auto"/>
            <w:vAlign w:val="center"/>
          </w:tcPr>
          <w:p w14:paraId="712DEA16"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097A46B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ΣΥΝΟΛΙΚΕΣ ΑΦΑΙΡΕΣΕΙΣ ΑΠΟ ΜΕΣΑ ΤΗΣ ΚΑΤΗΓΟΡΙΑΣ 2</w:t>
            </w:r>
          </w:p>
          <w:p w14:paraId="32F732D8"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szCs w:val="22"/>
              </w:rPr>
              <w:t>Άρθρο 66 του κανονισμού (ΕΕ) αριθ. 575/2013.</w:t>
            </w:r>
          </w:p>
        </w:tc>
      </w:tr>
      <w:tr w:rsidR="00C24790" w:rsidRPr="00DE6689" w14:paraId="5735C9E2" w14:textId="77777777">
        <w:tblPrEx>
          <w:tblLook w:val="00A0" w:firstRow="1" w:lastRow="0" w:firstColumn="1" w:lastColumn="0" w:noHBand="0" w:noVBand="0"/>
        </w:tblPrEx>
        <w:tc>
          <w:tcPr>
            <w:tcW w:w="1129" w:type="dxa"/>
            <w:shd w:val="clear" w:color="auto" w:fill="auto"/>
            <w:vAlign w:val="center"/>
          </w:tcPr>
          <w:p w14:paraId="0254E832" w14:textId="77777777" w:rsidR="00C24790" w:rsidRPr="00DE6689" w:rsidRDefault="00DE6689">
            <w:pPr>
              <w:spacing w:after="120"/>
              <w:jc w:val="both"/>
              <w:rPr>
                <w:rFonts w:ascii="Times New Roman" w:hAnsi="Times New Roman" w:cs="Times New Roman"/>
                <w:color w:val="000000"/>
                <w:szCs w:val="22"/>
              </w:rPr>
            </w:pPr>
            <w:r w:rsidRPr="00DE6689">
              <w:rPr>
                <w:rFonts w:ascii="Times New Roman" w:hAnsi="Times New Roman"/>
                <w:color w:val="000000"/>
                <w:szCs w:val="22"/>
              </w:rPr>
              <w:lastRenderedPageBreak/>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E5C72D3"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Στοιχεία της κατηγορίας 2: Άλλα στοιχεία κεφαλαίου, αφαιρέσεις και προσαρμογές</w:t>
            </w:r>
          </w:p>
          <w:p w14:paraId="0BADC606"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Η γραμμή αυτή περιλαμβάνει το άθροισμα των ακόλουθων στοιχείων, ανάλογα με την περίπτωση:</w:t>
            </w:r>
          </w:p>
          <w:p w14:paraId="24929598"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 xml:space="preserve">Μεταβατικές προσαρμογές λόγω αποδοχής του προϋφιστάμενου καθεστώτος όσον αφορά τα </w:t>
            </w:r>
            <w:r w:rsidRPr="00DE6689">
              <w:rPr>
                <w:rFonts w:ascii="Times New Roman" w:hAnsi="Times New Roman"/>
                <w:bCs/>
              </w:rPr>
              <w:t>κεφαλαιακά μέσα T2 [άρθρο 483 παράγραφοι 6 και 7, άρθρα 484, 486, 488, 490 και 491 του κανονισμού (ΕΕ) αριθ. 575/2013].</w:t>
            </w:r>
          </w:p>
          <w:p w14:paraId="2681B1A6"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Μέσα που εκδίδονται από θυγατρικές και αναγνωρίζονται στο κεφάλαιο T2 [άρθρα 83, 87 και 88 του κανονισμού (ΕΕ) αριθ. 575/2013]: άθροισ</w:t>
            </w:r>
            <w:r w:rsidRPr="00DE6689">
              <w:rPr>
                <w:rFonts w:ascii="Times New Roman" w:hAnsi="Times New Roman"/>
                <w:bCs/>
              </w:rPr>
              <w:t>μα όλων των ποσών των αποδεκτών ιδίων κεφαλαίων θυγατρικών που περιλαμβάνονται στο ενοποιημένο κεφάλαιο T2, συμπεριλαμβανομένου επίσης του αποδεκτού κεφαλαίου της κατηγορίας 2 που εκδίδεται από οντότητα ειδικού σκοπού [άρθρο 83 του κανονισμού (ΕΕ) αριθ. 57</w:t>
            </w:r>
            <w:r w:rsidRPr="00DE6689">
              <w:rPr>
                <w:rFonts w:ascii="Times New Roman" w:hAnsi="Times New Roman"/>
                <w:bCs/>
              </w:rPr>
              <w:t>5/2013].</w:t>
            </w:r>
          </w:p>
          <w:p w14:paraId="58890771"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Μεταβατικές προσαρμογές λόγω πρόσθετης αναγνώρισης στο κεφάλαιο T2 μέσων που εκδίδονται από θυγατρικές [άρθρο 480 του κανονισμού (ΕΕ) αριθ. 575/2013]: Προσαρμογές στα αποδεκτά ίδια κεφάλαια που περιλαμβάνονται στα ενοποιημένα κεφάλαια Τ2 λόγω με</w:t>
            </w:r>
            <w:r w:rsidRPr="00DE6689">
              <w:rPr>
                <w:rFonts w:ascii="Times New Roman" w:hAnsi="Times New Roman"/>
                <w:bCs/>
              </w:rPr>
              <w:t>ταβατικών διατάξεων.</w:t>
            </w:r>
          </w:p>
          <w:p w14:paraId="1BEF6799"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Άλλες μεταβατικές προσαρμογές στο κεφάλαιο T2 [άρθρα 472, 473α, 476, 477, 478 και 481 του κανονισμού (ΕΕ) αριθ. 575/2013]: προσαρμογές στις αφαιρέσεις από το κεφάλαιο της κατηγορίας 2 λόγω μεταβατικών διατάξεων.</w:t>
            </w:r>
          </w:p>
          <w:p w14:paraId="4A66217D"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Υπερβάλλον ποσό αφα</w:t>
            </w:r>
            <w:r w:rsidRPr="00DE6689">
              <w:rPr>
                <w:rFonts w:ascii="Times New Roman" w:hAnsi="Times New Roman"/>
                <w:bCs/>
              </w:rPr>
              <w:t>ίρεσης από στοιχεία T2 επί κεφαλαίου T2, που αφαιρείται από το κεφάλαιο AT1 σύμφωνα με το άρθρο 56 στοιχείο ε) του κανονισμού (ΕΕ) αριθ. 575/2013: τα στοιχεία της κατηγορίας 2 δεν μπορούν να είναι αρνητικά, αλλά είναι πιθανό οι αφαιρέσεις από στοιχεία T2 ν</w:t>
            </w:r>
            <w:r w:rsidRPr="00DE6689">
              <w:rPr>
                <w:rFonts w:ascii="Times New Roman" w:hAnsi="Times New Roman"/>
                <w:bCs/>
              </w:rPr>
              <w:t>α υπερβαίνουν το ποσό των διαθέσιμων στοιχείων T2. Όταν συμβαίνει αυτό, το εν λόγω στοιχείο αντιπροσωπεύει το ποσό που απαιτείται για την αύξηση του ποσού που αναφέρεται στη γραμμή 25 στο μηδέν.</w:t>
            </w:r>
          </w:p>
          <w:p w14:paraId="4B1F8822"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Άλλα στοιχεία κεφαλαίου T2 ή αφαιρέσεις από στοιχείο του κε</w:t>
            </w:r>
            <w:r w:rsidRPr="00DE6689">
              <w:rPr>
                <w:rFonts w:ascii="Times New Roman" w:hAnsi="Times New Roman"/>
                <w:bCs/>
              </w:rPr>
              <w:t>φαλαίου T2 που δεν μπορούν να αναφερθούν σε καμία από τις γραμμές 26 έως 28.</w:t>
            </w:r>
          </w:p>
          <w:p w14:paraId="13B66462"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 xml:space="preserve">Η γραμμή αυτή δεν χρησιμοποιείται για να συμπεριληφθούν στον υπολογισμό των συντελεστών φερεγγυότητας στοιχεία κεφαλαίου ή αφαιρέσεις που δεν καλύπτονται από τον κανονισμό (ΕΕ) </w:t>
            </w:r>
            <w:r w:rsidRPr="00DE6689">
              <w:rPr>
                <w:rFonts w:ascii="Times New Roman" w:hAnsi="Times New Roman"/>
                <w:bCs/>
                <w:szCs w:val="22"/>
              </w:rPr>
              <w:t>20</w:t>
            </w:r>
            <w:r w:rsidRPr="00DE6689">
              <w:rPr>
                <w:rFonts w:ascii="Times New Roman" w:hAnsi="Times New Roman"/>
                <w:bCs/>
                <w:szCs w:val="22"/>
              </w:rPr>
              <w:t>19/2033</w:t>
            </w:r>
            <w:r w:rsidRPr="00DE6689">
              <w:rPr>
                <w:rFonts w:ascii="Times New Roman" w:hAnsi="Times New Roman"/>
                <w:bCs/>
                <w:szCs w:val="22"/>
              </w:rPr>
              <w:t xml:space="preserve"> ή τον κανονισμό (ΕΕ) αριθ. 575/2013.</w:t>
            </w:r>
          </w:p>
        </w:tc>
      </w:tr>
    </w:tbl>
    <w:p w14:paraId="458ECB7A" w14:textId="77777777" w:rsidR="00C24790" w:rsidRPr="00DE6689" w:rsidRDefault="00C24790">
      <w:pPr>
        <w:ind w:left="720"/>
        <w:rPr>
          <w:rFonts w:ascii="Times New Roman" w:hAnsi="Times New Roman" w:cs="Times New Roman"/>
          <w:b/>
          <w:bCs/>
          <w:sz w:val="24"/>
          <w:lang w:val="en-IE"/>
        </w:rPr>
      </w:pPr>
    </w:p>
    <w:p w14:paraId="1220E223" w14:textId="77777777" w:rsidR="00C24790" w:rsidRPr="00DE6689" w:rsidRDefault="00DE6689">
      <w:pPr>
        <w:ind w:left="720"/>
        <w:rPr>
          <w:rFonts w:ascii="Times New Roman" w:hAnsi="Times New Roman" w:cs="Times New Roman"/>
          <w:b/>
          <w:bCs/>
          <w:sz w:val="24"/>
        </w:rPr>
      </w:pPr>
      <w:r w:rsidRPr="00DE6689">
        <w:rPr>
          <w:rFonts w:ascii="Times New Roman" w:hAnsi="Times New Roman"/>
          <w:b/>
          <w:bCs/>
          <w:sz w:val="24"/>
        </w:rPr>
        <w:t>Υπόδειγμα EU I CC</w:t>
      </w:r>
      <w:r w:rsidRPr="00DE6689">
        <w:rPr>
          <w:rFonts w:ascii="Times New Roman" w:hAnsi="Times New Roman"/>
          <w:b/>
          <w:bCs/>
          <w:sz w:val="24"/>
        </w:rPr>
        <w:t>1.03</w:t>
      </w:r>
      <w:r w:rsidRPr="00DE6689">
        <w:rPr>
          <w:rFonts w:ascii="Times New Roman" w:hAnsi="Times New Roman"/>
          <w:b/>
          <w:bCs/>
          <w:sz w:val="24"/>
        </w:rPr>
        <w:t xml:space="preserve"> — Σύνθεση των κανονιστικών ιδίων κεφαλαίων (δοκιμή κεφαλαίων ομίλου)</w:t>
      </w:r>
    </w:p>
    <w:p w14:paraId="129011E3" w14:textId="77777777" w:rsidR="00C24790" w:rsidRPr="00DE6689" w:rsidRDefault="00DE6689">
      <w:pPr>
        <w:tabs>
          <w:tab w:val="left" w:pos="360"/>
        </w:tabs>
        <w:spacing w:before="120" w:after="120"/>
        <w:ind w:left="360" w:hanging="360"/>
        <w:jc w:val="both"/>
        <w:rPr>
          <w:rFonts w:ascii="Times New Roman" w:hAnsi="Times New Roman" w:cs="Times New Roman"/>
          <w:bCs/>
          <w:sz w:val="24"/>
        </w:rPr>
      </w:pPr>
      <w:r w:rsidRPr="00DE6689">
        <w:rPr>
          <w:rFonts w:ascii="Times New Roman" w:hAnsi="Times New Roman" w:cs="Times New Roman"/>
          <w:bCs/>
          <w:sz w:val="24"/>
        </w:rPr>
        <w:t>6.</w:t>
      </w:r>
      <w:r w:rsidRPr="00DE6689">
        <w:rPr>
          <w:rFonts w:ascii="Times New Roman" w:hAnsi="Times New Roman" w:cs="Times New Roman"/>
          <w:bCs/>
          <w:sz w:val="24"/>
        </w:rPr>
        <w:tab/>
      </w:r>
      <w:r w:rsidRPr="00DE6689">
        <w:rPr>
          <w:rFonts w:ascii="Times New Roman" w:hAnsi="Times New Roman"/>
          <w:bCs/>
          <w:sz w:val="24"/>
        </w:rPr>
        <w:t xml:space="preserve">Οι οντότητες που αναφέρονται στο άρθρο 8 παράγραφος 3 του κανονισμού (ΕΕ) </w:t>
      </w:r>
      <w:r w:rsidRPr="00DE6689">
        <w:rPr>
          <w:rFonts w:ascii="Times New Roman" w:hAnsi="Times New Roman"/>
          <w:bCs/>
          <w:sz w:val="24"/>
        </w:rPr>
        <w:t>2019/2033</w:t>
      </w:r>
      <w:r w:rsidRPr="00DE6689">
        <w:rPr>
          <w:rFonts w:ascii="Times New Roman" w:hAnsi="Times New Roman"/>
          <w:bCs/>
          <w:sz w:val="24"/>
        </w:rPr>
        <w:t xml:space="preserve"> και επωφελούνται από την εφαρμογή του ίδιου άρθρου δημοσιοποιούν τις πληροφορίες σχετικά με τη σύνθεση των ιδίων κεφαλαίων σύμφωνα με το υπόδειγμα EU I CC</w:t>
      </w:r>
      <w:r w:rsidRPr="00DE6689">
        <w:rPr>
          <w:rFonts w:ascii="Times New Roman" w:hAnsi="Times New Roman"/>
          <w:bCs/>
          <w:sz w:val="24"/>
        </w:rPr>
        <w:t>1.03</w:t>
      </w:r>
      <w:r w:rsidRPr="00DE6689">
        <w:rPr>
          <w:rFonts w:ascii="Times New Roman" w:hAnsi="Times New Roman"/>
          <w:bCs/>
          <w:sz w:val="24"/>
        </w:rPr>
        <w:t xml:space="preserve"> και με τις ακ</w:t>
      </w:r>
      <w:r w:rsidRPr="00DE6689">
        <w:rPr>
          <w:rFonts w:ascii="Times New Roman" w:hAnsi="Times New Roman"/>
          <w:bCs/>
          <w:sz w:val="24"/>
        </w:rPr>
        <w:t>όλουθες οδηγίες.</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24790" w:rsidRPr="00DE6689" w14:paraId="0F8E8FF8" w14:textId="77777777">
        <w:tc>
          <w:tcPr>
            <w:tcW w:w="1129" w:type="dxa"/>
            <w:shd w:val="clear" w:color="auto" w:fill="D9D9D9"/>
          </w:tcPr>
          <w:p w14:paraId="3C0AFBA5"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szCs w:val="22"/>
              </w:rPr>
              <w:t>Γραμμή</w:t>
            </w:r>
          </w:p>
        </w:tc>
        <w:tc>
          <w:tcPr>
            <w:tcW w:w="7620" w:type="dxa"/>
            <w:shd w:val="clear" w:color="auto" w:fill="D9D9D9"/>
          </w:tcPr>
          <w:p w14:paraId="0C64BC0A"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szCs w:val="22"/>
              </w:rPr>
              <w:t>Νομικά κείμενα αναφοράς και οδηγίες</w:t>
            </w:r>
          </w:p>
        </w:tc>
      </w:tr>
      <w:tr w:rsidR="00C24790" w:rsidRPr="00DE6689" w14:paraId="6915D3CE" w14:textId="77777777">
        <w:tc>
          <w:tcPr>
            <w:tcW w:w="1129" w:type="dxa"/>
            <w:vAlign w:val="center"/>
          </w:tcPr>
          <w:p w14:paraId="6B35E9BE"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color w:val="000000"/>
                <w:szCs w:val="22"/>
              </w:rPr>
              <w:t>1</w:t>
            </w:r>
          </w:p>
        </w:tc>
        <w:tc>
          <w:tcPr>
            <w:tcW w:w="7620" w:type="dxa"/>
          </w:tcPr>
          <w:p w14:paraId="0E551743"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ΙΔΙΑ ΚΕΦΑΛΑΙΑ</w:t>
            </w:r>
          </w:p>
          <w:p w14:paraId="716A14EB"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1 του κανονισμού (ΕΕ) </w:t>
            </w:r>
            <w:r w:rsidRPr="00DE6689">
              <w:rPr>
                <w:rFonts w:ascii="Times New Roman" w:hAnsi="Times New Roman"/>
                <w:bCs/>
                <w:szCs w:val="22"/>
              </w:rPr>
              <w:t>2019/2033</w:t>
            </w:r>
            <w:r w:rsidRPr="00DE6689">
              <w:rPr>
                <w:rFonts w:ascii="Times New Roman" w:hAnsi="Times New Roman"/>
                <w:bCs/>
                <w:szCs w:val="22"/>
              </w:rPr>
              <w:t>.</w:t>
            </w:r>
          </w:p>
          <w:p w14:paraId="0DB16253"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 xml:space="preserve">Τα ίδια κεφάλαια μιας επιχείρησης επενδύσεων απαρτίζονται από το άθροισμα του κεφαλαίου της κατηγορίας 1 και του </w:t>
            </w:r>
            <w:r w:rsidRPr="00DE6689">
              <w:rPr>
                <w:rStyle w:val="FormatvorlageInstructionsTabelleText"/>
                <w:rFonts w:ascii="Times New Roman" w:hAnsi="Times New Roman"/>
                <w:sz w:val="22"/>
                <w:szCs w:val="22"/>
              </w:rPr>
              <w:t>κεφαλαίου της κατηγορίας 2.</w:t>
            </w:r>
          </w:p>
        </w:tc>
      </w:tr>
      <w:tr w:rsidR="00C24790" w:rsidRPr="00DE6689" w14:paraId="70F8EB5C" w14:textId="77777777">
        <w:tc>
          <w:tcPr>
            <w:tcW w:w="1129" w:type="dxa"/>
            <w:vAlign w:val="center"/>
          </w:tcPr>
          <w:p w14:paraId="056B74E2"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color w:val="000000"/>
                <w:szCs w:val="22"/>
              </w:rPr>
              <w:t>2</w:t>
            </w:r>
          </w:p>
        </w:tc>
        <w:tc>
          <w:tcPr>
            <w:tcW w:w="7620" w:type="dxa"/>
          </w:tcPr>
          <w:p w14:paraId="066FBCE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ΚΕΦΑΛΑΙΟ ΤΗΣ ΚΑΤΗΓΟΡΙΑΣ 1</w:t>
            </w:r>
          </w:p>
          <w:p w14:paraId="07AF73C4"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Το κεφάλαιο της κατηγορίας 1 είναι το άθροισμα του κεφαλαίου κοινών μετοχών της κατηγορίας 1 και του πρόσθετου κεφαλαίου της κατηγορίας 1</w:t>
            </w:r>
          </w:p>
        </w:tc>
      </w:tr>
      <w:tr w:rsidR="00C24790" w:rsidRPr="00DE6689" w14:paraId="1ABB916B" w14:textId="77777777">
        <w:tc>
          <w:tcPr>
            <w:tcW w:w="1129" w:type="dxa"/>
            <w:vAlign w:val="center"/>
          </w:tcPr>
          <w:p w14:paraId="186A1B5D"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color w:val="000000"/>
                <w:szCs w:val="22"/>
              </w:rPr>
              <w:lastRenderedPageBreak/>
              <w:t>3</w:t>
            </w:r>
          </w:p>
        </w:tc>
        <w:tc>
          <w:tcPr>
            <w:tcW w:w="7620" w:type="dxa"/>
          </w:tcPr>
          <w:p w14:paraId="39A88AD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InstructionsTabelleberschrift"/>
                <w:rFonts w:ascii="Times New Roman" w:hAnsi="Times New Roman"/>
                <w:sz w:val="22"/>
                <w:szCs w:val="22"/>
              </w:rPr>
              <w:t>ΚΕΦΑΛΑΙΟ ΚΟΙΝΩΝ ΜΕΤΟΧΩΝ ΤΗΣ ΚΑΤΗΓΟΡΙΑΣ 1</w:t>
            </w:r>
          </w:p>
          <w:p w14:paraId="11E31B99"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1 του κανονισμού (ΕΕ) </w:t>
            </w:r>
            <w:r w:rsidRPr="00DE6689">
              <w:rPr>
                <w:rFonts w:ascii="Times New Roman" w:hAnsi="Times New Roman"/>
                <w:bCs/>
                <w:szCs w:val="22"/>
              </w:rPr>
              <w:t>2019/2033</w:t>
            </w:r>
            <w:r w:rsidRPr="00DE6689">
              <w:rPr>
                <w:rFonts w:ascii="Times New Roman" w:hAnsi="Times New Roman"/>
                <w:bCs/>
                <w:szCs w:val="22"/>
              </w:rPr>
              <w:t>.</w:t>
            </w:r>
          </w:p>
          <w:p w14:paraId="50A6669E" w14:textId="77777777" w:rsidR="00C24790" w:rsidRPr="00DE6689" w:rsidRDefault="00DE6689">
            <w:pPr>
              <w:spacing w:after="120"/>
              <w:jc w:val="both"/>
              <w:rPr>
                <w:rFonts w:ascii="Times New Roman" w:eastAsia="Times New Roman" w:hAnsi="Times New Roman" w:cs="Times New Roman"/>
                <w:bCs/>
                <w:szCs w:val="22"/>
              </w:rPr>
            </w:pPr>
            <w:r w:rsidRPr="00DE6689">
              <w:rPr>
                <w:rStyle w:val="FormatvorlageInstructionsTabelleText"/>
                <w:rFonts w:ascii="Times New Roman" w:hAnsi="Times New Roman"/>
                <w:sz w:val="22"/>
                <w:szCs w:val="22"/>
              </w:rPr>
              <w:t>Άρθρο 50 του κανονισμού (ΕΕ) αριθ. 575/2013.</w:t>
            </w:r>
          </w:p>
        </w:tc>
      </w:tr>
      <w:tr w:rsidR="00C24790" w:rsidRPr="00DE6689" w14:paraId="6EA25019" w14:textId="77777777">
        <w:tc>
          <w:tcPr>
            <w:tcW w:w="1129" w:type="dxa"/>
            <w:vAlign w:val="center"/>
          </w:tcPr>
          <w:p w14:paraId="28C67D6E"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4</w:t>
            </w:r>
          </w:p>
        </w:tc>
        <w:tc>
          <w:tcPr>
            <w:tcW w:w="7620" w:type="dxa"/>
          </w:tcPr>
          <w:p w14:paraId="61C6AA58"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Καταβεβλημένα κεφαλαιακά μέσα</w:t>
            </w:r>
          </w:p>
          <w:p w14:paraId="1D81D374"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p>
          <w:p w14:paraId="1899C8AF"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Άρθρο 26 παράγραφος 1 στοιχείο α) και άρθρα 27 έως 31 του </w:t>
            </w:r>
            <w:r w:rsidRPr="00DE6689">
              <w:rPr>
                <w:rStyle w:val="FormatvorlageInstructionsTabelleText"/>
                <w:rFonts w:ascii="Times New Roman" w:hAnsi="Times New Roman"/>
                <w:sz w:val="22"/>
              </w:rPr>
              <w:t>κανονισμού (ΕΕ) αριθ. 575/2013</w:t>
            </w:r>
          </w:p>
          <w:p w14:paraId="5EB4963F"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Περιλαμβάνονται κεφαλαιακά μέσα αλληλασφαλιστικών ενώσεων, συνεταιριστικών εταιρειών ή παρόμοιων ιδρυμάτων [άρθρα 27 και 29 του κανονισμού (ΕΕ) αριθ. 575/2013].</w:t>
            </w:r>
          </w:p>
          <w:p w14:paraId="50F4E353"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Δεν περιλαμβάνεται η διαφορά από την έκδοση μετοχών υπέρ το άρτι</w:t>
            </w:r>
            <w:r w:rsidRPr="00DE6689">
              <w:rPr>
                <w:rStyle w:val="FormatvorlageInstructionsTabelleText"/>
                <w:rFonts w:ascii="Times New Roman" w:hAnsi="Times New Roman"/>
                <w:sz w:val="22"/>
              </w:rPr>
              <w:t>ο που αφορά τα μέσα.</w:t>
            </w:r>
          </w:p>
          <w:p w14:paraId="5DC1CB54" w14:textId="77777777" w:rsidR="00C24790" w:rsidRPr="00DE6689" w:rsidRDefault="00DE6689">
            <w:pPr>
              <w:pStyle w:val="InstructionsText"/>
            </w:pPr>
            <w:r w:rsidRPr="00DE6689">
              <w:rPr>
                <w:rStyle w:val="FormatvorlageInstructionsTabelleText"/>
                <w:rFonts w:ascii="Times New Roman" w:hAnsi="Times New Roman"/>
                <w:sz w:val="22"/>
              </w:rPr>
              <w:t>Κεφαλαιακά μέσα που αναλαμβάνονται από δημόσιες αρχές σε καταστάσεις έκτακτης ανάγκης περιλαμβάνονται, εάν συντρέχουν όλες οι προϋποθέσεις του άρθρου 31 του κανονισμού (ΕΕ) αριθ. 575/2013.</w:t>
            </w:r>
          </w:p>
        </w:tc>
      </w:tr>
      <w:tr w:rsidR="00C24790" w:rsidRPr="00DE6689" w14:paraId="2483972D" w14:textId="77777777">
        <w:tc>
          <w:tcPr>
            <w:tcW w:w="1129" w:type="dxa"/>
            <w:vAlign w:val="center"/>
          </w:tcPr>
          <w:p w14:paraId="63E7AF37"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5</w:t>
            </w:r>
          </w:p>
        </w:tc>
        <w:tc>
          <w:tcPr>
            <w:tcW w:w="7620" w:type="dxa"/>
          </w:tcPr>
          <w:p w14:paraId="4A39AC9E"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Διαφορά από έκδοση μετοχών υπέρ το άρτιο</w:t>
            </w:r>
          </w:p>
          <w:p w14:paraId="21A008DC"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w:t>
            </w:r>
            <w:r w:rsidRPr="00DE6689">
              <w:rPr>
                <w:rFonts w:ascii="Times New Roman" w:hAnsi="Times New Roman"/>
                <w:bCs/>
                <w:szCs w:val="22"/>
              </w:rPr>
              <w:t>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1380A323"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Άρθρο 26 παράγραφος 1 στοιχείο β) του κανονισμού (ΕΕ) αριθ. 575/2013.</w:t>
            </w:r>
          </w:p>
          <w:p w14:paraId="48FF2691"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Ο όρος </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διαφορά από την έκδοση μετοχών υπέρ το άρτιο</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 xml:space="preserve"> έχει την ίδια έννοια με αυτήν του εφαρμοστέου λογιστικού προτύπου.</w:t>
            </w:r>
          </w:p>
          <w:p w14:paraId="7F7772FF"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 xml:space="preserve">Το προς δημοσιοποίηση ποσό στο συγκεκριμένο στοιχείο είναι το μέρος που σχετίζεται με τα </w:t>
            </w:r>
            <w:r w:rsidRPr="00DE6689">
              <w:rPr>
                <w:rStyle w:val="FormatvorlageInstructionsTabelleText"/>
                <w:rFonts w:ascii="Times New Roman" w:hAnsi="Times New Roman"/>
                <w:sz w:val="22"/>
                <w:szCs w:val="22"/>
              </w:rPr>
              <w:t>«</w:t>
            </w:r>
            <w:r w:rsidRPr="00DE6689">
              <w:rPr>
                <w:rStyle w:val="FormatvorlageInstructionsTabelleText"/>
                <w:rFonts w:ascii="Times New Roman" w:hAnsi="Times New Roman"/>
                <w:sz w:val="22"/>
                <w:szCs w:val="22"/>
              </w:rPr>
              <w:t>καταβεβλημένα κεφαλαιακά μέσα</w:t>
            </w:r>
            <w:r w:rsidRPr="00DE6689">
              <w:rPr>
                <w:rStyle w:val="FormatvorlageInstructionsTabelleText"/>
                <w:rFonts w:ascii="Times New Roman" w:hAnsi="Times New Roman"/>
                <w:sz w:val="22"/>
                <w:szCs w:val="22"/>
              </w:rPr>
              <w:t>»</w:t>
            </w:r>
            <w:r w:rsidRPr="00DE6689">
              <w:rPr>
                <w:rStyle w:val="FormatvorlageInstructionsTabelleText"/>
                <w:rFonts w:ascii="Times New Roman" w:hAnsi="Times New Roman"/>
                <w:sz w:val="22"/>
                <w:szCs w:val="22"/>
              </w:rPr>
              <w:t>.</w:t>
            </w:r>
          </w:p>
        </w:tc>
      </w:tr>
      <w:tr w:rsidR="00C24790" w:rsidRPr="00DE6689" w14:paraId="1E671F22" w14:textId="77777777">
        <w:tc>
          <w:tcPr>
            <w:tcW w:w="1129" w:type="dxa"/>
            <w:vAlign w:val="center"/>
          </w:tcPr>
          <w:p w14:paraId="674B5A9C"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6</w:t>
            </w:r>
          </w:p>
        </w:tc>
        <w:tc>
          <w:tcPr>
            <w:tcW w:w="7620" w:type="dxa"/>
          </w:tcPr>
          <w:p w14:paraId="50DFF48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Κέρδη εις νέον</w:t>
            </w:r>
          </w:p>
          <w:p w14:paraId="3AB4C16D"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436D3908" w14:textId="77777777" w:rsidR="00C24790" w:rsidRPr="00DE6689" w:rsidRDefault="00DE6689">
            <w:pPr>
              <w:spacing w:after="120"/>
              <w:jc w:val="both"/>
              <w:rPr>
                <w:rFonts w:ascii="Times New Roman" w:eastAsia="Times New Roman" w:hAnsi="Times New Roman" w:cs="Times New Roman"/>
                <w:bCs/>
                <w:szCs w:val="22"/>
              </w:rPr>
            </w:pPr>
            <w:r w:rsidRPr="00DE6689">
              <w:rPr>
                <w:rStyle w:val="FormatvorlageInstructionsTabelleText"/>
                <w:rFonts w:ascii="Times New Roman" w:hAnsi="Times New Roman"/>
                <w:sz w:val="22"/>
                <w:szCs w:val="22"/>
              </w:rPr>
              <w:t>Άρθρο 26 παράγραφος 1 στοιχείο γ) του κανονισμού (ΕΕ) αριθ. 575/2013.</w:t>
            </w:r>
          </w:p>
          <w:p w14:paraId="5031B7DB"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Τα κέρδη εις νέον περιλαμβάνουν τα κέρδη εις νέον από προηγούμενα έτη συν τα επιλέξιμα ενδιάμεσα κέρδη περιόδου ή κέρδη τέλους χρήσεως.</w:t>
            </w:r>
          </w:p>
        </w:tc>
      </w:tr>
      <w:tr w:rsidR="00C24790" w:rsidRPr="00DE6689" w14:paraId="53A20F82" w14:textId="77777777">
        <w:tc>
          <w:tcPr>
            <w:tcW w:w="1129" w:type="dxa"/>
            <w:vAlign w:val="center"/>
          </w:tcPr>
          <w:p w14:paraId="75221545"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7</w:t>
            </w:r>
          </w:p>
        </w:tc>
        <w:tc>
          <w:tcPr>
            <w:tcW w:w="7620" w:type="dxa"/>
          </w:tcPr>
          <w:p w14:paraId="3796E191"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xml:space="preserve">Κέρδη εις νέον </w:t>
            </w:r>
            <w:r w:rsidRPr="00DE6689">
              <w:rPr>
                <w:rFonts w:ascii="Times New Roman" w:hAnsi="Times New Roman"/>
                <w:b/>
                <w:bCs/>
                <w:szCs w:val="22"/>
                <w:u w:val="single"/>
              </w:rPr>
              <w:t>από προηγούμενα έτη</w:t>
            </w:r>
          </w:p>
          <w:p w14:paraId="325847ED" w14:textId="77777777" w:rsidR="00C24790" w:rsidRPr="00DE6689" w:rsidRDefault="00DE6689">
            <w:pPr>
              <w:spacing w:after="120"/>
              <w:jc w:val="both"/>
              <w:rPr>
                <w:rFonts w:ascii="Times New Roman" w:hAnsi="Times New Roman" w:cs="Times New Roman"/>
                <w:szCs w:val="22"/>
              </w:rPr>
            </w:pPr>
            <w:r w:rsidRPr="00DE6689">
              <w:rPr>
                <w:rFonts w:ascii="Times New Roman" w:hAnsi="Times New Roman"/>
                <w:szCs w:val="22"/>
              </w:rPr>
              <w:t>Άρθρο 4 παράγραφος 1 σημείο 123 και άρθρο 26 παράγραφος 1 στοιχείο γ) του κανονισμού (ΕΕ) αριθ. 575/2013.</w:t>
            </w:r>
          </w:p>
          <w:p w14:paraId="7FCC172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szCs w:val="22"/>
              </w:rPr>
              <w:t xml:space="preserve">Το άρθρο 4 παράγραφος 1 σημείο 123 του κανονισμού (ΕΕ) αριθ. 575/2013 ορίζει ως κέρδη εις νέον </w:t>
            </w:r>
            <w:r w:rsidRPr="00DE6689">
              <w:rPr>
                <w:rFonts w:ascii="Times New Roman" w:hAnsi="Times New Roman"/>
                <w:szCs w:val="22"/>
              </w:rPr>
              <w:t>«</w:t>
            </w:r>
            <w:r w:rsidRPr="00DE6689">
              <w:rPr>
                <w:rFonts w:ascii="Times New Roman" w:hAnsi="Times New Roman"/>
                <w:szCs w:val="22"/>
              </w:rPr>
              <w:t>τα αποτελέσματα που μεταφέρονται σ</w:t>
            </w:r>
            <w:r w:rsidRPr="00DE6689">
              <w:rPr>
                <w:rFonts w:ascii="Times New Roman" w:hAnsi="Times New Roman"/>
                <w:szCs w:val="22"/>
              </w:rPr>
              <w:t>την επόμενη περίοδο κατόπιν της τελικής εφαρμογής των αποτελεσμάτων δυνάμει του ισχύοντος λογιστικού πλαισίου</w:t>
            </w:r>
            <w:r w:rsidRPr="00DE6689">
              <w:rPr>
                <w:rFonts w:ascii="Times New Roman" w:hAnsi="Times New Roman"/>
                <w:szCs w:val="22"/>
              </w:rPr>
              <w:t>»</w:t>
            </w:r>
            <w:r w:rsidRPr="00DE6689">
              <w:rPr>
                <w:rFonts w:ascii="Times New Roman" w:hAnsi="Times New Roman"/>
                <w:szCs w:val="22"/>
              </w:rPr>
              <w:t>.</w:t>
            </w:r>
          </w:p>
        </w:tc>
      </w:tr>
      <w:tr w:rsidR="00C24790" w:rsidRPr="00DE6689" w14:paraId="093A84F8" w14:textId="77777777">
        <w:tc>
          <w:tcPr>
            <w:tcW w:w="1129" w:type="dxa"/>
            <w:vAlign w:val="center"/>
          </w:tcPr>
          <w:p w14:paraId="0B39D94D"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8</w:t>
            </w:r>
          </w:p>
        </w:tc>
        <w:tc>
          <w:tcPr>
            <w:tcW w:w="7620" w:type="dxa"/>
          </w:tcPr>
          <w:p w14:paraId="4552281A"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Επιλέξιμο κέρδος ή ζημία</w:t>
            </w:r>
          </w:p>
          <w:p w14:paraId="7BD95212" w14:textId="77777777" w:rsidR="00C24790" w:rsidRPr="00DE6689" w:rsidRDefault="00DE6689">
            <w:pPr>
              <w:spacing w:after="120"/>
              <w:jc w:val="both"/>
              <w:rPr>
                <w:rFonts w:ascii="Times New Roman" w:eastAsia="Times New Roman" w:hAnsi="Times New Roman" w:cs="Times New Roman"/>
                <w:szCs w:val="22"/>
              </w:rPr>
            </w:pPr>
            <w:r w:rsidRPr="00DE6689">
              <w:rPr>
                <w:rFonts w:ascii="Times New Roman" w:hAnsi="Times New Roman"/>
                <w:szCs w:val="22"/>
              </w:rPr>
              <w:t>Άρθρο 4 παράγραφος 1 σημείο 121, άρθρο 26 παράγραφος 2 και άρθρο 36 παράγραφος 1 στοιχείο α) του κανονισμού (ΕΕ) αρι</w:t>
            </w:r>
            <w:r w:rsidRPr="00DE6689">
              <w:rPr>
                <w:rFonts w:ascii="Times New Roman" w:hAnsi="Times New Roman"/>
                <w:szCs w:val="22"/>
              </w:rPr>
              <w:t>θ. 575/2013.</w:t>
            </w:r>
          </w:p>
          <w:p w14:paraId="5B2E7A91" w14:textId="77777777" w:rsidR="00C24790" w:rsidRPr="00DE6689" w:rsidRDefault="00DE6689">
            <w:pPr>
              <w:spacing w:after="120"/>
              <w:jc w:val="both"/>
              <w:rPr>
                <w:rFonts w:ascii="Times New Roman" w:eastAsia="Times New Roman" w:hAnsi="Times New Roman" w:cs="Times New Roman"/>
                <w:szCs w:val="22"/>
              </w:rPr>
            </w:pPr>
            <w:r w:rsidRPr="00DE6689">
              <w:rPr>
                <w:rFonts w:ascii="Times New Roman" w:hAnsi="Times New Roman"/>
                <w:szCs w:val="22"/>
              </w:rPr>
              <w:t>Σύμφωνα με το άρθρο 26 παράγραφος 2 του κανονισμού (ΕΕ) αριθ. 575/2013, τα ενδιάμεσα κέρδη περιόδου ή κέρδη τέλους χρήσεως δύναται να συμπεριληφθούν στα κέρδη εις νέον, με την προηγούμενη έγκριση της αρμόδιας αρχής, εφόσον πληρούνται ορισμένες</w:t>
            </w:r>
            <w:r w:rsidRPr="00DE6689">
              <w:rPr>
                <w:rFonts w:ascii="Times New Roman" w:hAnsi="Times New Roman"/>
                <w:szCs w:val="22"/>
              </w:rPr>
              <w:t xml:space="preserve"> προϋποθέσεις.</w:t>
            </w:r>
          </w:p>
          <w:p w14:paraId="2120FA99"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szCs w:val="22"/>
              </w:rPr>
              <w:lastRenderedPageBreak/>
              <w:t>Από την άλλη πλευρά, οι ζημίες αφαιρούνται από το κεφάλαιο CET1, όπως αναφέρεται στο άρθρο 36 παράγραφος 1 στοιχείο α) του κανονισμού (ΕΕ) αριθ. 575/2013.</w:t>
            </w:r>
          </w:p>
        </w:tc>
      </w:tr>
      <w:tr w:rsidR="00C24790" w:rsidRPr="00DE6689" w14:paraId="6FA1F487" w14:textId="77777777">
        <w:tc>
          <w:tcPr>
            <w:tcW w:w="1129" w:type="dxa"/>
            <w:vAlign w:val="center"/>
          </w:tcPr>
          <w:p w14:paraId="250BD937"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lastRenderedPageBreak/>
              <w:t>9</w:t>
            </w:r>
          </w:p>
        </w:tc>
        <w:tc>
          <w:tcPr>
            <w:tcW w:w="7620" w:type="dxa"/>
          </w:tcPr>
          <w:p w14:paraId="5298D28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Συσσωρευμένα λοιπά συνολικά έσοδα</w:t>
            </w:r>
          </w:p>
          <w:p w14:paraId="4BD1135B"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2EE05823" w14:textId="77777777" w:rsidR="00C24790" w:rsidRPr="00DE6689" w:rsidRDefault="00DE6689">
            <w:pPr>
              <w:spacing w:after="120"/>
              <w:jc w:val="both"/>
              <w:rPr>
                <w:rFonts w:ascii="Times New Roman" w:hAnsi="Times New Roman" w:cs="Times New Roman"/>
                <w:bCs/>
                <w:szCs w:val="22"/>
              </w:rPr>
            </w:pPr>
            <w:r w:rsidRPr="00DE6689">
              <w:rPr>
                <w:rStyle w:val="FormatvorlageInstructionsTabelleText"/>
                <w:rFonts w:ascii="Times New Roman" w:hAnsi="Times New Roman"/>
                <w:sz w:val="22"/>
                <w:szCs w:val="22"/>
              </w:rPr>
              <w:t>Άρθρο 26 παράγραφος 1 στοιχείο δ) του κανονισμού (ΕΕ) αριθ. 575/2013.</w:t>
            </w:r>
          </w:p>
        </w:tc>
      </w:tr>
      <w:tr w:rsidR="00C24790" w:rsidRPr="00DE6689" w14:paraId="318F4C59" w14:textId="77777777">
        <w:tc>
          <w:tcPr>
            <w:tcW w:w="1129" w:type="dxa"/>
            <w:vAlign w:val="center"/>
          </w:tcPr>
          <w:p w14:paraId="332ED9A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10</w:t>
            </w:r>
          </w:p>
        </w:tc>
        <w:tc>
          <w:tcPr>
            <w:tcW w:w="7620" w:type="dxa"/>
          </w:tcPr>
          <w:p w14:paraId="275FAF43"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Άλλα αποθεματικά</w:t>
            </w:r>
          </w:p>
          <w:p w14:paraId="1CD3528B"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p>
          <w:p w14:paraId="7212509F"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 xml:space="preserve">Άρθρο 4 παράγραφος 1 σημείο 117 και άρθρο 26 παράγραφος 1 </w:t>
            </w:r>
            <w:r w:rsidRPr="00DE6689">
              <w:rPr>
                <w:rStyle w:val="FormatvorlageInstructionsTabelleText"/>
                <w:rFonts w:ascii="Times New Roman" w:hAnsi="Times New Roman"/>
                <w:sz w:val="22"/>
                <w:szCs w:val="22"/>
              </w:rPr>
              <w:t>στοιχείο ε) του κανονισμού (ΕΕ) αριθ. 575/2013.</w:t>
            </w:r>
          </w:p>
          <w:p w14:paraId="43ABD17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Το προς δημοσιοποίηση ποσό δεν περιλαμβάνει προβλεπόμενες φορολογικές οφειλές κατά τη στιγμή του υπολογισμού.</w:t>
            </w:r>
          </w:p>
        </w:tc>
      </w:tr>
      <w:tr w:rsidR="00C24790" w:rsidRPr="00DE6689" w14:paraId="73229537" w14:textId="77777777">
        <w:tc>
          <w:tcPr>
            <w:tcW w:w="1129" w:type="dxa"/>
            <w:vAlign w:val="center"/>
          </w:tcPr>
          <w:p w14:paraId="6170B9D0" w14:textId="77777777" w:rsidR="00C24790" w:rsidRPr="00DE6689" w:rsidRDefault="00DE6689">
            <w:pPr>
              <w:spacing w:after="120"/>
              <w:jc w:val="both"/>
              <w:rPr>
                <w:rFonts w:ascii="Times New Roman" w:hAnsi="Times New Roman" w:cs="Times New Roman"/>
                <w:color w:val="000000"/>
                <w:szCs w:val="22"/>
              </w:rPr>
            </w:pPr>
            <w:r w:rsidRPr="00DE6689">
              <w:rPr>
                <w:rFonts w:ascii="Times New Roman" w:hAnsi="Times New Roman"/>
                <w:color w:val="000000"/>
                <w:szCs w:val="22"/>
              </w:rPr>
              <w:t>11</w:t>
            </w:r>
          </w:p>
        </w:tc>
        <w:tc>
          <w:tcPr>
            <w:tcW w:w="7620" w:type="dxa"/>
          </w:tcPr>
          <w:p w14:paraId="3C95455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Προσαρμογές στο CET1 λόγω εποπτικών προσαρμογών</w:t>
            </w:r>
          </w:p>
          <w:p w14:paraId="45920035"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w:t>
            </w:r>
            <w:r w:rsidRPr="00DE6689">
              <w:rPr>
                <w:rFonts w:ascii="Times New Roman" w:hAnsi="Times New Roman"/>
                <w:bCs/>
                <w:szCs w:val="22"/>
              </w:rPr>
              <w:t xml:space="preserve">(ΕΕ) </w:t>
            </w:r>
            <w:r w:rsidRPr="00DE6689">
              <w:rPr>
                <w:rFonts w:ascii="Times New Roman" w:hAnsi="Times New Roman"/>
                <w:bCs/>
                <w:szCs w:val="22"/>
              </w:rPr>
              <w:t>2019/2033</w:t>
            </w:r>
            <w:r w:rsidRPr="00DE6689">
              <w:rPr>
                <w:rFonts w:ascii="Times New Roman" w:hAnsi="Times New Roman"/>
                <w:bCs/>
                <w:szCs w:val="22"/>
              </w:rPr>
              <w:t>.</w:t>
            </w:r>
          </w:p>
          <w:p w14:paraId="0D1ED6C9"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Άρθρα 32 έως 35 του κανονισμού (ΕΕ) αριθ. 575/2013.</w:t>
            </w:r>
          </w:p>
        </w:tc>
      </w:tr>
      <w:tr w:rsidR="00C24790" w:rsidRPr="00DE6689" w14:paraId="4EEAC985" w14:textId="77777777">
        <w:tc>
          <w:tcPr>
            <w:tcW w:w="1129" w:type="dxa"/>
            <w:vAlign w:val="center"/>
          </w:tcPr>
          <w:p w14:paraId="10C341AA" w14:textId="77777777" w:rsidR="00C24790" w:rsidRPr="00DE6689" w:rsidRDefault="00DE6689">
            <w:pPr>
              <w:spacing w:after="120"/>
              <w:jc w:val="both"/>
              <w:rPr>
                <w:rFonts w:ascii="Times New Roman" w:hAnsi="Times New Roman" w:cs="Times New Roman"/>
                <w:color w:val="000000"/>
                <w:szCs w:val="22"/>
              </w:rPr>
            </w:pPr>
            <w:r w:rsidRPr="00DE6689">
              <w:rPr>
                <w:rFonts w:ascii="Times New Roman" w:hAnsi="Times New Roman"/>
                <w:color w:val="000000"/>
                <w:szCs w:val="22"/>
              </w:rPr>
              <w:t>12</w:t>
            </w:r>
          </w:p>
        </w:tc>
        <w:tc>
          <w:tcPr>
            <w:tcW w:w="7620" w:type="dxa"/>
          </w:tcPr>
          <w:p w14:paraId="2DBAD2C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Λοιπά κεφάλαια</w:t>
            </w:r>
          </w:p>
          <w:p w14:paraId="7334E2B9"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 xml:space="preserve">Άρθρο 9 παράγραφος 4 του κανονισμού (ΕΕ) </w:t>
            </w:r>
            <w:r w:rsidRPr="00DE6689">
              <w:rPr>
                <w:rFonts w:ascii="Times New Roman" w:hAnsi="Times New Roman"/>
                <w:bCs/>
                <w:szCs w:val="22"/>
              </w:rPr>
              <w:t>2019/2033</w:t>
            </w:r>
            <w:r w:rsidRPr="00DE6689">
              <w:rPr>
                <w:rFonts w:ascii="Times New Roman" w:hAnsi="Times New Roman"/>
                <w:bCs/>
                <w:szCs w:val="22"/>
              </w:rPr>
              <w:t>.</w:t>
            </w:r>
          </w:p>
        </w:tc>
      </w:tr>
      <w:tr w:rsidR="00C24790" w:rsidRPr="00DE6689" w14:paraId="1B1769EB" w14:textId="77777777">
        <w:tc>
          <w:tcPr>
            <w:tcW w:w="1129" w:type="dxa"/>
            <w:vAlign w:val="center"/>
          </w:tcPr>
          <w:p w14:paraId="2041C5F7"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13</w:t>
            </w:r>
          </w:p>
        </w:tc>
        <w:tc>
          <w:tcPr>
            <w:tcW w:w="7620" w:type="dxa"/>
          </w:tcPr>
          <w:p w14:paraId="1654559F"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ΣΥΝΟΛΙΚΕΣ ΑΦΑΙΡΕΣΕΙΣ ΑΠΟ ΤΟ ΚΕΦΑΛΑΙΟ ΚΟΙΝΩΝ ΜΕΤΟΧΩΝ ΤΗΣ ΚΑΤΗΓΟΡΙΑΣ 1</w:t>
            </w:r>
          </w:p>
          <w:p w14:paraId="3C6573C7"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Δημοσιοποιείται το συνολικό </w:t>
            </w:r>
            <w:r w:rsidRPr="00DE6689">
              <w:rPr>
                <w:rFonts w:ascii="Times New Roman" w:hAnsi="Times New Roman"/>
                <w:bCs/>
                <w:szCs w:val="22"/>
              </w:rPr>
              <w:t>άθροισμα των γραμμών 14 έως 23.</w:t>
            </w:r>
          </w:p>
        </w:tc>
      </w:tr>
      <w:tr w:rsidR="00C24790" w:rsidRPr="00DE6689" w14:paraId="36D84105" w14:textId="77777777">
        <w:tc>
          <w:tcPr>
            <w:tcW w:w="1129" w:type="dxa"/>
            <w:vAlign w:val="center"/>
          </w:tcPr>
          <w:p w14:paraId="6C4720EE"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14</w:t>
            </w:r>
          </w:p>
        </w:tc>
        <w:tc>
          <w:tcPr>
            <w:tcW w:w="7620" w:type="dxa"/>
            <w:shd w:val="clear" w:color="auto" w:fill="auto"/>
          </w:tcPr>
          <w:p w14:paraId="7FC72C04"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Ίδια μέσα CET1</w:t>
            </w:r>
          </w:p>
          <w:p w14:paraId="16F0827A"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23CA40E3"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36 παράγραφος 1 στοιχείο στ) και άρθρο 42 του κανονισμού (ΕΕ) αριθ. 575/2013.</w:t>
            </w:r>
          </w:p>
          <w:p w14:paraId="212811A5"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Ίδια μέσα CET1 που βρίσκονται στην κατοχή του </w:t>
            </w:r>
            <w:r w:rsidRPr="00DE6689">
              <w:rPr>
                <w:rStyle w:val="FormatvorlageInstructionsTabelleText"/>
                <w:rFonts w:ascii="Times New Roman" w:hAnsi="Times New Roman"/>
                <w:sz w:val="22"/>
              </w:rPr>
              <w:t>αναφέροντος ιδρύματος ή ομίλου κατά την ημερομηνία υποβολής αναφοράς. Με την επιφύλαξη των εξαιρέσεων του άρθρου 42 του κανονισμού (ΕΕ) αριθ. 575/2013.</w:t>
            </w:r>
          </w:p>
          <w:p w14:paraId="19399DDE"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Οι τοποθετήσεις σε μετοχές που περιλαμβάνονται στα </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Κεφαλαιακά μέσα που δεν είναι επιλέξιμα</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 xml:space="preserve"> δεν αναφέρο</w:t>
            </w:r>
            <w:r w:rsidRPr="00DE6689">
              <w:rPr>
                <w:rStyle w:val="FormatvorlageInstructionsTabelleText"/>
                <w:rFonts w:ascii="Times New Roman" w:hAnsi="Times New Roman"/>
                <w:sz w:val="22"/>
              </w:rPr>
              <w:t>νται στη συγκεκριμένη γραμμή.</w:t>
            </w:r>
          </w:p>
          <w:p w14:paraId="526A0698"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Το προς δημοσιοποίηση ποσό περιλαμβάνει τη διαφορά από την έκδοση μετοχών υπέρ το άρτιο που αφορά τις ίδιες μετοχές.</w:t>
            </w:r>
          </w:p>
          <w:p w14:paraId="488BD0DB" w14:textId="77777777" w:rsidR="00C24790" w:rsidRPr="00DE6689" w:rsidRDefault="00C24790">
            <w:pPr>
              <w:pStyle w:val="InstructionsText"/>
            </w:pPr>
          </w:p>
        </w:tc>
      </w:tr>
      <w:tr w:rsidR="00C24790" w:rsidRPr="00DE6689" w14:paraId="07A1EFA6" w14:textId="77777777">
        <w:tc>
          <w:tcPr>
            <w:tcW w:w="1129" w:type="dxa"/>
            <w:vAlign w:val="center"/>
          </w:tcPr>
          <w:p w14:paraId="21432007"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14:paraId="273083C3"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Ζημίες της τρέχουσας χρήσης</w:t>
            </w:r>
          </w:p>
          <w:p w14:paraId="0B3B93CE"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szCs w:val="22"/>
              </w:rPr>
              <w:t xml:space="preserve">Άρθρο 36 παράγραφος 1 στοιχείο α) του κανονισμού (ΕΕ) αριθ. </w:t>
            </w:r>
            <w:r w:rsidRPr="00DE6689">
              <w:rPr>
                <w:rFonts w:ascii="Times New Roman" w:hAnsi="Times New Roman"/>
                <w:szCs w:val="22"/>
              </w:rPr>
              <w:t>575/2013.</w:t>
            </w:r>
          </w:p>
        </w:tc>
      </w:tr>
      <w:tr w:rsidR="00C24790" w:rsidRPr="00DE6689" w14:paraId="2A3ECD23" w14:textId="77777777">
        <w:tc>
          <w:tcPr>
            <w:tcW w:w="1129" w:type="dxa"/>
            <w:vAlign w:val="center"/>
          </w:tcPr>
          <w:p w14:paraId="6A73746A"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6A4600CA"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Υπεραξία</w:t>
            </w:r>
          </w:p>
          <w:p w14:paraId="1A993002"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01D3826A"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Άρθρο 4 παράγραφος 1 σημείο 113, άρθρο 36 παράγραφος 1 στοιχείο β), και άρθρο 37 του κανονισμού (ΕΕ) αριθ. 575/2013.</w:t>
            </w:r>
          </w:p>
        </w:tc>
      </w:tr>
      <w:tr w:rsidR="00C24790" w:rsidRPr="00DE6689" w14:paraId="60ABD844" w14:textId="77777777">
        <w:tc>
          <w:tcPr>
            <w:tcW w:w="1129" w:type="dxa"/>
            <w:vAlign w:val="center"/>
          </w:tcPr>
          <w:p w14:paraId="46508D23"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4344E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Λοιπά άυλα στοιχεία ενεργητικού</w:t>
            </w:r>
          </w:p>
          <w:p w14:paraId="7EB6BC1C"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w:t>
            </w:r>
            <w:r w:rsidRPr="00DE6689">
              <w:rPr>
                <w:rFonts w:ascii="Times New Roman" w:hAnsi="Times New Roman"/>
                <w:bCs/>
                <w:szCs w:val="22"/>
              </w:rPr>
              <w:t>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435B83D8" w14:textId="77777777" w:rsidR="00C24790" w:rsidRPr="00DE6689" w:rsidRDefault="00DE6689">
            <w:pPr>
              <w:pStyle w:val="InstructionsText"/>
              <w:rPr>
                <w:rStyle w:val="FormatvorlageInstructionsTabelleText"/>
                <w:rFonts w:ascii="Times New Roman" w:eastAsiaTheme="minorHAnsi" w:hAnsi="Times New Roman"/>
                <w:bCs/>
                <w:sz w:val="22"/>
              </w:rPr>
            </w:pPr>
            <w:r w:rsidRPr="00DE6689">
              <w:rPr>
                <w:rStyle w:val="FormatvorlageInstructionsTabelleText"/>
                <w:rFonts w:ascii="Times New Roman" w:hAnsi="Times New Roman"/>
                <w:sz w:val="22"/>
              </w:rPr>
              <w:lastRenderedPageBreak/>
              <w:t>Άρθρο 4 παράγραφος 1 σημείο 115, άρθρο 36 παράγραφος 1 στοιχείο β) και άρθρο 37 στοιχείο α) του κανονισμού (ΕΕ) αριθ. 575/2013.</w:t>
            </w:r>
          </w:p>
          <w:p w14:paraId="28DDD11C"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 xml:space="preserve">Τα λοιπά άυλα στοιχεία ενεργητικού είναι τα άυλα στοιχεία </w:t>
            </w:r>
            <w:r w:rsidRPr="00DE6689">
              <w:rPr>
                <w:rStyle w:val="FormatvorlageInstructionsTabelleText"/>
                <w:rFonts w:ascii="Times New Roman" w:hAnsi="Times New Roman"/>
                <w:sz w:val="22"/>
                <w:szCs w:val="22"/>
              </w:rPr>
              <w:t>ενεργητικού δυνάμει του ισχύοντος λογιστικού προτύπου, πλην της υπεραξίας, επίσης σύμφωνα με το ισχύον λογιστικό πρότυπο.</w:t>
            </w:r>
          </w:p>
        </w:tc>
      </w:tr>
      <w:tr w:rsidR="00C24790" w:rsidRPr="00DE6689" w14:paraId="13E97AAC" w14:textId="77777777">
        <w:tc>
          <w:tcPr>
            <w:tcW w:w="1129" w:type="dxa"/>
            <w:vAlign w:val="center"/>
          </w:tcPr>
          <w:p w14:paraId="3B949247"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lastRenderedPageBreak/>
              <w:t>18</w:t>
            </w:r>
          </w:p>
        </w:tc>
        <w:tc>
          <w:tcPr>
            <w:tcW w:w="7620" w:type="dxa"/>
            <w:tcBorders>
              <w:top w:val="nil"/>
              <w:left w:val="single" w:sz="4" w:space="0" w:color="auto"/>
              <w:bottom w:val="single" w:sz="4" w:space="0" w:color="auto"/>
              <w:right w:val="single" w:sz="4" w:space="0" w:color="auto"/>
            </w:tcBorders>
            <w:shd w:val="clear" w:color="auto" w:fill="auto"/>
            <w:vAlign w:val="bottom"/>
          </w:tcPr>
          <w:p w14:paraId="4DBC8502"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Αναβαλλόμενες φορολογικές απαιτήσεις που βασίζονται σε μελλοντική κερδοφορία και δεν προκύπτουν από προσωρινές διαφορές πλην τ</w:t>
            </w:r>
            <w:r w:rsidRPr="00DE6689">
              <w:rPr>
                <w:rFonts w:ascii="Times New Roman" w:hAnsi="Times New Roman"/>
                <w:b/>
                <w:bCs/>
                <w:szCs w:val="22"/>
                <w:u w:val="single"/>
              </w:rPr>
              <w:t>ων σχετικών φορολογικών υποχρεώσεων</w:t>
            </w:r>
          </w:p>
          <w:p w14:paraId="5447880D"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2 στοιχείο α) του κανονισμού (ΕΕ) </w:t>
            </w:r>
            <w:r w:rsidRPr="00DE6689">
              <w:rPr>
                <w:rFonts w:ascii="Times New Roman" w:hAnsi="Times New Roman"/>
                <w:bCs/>
                <w:szCs w:val="22"/>
              </w:rPr>
              <w:t>2019/2033</w:t>
            </w:r>
            <w:r w:rsidRPr="00DE6689">
              <w:rPr>
                <w:rFonts w:ascii="Times New Roman" w:hAnsi="Times New Roman"/>
                <w:bCs/>
                <w:szCs w:val="22"/>
              </w:rPr>
              <w:t>.</w:t>
            </w:r>
          </w:p>
          <w:p w14:paraId="573B2AE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36 παράγραφος 1 στοιχείο γ) του κανονισμού (ΕΕ) αριθ. 575/2013.</w:t>
            </w:r>
          </w:p>
        </w:tc>
      </w:tr>
      <w:tr w:rsidR="00C24790" w:rsidRPr="00DE6689" w14:paraId="68208741" w14:textId="77777777">
        <w:tc>
          <w:tcPr>
            <w:tcW w:w="1129" w:type="dxa"/>
            <w:vAlign w:val="center"/>
          </w:tcPr>
          <w:p w14:paraId="7F13C60A"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34A15842"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xml:space="preserve">(-) Ειδικές συμμετοχές εκτός του χρηματοπιστωτικού τομέα που </w:t>
            </w:r>
            <w:r w:rsidRPr="00DE6689">
              <w:rPr>
                <w:rFonts w:ascii="Times New Roman" w:hAnsi="Times New Roman"/>
                <w:b/>
                <w:bCs/>
                <w:szCs w:val="22"/>
                <w:u w:val="single"/>
              </w:rPr>
              <w:t>υπερβαίνουν το 15 % των ιδίων κεφαλαίων</w:t>
            </w:r>
          </w:p>
          <w:p w14:paraId="2CC3A1BC"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10 παράγραφος 1 στοιχείο α) του κανονισμού (ΕΕ) </w:t>
            </w:r>
            <w:r w:rsidRPr="00DE6689">
              <w:rPr>
                <w:rFonts w:ascii="Times New Roman" w:hAnsi="Times New Roman"/>
                <w:bCs/>
                <w:szCs w:val="22"/>
              </w:rPr>
              <w:t>2019/2033</w:t>
            </w:r>
            <w:r w:rsidRPr="00DE6689">
              <w:rPr>
                <w:rFonts w:ascii="Times New Roman" w:hAnsi="Times New Roman"/>
                <w:bCs/>
                <w:szCs w:val="22"/>
              </w:rPr>
              <w:t>.</w:t>
            </w:r>
          </w:p>
        </w:tc>
      </w:tr>
      <w:tr w:rsidR="00C24790" w:rsidRPr="00DE6689" w14:paraId="6210B891" w14:textId="77777777">
        <w:tc>
          <w:tcPr>
            <w:tcW w:w="1129" w:type="dxa"/>
            <w:vAlign w:val="center"/>
          </w:tcPr>
          <w:p w14:paraId="42F1C046"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6A1A5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Συνολικές ειδικές συμμετοχές σε επιχειρήσεις εκτός των οντοτήτων του χρηματοπιστωτικού τομέα που υπερβαίνουν το 60 % των ιδίων κεφαλαίων τους</w:t>
            </w:r>
          </w:p>
          <w:p w14:paraId="34815E70"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w:t>
            </w:r>
            <w:r w:rsidRPr="00DE6689">
              <w:rPr>
                <w:rFonts w:ascii="Times New Roman" w:hAnsi="Times New Roman"/>
                <w:bCs/>
                <w:szCs w:val="22"/>
              </w:rPr>
              <w:t xml:space="preserve">ρθρο 10 παράγραφος 1 στοιχείο β) του κανονισμού (ΕΕ) </w:t>
            </w:r>
            <w:r w:rsidRPr="00DE6689">
              <w:rPr>
                <w:rFonts w:ascii="Times New Roman" w:hAnsi="Times New Roman"/>
                <w:bCs/>
                <w:szCs w:val="22"/>
              </w:rPr>
              <w:t>2019/2033</w:t>
            </w:r>
            <w:r w:rsidRPr="00DE6689">
              <w:rPr>
                <w:rFonts w:ascii="Times New Roman" w:hAnsi="Times New Roman"/>
                <w:bCs/>
                <w:szCs w:val="22"/>
              </w:rPr>
              <w:t>.</w:t>
            </w:r>
          </w:p>
        </w:tc>
      </w:tr>
      <w:tr w:rsidR="00C24790" w:rsidRPr="00DE6689" w14:paraId="4FD512EA" w14:textId="77777777">
        <w:tc>
          <w:tcPr>
            <w:tcW w:w="1129" w:type="dxa"/>
            <w:vAlign w:val="center"/>
          </w:tcPr>
          <w:p w14:paraId="36857043"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308F29"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Μέσα CET1 οντοτήτων του χρηματοπιστωτικού τομέα όπου το ίδρυμα δεν έχει σημαντική επένδυση</w:t>
            </w:r>
          </w:p>
          <w:p w14:paraId="39F0E30C"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2 στοιχείο γ) του κανονισμού (ΕΕ) </w:t>
            </w:r>
            <w:r w:rsidRPr="00DE6689">
              <w:rPr>
                <w:rFonts w:ascii="Times New Roman" w:hAnsi="Times New Roman"/>
                <w:bCs/>
                <w:szCs w:val="22"/>
              </w:rPr>
              <w:t>2019/2033</w:t>
            </w:r>
            <w:r w:rsidRPr="00DE6689">
              <w:rPr>
                <w:rFonts w:ascii="Times New Roman" w:hAnsi="Times New Roman"/>
                <w:bCs/>
                <w:szCs w:val="22"/>
              </w:rPr>
              <w:t>.</w:t>
            </w:r>
          </w:p>
          <w:p w14:paraId="69432450"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36 παράγραφος 1 στοιχεί</w:t>
            </w:r>
            <w:r w:rsidRPr="00DE6689">
              <w:rPr>
                <w:rFonts w:ascii="Times New Roman" w:hAnsi="Times New Roman"/>
                <w:bCs/>
                <w:szCs w:val="22"/>
              </w:rPr>
              <w:t>ο η) του κανονισμού (ΕΕ) αριθ. 575/2013.</w:t>
            </w:r>
          </w:p>
        </w:tc>
      </w:tr>
      <w:tr w:rsidR="00C24790" w:rsidRPr="00DE6689" w14:paraId="774CAC66" w14:textId="77777777">
        <w:tc>
          <w:tcPr>
            <w:tcW w:w="1129" w:type="dxa"/>
            <w:vAlign w:val="center"/>
          </w:tcPr>
          <w:p w14:paraId="3C436C88"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01A768D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Περιουσιακά στοιχεία συνταξιοδοτικών ταμείων προκαθορισμένων παροχών</w:t>
            </w:r>
          </w:p>
          <w:p w14:paraId="0E6E9664"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2 στοιχείο β) του κανονισμού (ΕΕ) </w:t>
            </w:r>
            <w:r w:rsidRPr="00DE6689">
              <w:rPr>
                <w:rFonts w:ascii="Times New Roman" w:hAnsi="Times New Roman"/>
                <w:bCs/>
                <w:szCs w:val="22"/>
              </w:rPr>
              <w:t>2019/2033</w:t>
            </w:r>
            <w:r w:rsidRPr="00DE6689">
              <w:rPr>
                <w:rFonts w:ascii="Times New Roman" w:hAnsi="Times New Roman"/>
                <w:bCs/>
                <w:szCs w:val="22"/>
              </w:rPr>
              <w:t>.</w:t>
            </w:r>
          </w:p>
          <w:p w14:paraId="438C455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 xml:space="preserve">Άρθρο 36 παράγραφος 1 στοιχείο ε) του κανονισμού (ΕΕ) αριθ. </w:t>
            </w:r>
            <w:r w:rsidRPr="00DE6689">
              <w:rPr>
                <w:rFonts w:ascii="Times New Roman" w:hAnsi="Times New Roman"/>
                <w:bCs/>
                <w:szCs w:val="22"/>
              </w:rPr>
              <w:t>575/2013.</w:t>
            </w:r>
          </w:p>
        </w:tc>
      </w:tr>
      <w:tr w:rsidR="00C24790" w:rsidRPr="00DE6689" w14:paraId="298F8429" w14:textId="77777777">
        <w:tc>
          <w:tcPr>
            <w:tcW w:w="1129" w:type="dxa"/>
            <w:vAlign w:val="center"/>
          </w:tcPr>
          <w:p w14:paraId="537EB765"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color w:val="000000"/>
                <w:szCs w:val="22"/>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14:paraId="3F4E7EB9"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Λοιπές αφαιρέσεις</w:t>
            </w:r>
          </w:p>
          <w:p w14:paraId="416061AA"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szCs w:val="22"/>
              </w:rPr>
              <w:t>Το άθροισμα τυχόν άλλων αφαιρέσεων που απαριθμούνται στο άρθρο 36 παράγραφος 1 του κανονισμού (ΕΕ) αριθ. 575/2013.</w:t>
            </w:r>
          </w:p>
        </w:tc>
      </w:tr>
      <w:tr w:rsidR="00C24790" w:rsidRPr="00DE6689" w14:paraId="2631D03B" w14:textId="77777777">
        <w:tc>
          <w:tcPr>
            <w:tcW w:w="1129" w:type="dxa"/>
          </w:tcPr>
          <w:p w14:paraId="01CDE4BA"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2CC602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CET1: Άλλα στοιχεία κεφαλαίου, αφαιρέσεις και προσαρμογές</w:t>
            </w:r>
          </w:p>
          <w:p w14:paraId="059194E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Η γραμμή αυτή περιλαμβάνει το </w:t>
            </w:r>
            <w:r w:rsidRPr="00DE6689">
              <w:rPr>
                <w:rFonts w:ascii="Times New Roman" w:hAnsi="Times New Roman"/>
                <w:bCs/>
                <w:szCs w:val="22"/>
              </w:rPr>
              <w:t>άθροισμα των ακόλουθων στοιχείων, ανάλογα με την περίπτωση:</w:t>
            </w:r>
          </w:p>
          <w:p w14:paraId="3D0B5A5C"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 xml:space="preserve">Μεταβατικές προσαρμογές λόγω αποδοχής του προϋφιστάμενου καθεστώτος όσον αφορά τα κεφαλαιακά μέσα CET1 [άρθρο 483 παράγραφοι 1, 2 και 3 και άρθρα 484 έως 487 του κανονισμού (ΕΕ) αριθ. </w:t>
            </w:r>
            <w:r w:rsidRPr="00DE6689">
              <w:rPr>
                <w:rFonts w:ascii="Times New Roman" w:hAnsi="Times New Roman"/>
                <w:bCs/>
              </w:rPr>
              <w:t>575/2013].</w:t>
            </w:r>
          </w:p>
          <w:p w14:paraId="77964479"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Άλλες μεταβατικές προσαρμογές στο κεφάλαιο CET1 [άρθρα 469 έως 478 και άρθρο 481 του κανονισμού (ΕΕ) αριθ. 575/2013]: προσαρμογές στις αφαιρέσεις από το κεφάλαιο CET1 λόγω μεταβατικών διατάξεων.</w:t>
            </w:r>
          </w:p>
          <w:p w14:paraId="5ACDD9FB" w14:textId="77777777" w:rsidR="00C24790" w:rsidRPr="00DE6689" w:rsidRDefault="00DE6689">
            <w:pPr>
              <w:spacing w:after="120"/>
              <w:ind w:left="360" w:hanging="360"/>
              <w:contextualSpacing/>
              <w:jc w:val="both"/>
              <w:rPr>
                <w:rFonts w:ascii="Times New Roman" w:eastAsia="Times New Roman" w:hAnsi="Times New Roman"/>
                <w:b/>
                <w:bCs/>
                <w:u w:val="single"/>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 xml:space="preserve">Άλλα στοιχεία κεφαλαίου CET1 ή αφαιρέσεις από </w:t>
            </w:r>
            <w:r w:rsidRPr="00DE6689">
              <w:rPr>
                <w:rFonts w:ascii="Times New Roman" w:hAnsi="Times New Roman"/>
                <w:bCs/>
              </w:rPr>
              <w:t>στοιχείο του κεφαλαίου CET1 που δεν μπορούν να αναφερθούν σε καμία από τις γραμμές 4 έως 23.</w:t>
            </w:r>
          </w:p>
          <w:p w14:paraId="26304E1F"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Η γραμμή αυτή δεν χρησιμοποιείται για να συμπεριληφθούν στον υπολογισμό των συντελεστών φερεγγυότητας στοιχεία κεφαλαίου ή αφαιρέσεις που δεν καλύπτονται από τον κ</w:t>
            </w:r>
            <w:r w:rsidRPr="00DE6689">
              <w:rPr>
                <w:rFonts w:ascii="Times New Roman" w:hAnsi="Times New Roman"/>
                <w:bCs/>
                <w:szCs w:val="22"/>
              </w:rPr>
              <w:t xml:space="preserve">ανονισμό (ΕΕ) </w:t>
            </w:r>
            <w:r w:rsidRPr="00DE6689">
              <w:rPr>
                <w:rFonts w:ascii="Times New Roman" w:hAnsi="Times New Roman"/>
                <w:bCs/>
                <w:szCs w:val="22"/>
              </w:rPr>
              <w:t>2019/2033</w:t>
            </w:r>
            <w:r w:rsidRPr="00DE6689">
              <w:rPr>
                <w:rFonts w:ascii="Times New Roman" w:hAnsi="Times New Roman"/>
                <w:bCs/>
                <w:szCs w:val="22"/>
              </w:rPr>
              <w:t xml:space="preserve"> ή τον κανονισμό (ΕΕ) αριθ. 575/2013.</w:t>
            </w:r>
          </w:p>
        </w:tc>
      </w:tr>
      <w:tr w:rsidR="00C24790" w:rsidRPr="00DE6689" w14:paraId="12132DBF" w14:textId="77777777">
        <w:tc>
          <w:tcPr>
            <w:tcW w:w="1129" w:type="dxa"/>
          </w:tcPr>
          <w:p w14:paraId="600E4086"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DCE2D66"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ΠΡΟΣΘΕΤΟ ΚΕΦΑΛΑΙΟ ΤΗΣ ΚΑΤΗΓΟΡΙΑΣ 1</w:t>
            </w:r>
          </w:p>
          <w:p w14:paraId="09B057EF"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1 του κανονισμού (ΕΕ) </w:t>
            </w:r>
            <w:r w:rsidRPr="00DE6689">
              <w:rPr>
                <w:rFonts w:ascii="Times New Roman" w:hAnsi="Times New Roman"/>
                <w:bCs/>
                <w:szCs w:val="22"/>
              </w:rPr>
              <w:t>2019/2033</w:t>
            </w:r>
            <w:r w:rsidRPr="00DE6689">
              <w:rPr>
                <w:rFonts w:ascii="Times New Roman" w:hAnsi="Times New Roman"/>
                <w:bCs/>
                <w:szCs w:val="22"/>
              </w:rPr>
              <w:t>.</w:t>
            </w:r>
          </w:p>
          <w:p w14:paraId="4D2A0FF0" w14:textId="77777777" w:rsidR="00C24790" w:rsidRPr="00DE6689" w:rsidRDefault="00DE6689">
            <w:pPr>
              <w:spacing w:after="120"/>
              <w:jc w:val="both"/>
              <w:rPr>
                <w:rFonts w:ascii="Times New Roman" w:hAnsi="Times New Roman" w:cs="Times New Roman"/>
                <w:szCs w:val="22"/>
              </w:rPr>
            </w:pPr>
            <w:r w:rsidRPr="00DE6689">
              <w:rPr>
                <w:rFonts w:ascii="Times New Roman" w:hAnsi="Times New Roman"/>
                <w:szCs w:val="22"/>
              </w:rPr>
              <w:lastRenderedPageBreak/>
              <w:t>Άρθρο 61 του κανονισμού (ΕΕ) αριθ. 575/2013.</w:t>
            </w:r>
          </w:p>
          <w:p w14:paraId="61B25928"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 xml:space="preserve">Δημοσιοποιείται το συνολικό άθροισμα των γραμμών 26 έως 28 </w:t>
            </w:r>
            <w:r w:rsidRPr="00DE6689">
              <w:rPr>
                <w:rFonts w:ascii="Times New Roman" w:hAnsi="Times New Roman"/>
                <w:bCs/>
                <w:szCs w:val="22"/>
              </w:rPr>
              <w:t>και 32.</w:t>
            </w:r>
          </w:p>
        </w:tc>
      </w:tr>
      <w:tr w:rsidR="00C24790" w:rsidRPr="00DE6689" w14:paraId="3252675F" w14:textId="77777777">
        <w:tc>
          <w:tcPr>
            <w:tcW w:w="1129" w:type="dxa"/>
          </w:tcPr>
          <w:p w14:paraId="04CEC68A"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lastRenderedPageBreak/>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0BA360EC"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Καταβεβλημένα κεφαλαιακά μέσα</w:t>
            </w:r>
          </w:p>
          <w:p w14:paraId="15C9E779"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7DC1C719"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51 στοιχείο α) και άρθρα 52, 53 και 54 του κανονισμού (ΕΕ) αριθ. 575/2013.</w:t>
            </w:r>
          </w:p>
          <w:p w14:paraId="0E00087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 xml:space="preserve">Το προς δημοσιοποίηση ποσό δεν περιλαμβάνει τη διαφορά από την </w:t>
            </w:r>
            <w:r w:rsidRPr="00DE6689">
              <w:rPr>
                <w:rStyle w:val="FormatvorlageInstructionsTabelleText"/>
                <w:rFonts w:ascii="Times New Roman" w:hAnsi="Times New Roman"/>
                <w:sz w:val="22"/>
                <w:szCs w:val="22"/>
              </w:rPr>
              <w:t>έκδοση μετοχών υπέρ το άρτιο που αφορά τα μέσα.</w:t>
            </w:r>
          </w:p>
        </w:tc>
      </w:tr>
      <w:tr w:rsidR="00C24790" w:rsidRPr="00DE6689" w14:paraId="3179F61C" w14:textId="77777777">
        <w:tc>
          <w:tcPr>
            <w:tcW w:w="1129" w:type="dxa"/>
          </w:tcPr>
          <w:p w14:paraId="1E5477B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29805C0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Διαφορά από έκδοση μετοχών υπέρ το άρτιο</w:t>
            </w:r>
          </w:p>
          <w:p w14:paraId="3C5832A5"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1E9BA834"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51 στοιχείο β) του κανονισμού (ΕΕ) αριθ. 575/2013.</w:t>
            </w:r>
          </w:p>
          <w:p w14:paraId="54909893"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Ο όρος </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 xml:space="preserve">διαφορά από την έκδοση μετοχών υπέρ </w:t>
            </w:r>
            <w:r w:rsidRPr="00DE6689">
              <w:rPr>
                <w:rStyle w:val="FormatvorlageInstructionsTabelleText"/>
                <w:rFonts w:ascii="Times New Roman" w:hAnsi="Times New Roman"/>
                <w:sz w:val="22"/>
              </w:rPr>
              <w:t>το άρτιο</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 xml:space="preserve"> έχει την ίδια έννοια με αυτήν του εφαρμοστέου λογιστικού προτύπου.</w:t>
            </w:r>
          </w:p>
          <w:p w14:paraId="4A3A166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 xml:space="preserve">Το προς δημοσιοποίηση ποσό στο συγκεκριμένο στοιχείο είναι το μέρος που σχετίζεται με τα </w:t>
            </w:r>
            <w:r w:rsidRPr="00DE6689">
              <w:rPr>
                <w:rStyle w:val="FormatvorlageInstructionsTabelleText"/>
                <w:rFonts w:ascii="Times New Roman" w:hAnsi="Times New Roman"/>
                <w:sz w:val="22"/>
                <w:szCs w:val="22"/>
              </w:rPr>
              <w:t>«</w:t>
            </w:r>
            <w:r w:rsidRPr="00DE6689">
              <w:rPr>
                <w:rStyle w:val="FormatvorlageInstructionsTabelleText"/>
                <w:rFonts w:ascii="Times New Roman" w:hAnsi="Times New Roman"/>
                <w:sz w:val="22"/>
                <w:szCs w:val="22"/>
              </w:rPr>
              <w:t>καταβεβλημένα κεφαλαιακά μέσα</w:t>
            </w:r>
            <w:r w:rsidRPr="00DE6689">
              <w:rPr>
                <w:rStyle w:val="FormatvorlageInstructionsTabelleText"/>
                <w:rFonts w:ascii="Times New Roman" w:hAnsi="Times New Roman"/>
                <w:sz w:val="22"/>
                <w:szCs w:val="22"/>
              </w:rPr>
              <w:t>»</w:t>
            </w:r>
            <w:r w:rsidRPr="00DE6689">
              <w:rPr>
                <w:rStyle w:val="FormatvorlageInstructionsTabelleText"/>
                <w:rFonts w:ascii="Times New Roman" w:hAnsi="Times New Roman"/>
                <w:sz w:val="22"/>
                <w:szCs w:val="22"/>
              </w:rPr>
              <w:t>.</w:t>
            </w:r>
          </w:p>
        </w:tc>
      </w:tr>
      <w:tr w:rsidR="00C24790" w:rsidRPr="00DE6689" w14:paraId="6023596E" w14:textId="77777777">
        <w:tc>
          <w:tcPr>
            <w:tcW w:w="1129" w:type="dxa"/>
          </w:tcPr>
          <w:p w14:paraId="2EE36CB6"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65CE421B"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ΣΥΝΟΛΙΚΕΣ ΑΦΑΙΡΕΣΕΙΣ ΑΠΟ ΠΡΟΣΘΕΤΑ ΣΤΟΙΧΕΙΑ ΤΗΣ ΚΑ</w:t>
            </w:r>
            <w:r w:rsidRPr="00DE6689">
              <w:rPr>
                <w:rFonts w:ascii="Times New Roman" w:hAnsi="Times New Roman"/>
                <w:b/>
                <w:bCs/>
                <w:szCs w:val="22"/>
                <w:u w:val="single"/>
              </w:rPr>
              <w:t>ΤΗΓΟΡΙΑΣ 1</w:t>
            </w:r>
          </w:p>
          <w:p w14:paraId="34CAE44B" w14:textId="77777777" w:rsidR="00C24790" w:rsidRPr="00DE6689" w:rsidRDefault="00DE6689">
            <w:pPr>
              <w:spacing w:before="60" w:after="60"/>
              <w:rPr>
                <w:rFonts w:ascii="Times New Roman" w:hAnsi="Times New Roman" w:cs="Times New Roman"/>
                <w:szCs w:val="22"/>
              </w:rPr>
            </w:pPr>
            <w:r w:rsidRPr="00DE6689">
              <w:rPr>
                <w:rFonts w:ascii="Times New Roman" w:hAnsi="Times New Roman"/>
                <w:szCs w:val="22"/>
              </w:rPr>
              <w:t>Άρθρο 56 του κανονισμού (ΕΕ) αριθ. 575/2013.</w:t>
            </w:r>
          </w:p>
          <w:p w14:paraId="66A4ECF5"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Δημοσιοποιείται το συνολικό άθροισμα των γραμμών 29 έως 31.</w:t>
            </w:r>
          </w:p>
        </w:tc>
      </w:tr>
      <w:tr w:rsidR="00C24790" w:rsidRPr="00DE6689" w14:paraId="7AB5E065" w14:textId="77777777">
        <w:tc>
          <w:tcPr>
            <w:tcW w:w="1129" w:type="dxa"/>
          </w:tcPr>
          <w:p w14:paraId="472AB66A"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A4D819"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Ίδια μέσα AT1</w:t>
            </w:r>
          </w:p>
          <w:p w14:paraId="6B031DE2"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719E4908" w14:textId="77777777" w:rsidR="00C24790" w:rsidRPr="00DE6689" w:rsidRDefault="00DE6689">
            <w:pPr>
              <w:pStyle w:val="InstructionsText"/>
              <w:rPr>
                <w:rStyle w:val="FormatvorlageInstructionsTabelleText"/>
                <w:rFonts w:ascii="Times New Roman" w:eastAsiaTheme="minorHAnsi" w:hAnsi="Times New Roman"/>
                <w:bCs/>
                <w:sz w:val="22"/>
              </w:rPr>
            </w:pPr>
            <w:r w:rsidRPr="00DE6689">
              <w:rPr>
                <w:rStyle w:val="FormatvorlageInstructionsTabelleText"/>
                <w:rFonts w:ascii="Times New Roman" w:hAnsi="Times New Roman"/>
                <w:sz w:val="22"/>
              </w:rPr>
              <w:t xml:space="preserve">Άρθρο 52 παράγραφος 1 στοιχείο β), άρθρο 56 </w:t>
            </w:r>
            <w:r w:rsidRPr="00DE6689">
              <w:rPr>
                <w:rStyle w:val="FormatvorlageInstructionsTabelleText"/>
                <w:rFonts w:ascii="Times New Roman" w:hAnsi="Times New Roman"/>
                <w:sz w:val="22"/>
              </w:rPr>
              <w:t>στοιχείο α) και άρθρο 57 του κανονισμού (ΕΕ) αριθ. 575/2013.</w:t>
            </w:r>
          </w:p>
          <w:p w14:paraId="6064A154"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Ίδια μέσα AT1 που βρίσκονται στην κατοχή της επιχείρησης επενδύσεων κατά την ημερομηνία υποβολής αναφοράς. Με την επιφύλαξη των εξαιρέσεων του άρθρου 57 του κανονισμού (ΕΕ) αριθ. 575/2013.</w:t>
            </w:r>
          </w:p>
          <w:p w14:paraId="0F8E033D"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Το προ</w:t>
            </w:r>
            <w:r w:rsidRPr="00DE6689">
              <w:rPr>
                <w:rStyle w:val="FormatvorlageInstructionsTabelleText"/>
                <w:rFonts w:ascii="Times New Roman" w:hAnsi="Times New Roman"/>
                <w:sz w:val="22"/>
              </w:rPr>
              <w:t>ς δημοσιοποίηση ποσό περιλαμβάνει τη διαφορά από την έκδοση μετοχών υπέρ το άρτιο που αφορά τις ίδιες μετοχές.</w:t>
            </w:r>
          </w:p>
          <w:p w14:paraId="561EE7F7" w14:textId="77777777" w:rsidR="00C24790" w:rsidRPr="00DE6689" w:rsidRDefault="00C24790">
            <w:pPr>
              <w:pStyle w:val="InstructionsText"/>
            </w:pPr>
          </w:p>
        </w:tc>
      </w:tr>
      <w:tr w:rsidR="00C24790" w:rsidRPr="00DE6689" w14:paraId="4B34F86B" w14:textId="77777777">
        <w:tc>
          <w:tcPr>
            <w:tcW w:w="1129" w:type="dxa"/>
          </w:tcPr>
          <w:p w14:paraId="2E6E7196"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085ABC"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Μέσα AT1 οντοτήτων του χρηματοπιστωτικού τομέα όπου το ίδρυμα δεν έχει σημαντική επένδυση</w:t>
            </w:r>
          </w:p>
          <w:p w14:paraId="018DD6F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2 στοιχείο γ) του κανονισμού (ΕΕ) </w:t>
            </w:r>
            <w:r w:rsidRPr="00DE6689">
              <w:rPr>
                <w:rFonts w:ascii="Times New Roman" w:hAnsi="Times New Roman"/>
                <w:bCs/>
                <w:szCs w:val="22"/>
              </w:rPr>
              <w:t>2019/2033</w:t>
            </w:r>
            <w:r w:rsidRPr="00DE6689">
              <w:rPr>
                <w:rFonts w:ascii="Times New Roman" w:hAnsi="Times New Roman"/>
                <w:bCs/>
                <w:szCs w:val="22"/>
              </w:rPr>
              <w:t>.</w:t>
            </w:r>
          </w:p>
          <w:p w14:paraId="397B533C"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56 στοιχείο γ) του κανονισμού (ΕΕ) αριθ. 575/2013.</w:t>
            </w:r>
          </w:p>
        </w:tc>
      </w:tr>
      <w:tr w:rsidR="00C24790" w:rsidRPr="00DE6689" w14:paraId="1961E252" w14:textId="77777777">
        <w:tc>
          <w:tcPr>
            <w:tcW w:w="1129" w:type="dxa"/>
          </w:tcPr>
          <w:p w14:paraId="4A2AFB16"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DEF4924"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Λοιπές αφαιρέσεις</w:t>
            </w:r>
          </w:p>
          <w:p w14:paraId="0FD5D53B"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Το άθροισμα όλων των λοιπών αφαιρέσεων σύμφωνα με το άρθρο 56 του κανονισμού (ΕΕ) αριθ. 575/2013, με εξαίρεση</w:t>
            </w:r>
            <w:r w:rsidRPr="00DE6689">
              <w:rPr>
                <w:rFonts w:ascii="Times New Roman" w:hAnsi="Times New Roman"/>
                <w:bCs/>
                <w:szCs w:val="22"/>
              </w:rPr>
              <w:t xml:space="preserve"> τις αφαιρέσεις σύμφωνα με το άρθρο 56 στοιχείο δ) του κανονισμού (ΕΕ) αριθ. 575/2013 που δεν περιλαμβάνονται σε καμία από τις γραμμές 0340 ή 0380 ανωτέρω.</w:t>
            </w:r>
          </w:p>
        </w:tc>
      </w:tr>
      <w:tr w:rsidR="00C24790" w:rsidRPr="00DE6689" w14:paraId="3BDDA098" w14:textId="77777777">
        <w:tc>
          <w:tcPr>
            <w:tcW w:w="1129" w:type="dxa"/>
          </w:tcPr>
          <w:p w14:paraId="5B342BDE"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B83D9CF"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xml:space="preserve">Πρόσθετα στοιχεία της κατηγορίας 1: Άλλα στοιχεία κεφαλαίου, αφαιρέσεις και </w:t>
            </w:r>
            <w:r w:rsidRPr="00DE6689">
              <w:rPr>
                <w:rFonts w:ascii="Times New Roman" w:hAnsi="Times New Roman"/>
                <w:b/>
                <w:bCs/>
                <w:szCs w:val="22"/>
                <w:u w:val="single"/>
              </w:rPr>
              <w:t>προσαρμογές</w:t>
            </w:r>
          </w:p>
          <w:p w14:paraId="0C47C533"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Η γραμμή αυτή περιλαμβάνει το άθροισμα των ακόλουθων στοιχείων, ανάλογα με την περίπτωση:</w:t>
            </w:r>
          </w:p>
          <w:p w14:paraId="3864F7B1"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lastRenderedPageBreak/>
              <w:t>—</w:t>
            </w:r>
            <w:r w:rsidRPr="00DE6689">
              <w:rPr>
                <w:rFonts w:ascii="Times New Roman" w:eastAsia="Times New Roman" w:hAnsi="Times New Roman" w:cs="Times New Roman"/>
                <w:bCs/>
                <w:szCs w:val="22"/>
              </w:rPr>
              <w:tab/>
            </w:r>
            <w:r w:rsidRPr="00DE6689">
              <w:rPr>
                <w:rFonts w:ascii="Times New Roman" w:hAnsi="Times New Roman"/>
                <w:bCs/>
              </w:rPr>
              <w:t xml:space="preserve">Μεταβατικές προσαρμογές λόγω αποδοχής του προϋφιστάμενου καθεστώτος όσον αφορά τα κεφαλαιακά μέσα AT1 [άρθρο 483 παράγραφοι 4 και 5, άρθρα 484 έως 487, </w:t>
            </w:r>
            <w:r w:rsidRPr="00DE6689">
              <w:rPr>
                <w:rFonts w:ascii="Times New Roman" w:hAnsi="Times New Roman"/>
                <w:bCs/>
              </w:rPr>
              <w:t>άρθρα 489 και 491 του κανονισμού (ΕΕ) αριθ. 575/2013].</w:t>
            </w:r>
          </w:p>
          <w:p w14:paraId="147F03B1"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Άλλες μεταβατικές προσαρμογές στο κεφάλαιο AT1 [άρθρα 472, 473α, 474, 475, 478 και 481 του κανονισμού (ΕΕ) αριθ. 575/2013]: προσαρμογές στις αφαιρέσεις λόγω μεταβατικών διατάξεων.</w:t>
            </w:r>
          </w:p>
          <w:p w14:paraId="67BD4E3A"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Υπερβάλλον ποσό α</w:t>
            </w:r>
            <w:r w:rsidRPr="00DE6689">
              <w:rPr>
                <w:rFonts w:ascii="Times New Roman" w:hAnsi="Times New Roman"/>
                <w:bCs/>
              </w:rPr>
              <w:t>φαίρεσης από στοιχεία ΑΤ1 επί κεφαλαίου ΑΤ1, που αφαιρείται από το κεφάλαιο CET1 σύμφωνα με το άρθρο 36 παράγραφος 1 στοιχείο ι) του κανονισμού (ΕΕ) αριθ. 575/2013: τα πρόσθετα στοιχεία της κατηγορίας 1 δεν μπορούν να είναι αρνητικά, αλλά είναι πιθανό οι α</w:t>
            </w:r>
            <w:r w:rsidRPr="00DE6689">
              <w:rPr>
                <w:rFonts w:ascii="Times New Roman" w:hAnsi="Times New Roman"/>
                <w:bCs/>
              </w:rPr>
              <w:t>φαιρέσεις από στοιχεία AT1 να υπερβαίνουν το ποσό των διαθέσιμων στοιχείων AT1. Όταν συμβαίνει αυτό, το εν λόγω στοιχείο αντιπροσωπεύει το ποσό που απαιτείται για την αύξηση του ποσού που αναφέρεται στη γραμμή 0300 στο μηδέν και ισούται με το αντίστροφο το</w:t>
            </w:r>
            <w:r w:rsidRPr="00DE6689">
              <w:rPr>
                <w:rFonts w:ascii="Times New Roman" w:hAnsi="Times New Roman"/>
                <w:bCs/>
              </w:rPr>
              <w:t>υ υπερβάλλοντος ποσού των αφαιρέσεων από στοιχεία ΑΤ1 επί κεφαλαίου ΑΤ1 που περιλαμβάνονται, μεταξύ άλλων αφαιρέσεων, στη γραμμή 23.</w:t>
            </w:r>
          </w:p>
          <w:p w14:paraId="646EF85C"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 xml:space="preserve">Άλλα στοιχεία κεφαλαίου AT1 ή αφαιρέσεις από στοιχείο του κεφαλαίου AT1 που δεν μπορούν να αναφερθούν σε καμία από τις </w:t>
            </w:r>
            <w:r w:rsidRPr="00DE6689">
              <w:rPr>
                <w:rFonts w:ascii="Times New Roman" w:hAnsi="Times New Roman"/>
                <w:bCs/>
              </w:rPr>
              <w:t>γραμμές 26 έως 31.</w:t>
            </w:r>
          </w:p>
          <w:p w14:paraId="103AD3D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 xml:space="preserve">Η γραμμή αυτή δεν χρησιμοποιείται για να συμπεριληφθούν στον υπολογισμό των συντελεστών φερεγγυότητας στοιχεία κεφαλαίου ή αφαιρέσεις που δεν καλύπτονται από τον κανονισμό (ΕΕ) </w:t>
            </w:r>
            <w:r w:rsidRPr="00DE6689">
              <w:rPr>
                <w:rFonts w:ascii="Times New Roman" w:hAnsi="Times New Roman"/>
                <w:bCs/>
                <w:szCs w:val="22"/>
              </w:rPr>
              <w:t>2019/2033</w:t>
            </w:r>
            <w:r w:rsidRPr="00DE6689">
              <w:rPr>
                <w:rFonts w:ascii="Times New Roman" w:hAnsi="Times New Roman"/>
                <w:bCs/>
                <w:szCs w:val="22"/>
              </w:rPr>
              <w:t xml:space="preserve"> ή τον κανονισμό (ΕΕ) αριθ. 575/2013.</w:t>
            </w:r>
          </w:p>
        </w:tc>
      </w:tr>
      <w:tr w:rsidR="00C24790" w:rsidRPr="00DE6689" w14:paraId="5720C5AE" w14:textId="77777777">
        <w:tc>
          <w:tcPr>
            <w:tcW w:w="1129" w:type="dxa"/>
          </w:tcPr>
          <w:p w14:paraId="4066B79E"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lastRenderedPageBreak/>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F9EFE6B"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xml:space="preserve">ΚΕΦΑΛΑΙΟ </w:t>
            </w:r>
            <w:r w:rsidRPr="00DE6689">
              <w:rPr>
                <w:rFonts w:ascii="Times New Roman" w:hAnsi="Times New Roman"/>
                <w:b/>
                <w:bCs/>
                <w:szCs w:val="22"/>
                <w:u w:val="single"/>
              </w:rPr>
              <w:t>ΤΗΣ ΚΑΤΗΓΟΡΙΑΣ 2</w:t>
            </w:r>
          </w:p>
          <w:p w14:paraId="5193166D"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1 του κανονισμού (ΕΕ) </w:t>
            </w:r>
            <w:r w:rsidRPr="00DE6689">
              <w:rPr>
                <w:rFonts w:ascii="Times New Roman" w:hAnsi="Times New Roman"/>
                <w:bCs/>
                <w:szCs w:val="22"/>
              </w:rPr>
              <w:t>2019/2033</w:t>
            </w:r>
            <w:r w:rsidRPr="00DE6689">
              <w:rPr>
                <w:rFonts w:ascii="Times New Roman" w:hAnsi="Times New Roman"/>
                <w:bCs/>
                <w:szCs w:val="22"/>
              </w:rPr>
              <w:t>.</w:t>
            </w:r>
          </w:p>
          <w:p w14:paraId="12D03F59" w14:textId="77777777" w:rsidR="00C24790" w:rsidRPr="00DE6689" w:rsidRDefault="00DE6689">
            <w:pPr>
              <w:spacing w:after="120"/>
              <w:jc w:val="both"/>
              <w:rPr>
                <w:rStyle w:val="FormatvorlageInstructionsTabelleText"/>
                <w:rFonts w:ascii="Times New Roman" w:hAnsi="Times New Roman"/>
                <w:sz w:val="22"/>
                <w:szCs w:val="22"/>
              </w:rPr>
            </w:pPr>
            <w:r w:rsidRPr="00DE6689">
              <w:rPr>
                <w:rStyle w:val="FormatvorlageInstructionsTabelleText"/>
                <w:rFonts w:ascii="Times New Roman" w:hAnsi="Times New Roman"/>
                <w:sz w:val="22"/>
                <w:szCs w:val="22"/>
              </w:rPr>
              <w:t>Άρθρο 71 του κανονισμού (ΕΕ) αριθ. 575/2013.</w:t>
            </w:r>
          </w:p>
          <w:p w14:paraId="5A1AF473" w14:textId="77777777" w:rsidR="00C24790" w:rsidRPr="00DE6689" w:rsidRDefault="00DE6689">
            <w:pPr>
              <w:pStyle w:val="CommentText"/>
              <w:rPr>
                <w:sz w:val="22"/>
                <w:szCs w:val="22"/>
              </w:rPr>
            </w:pPr>
            <w:r w:rsidRPr="00DE6689">
              <w:rPr>
                <w:rStyle w:val="FormatvorlageInstructionsTabelleText"/>
                <w:rFonts w:ascii="Times New Roman" w:hAnsi="Times New Roman"/>
                <w:sz w:val="22"/>
                <w:szCs w:val="22"/>
              </w:rPr>
              <w:t>Δημοσιοποιείται</w:t>
            </w:r>
            <w:r w:rsidRPr="00DE6689">
              <w:rPr>
                <w:rFonts w:ascii="Times New Roman" w:hAnsi="Times New Roman"/>
                <w:sz w:val="22"/>
                <w:szCs w:val="22"/>
              </w:rPr>
              <w:t xml:space="preserve"> το συνολικό άθροισμα των γραμμών 34 έως 36 και 39.</w:t>
            </w:r>
          </w:p>
        </w:tc>
      </w:tr>
      <w:tr w:rsidR="00C24790" w:rsidRPr="00DE6689" w14:paraId="03F8618C" w14:textId="77777777">
        <w:tc>
          <w:tcPr>
            <w:tcW w:w="1129" w:type="dxa"/>
          </w:tcPr>
          <w:p w14:paraId="1F4C7F40"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54BA8853"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Πλήρως καταβεβλημένα, απευθείας εκδοθέντα κεφαλαιακά μέσα</w:t>
            </w:r>
          </w:p>
          <w:p w14:paraId="130CBC56"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w:t>
            </w:r>
            <w:r w:rsidRPr="00DE6689">
              <w:rPr>
                <w:rFonts w:ascii="Times New Roman" w:hAnsi="Times New Roman"/>
                <w:bCs/>
                <w:szCs w:val="22"/>
              </w:rPr>
              <w:t>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6AA1DD19" w14:textId="77777777" w:rsidR="00C24790" w:rsidRPr="00DE6689" w:rsidRDefault="00DE6689">
            <w:pPr>
              <w:pStyle w:val="InstructionsText"/>
              <w:rPr>
                <w:rStyle w:val="FormatvorlageInstructionsTabelleText"/>
                <w:rFonts w:ascii="Times New Roman" w:eastAsiaTheme="minorHAnsi" w:hAnsi="Times New Roman"/>
                <w:bCs/>
                <w:sz w:val="22"/>
              </w:rPr>
            </w:pPr>
            <w:r w:rsidRPr="00DE6689">
              <w:rPr>
                <w:rStyle w:val="FormatvorlageInstructionsTabelleText"/>
                <w:rFonts w:ascii="Times New Roman" w:hAnsi="Times New Roman"/>
                <w:sz w:val="22"/>
              </w:rPr>
              <w:t>Άρθρο 62 στοιχείο α), άρθρα 63 και 65 του κανονισμού (ΕΕ) αριθ. 575/2013.</w:t>
            </w:r>
          </w:p>
          <w:p w14:paraId="5EABE837"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Style w:val="FormatvorlageInstructionsTabelleText"/>
                <w:rFonts w:ascii="Times New Roman" w:hAnsi="Times New Roman"/>
                <w:sz w:val="22"/>
                <w:szCs w:val="22"/>
              </w:rPr>
              <w:t>Το προς δημοσιοποίηση ποσό δεν περιλαμβάνει τη διαφορά από την έκδοση μετοχών υπέρ το άρτιο που αφορά τα μέσα.</w:t>
            </w:r>
          </w:p>
        </w:tc>
      </w:tr>
      <w:tr w:rsidR="00C24790" w:rsidRPr="00DE6689" w14:paraId="1C4D40BD" w14:textId="77777777">
        <w:tc>
          <w:tcPr>
            <w:tcW w:w="1129" w:type="dxa"/>
          </w:tcPr>
          <w:p w14:paraId="6AC2E9FC"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5297563E"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Διαφορά από έκδοση μετοχών υπέρ το άρτιο</w:t>
            </w:r>
          </w:p>
          <w:p w14:paraId="12D45F5E"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785B60A0"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62 στοιχείο β) και άρθρο 65 του κανονισμού (ΕΕ) αριθ. 575/2013.</w:t>
            </w:r>
          </w:p>
          <w:p w14:paraId="6496E544"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Ο όρος </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διαφορά από την έκδοση μετοχών υπέρ το άρτιο</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 xml:space="preserve"> έχει την ίδια έννοια με αυτήν</w:t>
            </w:r>
            <w:r w:rsidRPr="00DE6689">
              <w:rPr>
                <w:rStyle w:val="FormatvorlageInstructionsTabelleText"/>
                <w:rFonts w:ascii="Times New Roman" w:hAnsi="Times New Roman"/>
                <w:sz w:val="22"/>
              </w:rPr>
              <w:t xml:space="preserve"> του εφαρμοστέου λογιστικού προτύπου.</w:t>
            </w:r>
          </w:p>
          <w:p w14:paraId="0BE64762" w14:textId="77777777" w:rsidR="00C24790" w:rsidRPr="00DE6689" w:rsidRDefault="00DE6689">
            <w:pPr>
              <w:pStyle w:val="InstructionsText"/>
            </w:pPr>
            <w:r w:rsidRPr="00DE6689">
              <w:rPr>
                <w:rStyle w:val="FormatvorlageInstructionsTabelleText"/>
                <w:rFonts w:ascii="Times New Roman" w:hAnsi="Times New Roman"/>
                <w:sz w:val="22"/>
              </w:rPr>
              <w:t xml:space="preserve">Το προς δημοσιοποίηση ποσό στο συγκεκριμένο στοιχείο είναι το μέρος που σχετίζεται με τα </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καταβεβλημένα κεφαλαιακά μέσα</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w:t>
            </w:r>
          </w:p>
        </w:tc>
      </w:tr>
      <w:tr w:rsidR="00C24790" w:rsidRPr="00DE6689" w14:paraId="67D273E7" w14:textId="77777777">
        <w:tc>
          <w:tcPr>
            <w:tcW w:w="1129" w:type="dxa"/>
          </w:tcPr>
          <w:p w14:paraId="5AB946BC"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10DB7D5B"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ΣΥΝΟΛΙΚΕΣ ΑΦΑΙΡΕΣΕΙΣ ΑΠΟ ΜΕΣΑ ΤΗΣ ΚΑΤΗΓΟΡΙΑΣ 2</w:t>
            </w:r>
          </w:p>
          <w:p w14:paraId="4F64C47B"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szCs w:val="22"/>
              </w:rPr>
              <w:t>Άρθρο 66 του κανονισμού (ΕΕ) αριθ. 575/20</w:t>
            </w:r>
            <w:r w:rsidRPr="00DE6689">
              <w:rPr>
                <w:rFonts w:ascii="Times New Roman" w:hAnsi="Times New Roman"/>
                <w:szCs w:val="22"/>
              </w:rPr>
              <w:t>13.</w:t>
            </w:r>
          </w:p>
        </w:tc>
      </w:tr>
      <w:tr w:rsidR="00C24790" w:rsidRPr="00DE6689" w14:paraId="539D53D6" w14:textId="77777777">
        <w:tc>
          <w:tcPr>
            <w:tcW w:w="1129" w:type="dxa"/>
          </w:tcPr>
          <w:p w14:paraId="0FB5613A"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5FAEA9"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Ίδια μέσα T2</w:t>
            </w:r>
          </w:p>
          <w:p w14:paraId="3DBC52E6"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Άρθρο 9 παράγραφος 1 σημείο</w:t>
            </w:r>
            <w:r w:rsidRPr="00DE6689">
              <w:rPr>
                <w:rFonts w:ascii="Times New Roman" w:hAnsi="Times New Roman"/>
                <w:bCs/>
                <w:szCs w:val="22"/>
              </w:rPr>
              <w:t xml:space="preserve"> i)</w:t>
            </w:r>
            <w:r w:rsidRPr="00DE6689">
              <w:rPr>
                <w:rFonts w:ascii="Times New Roman" w:hAnsi="Times New Roman"/>
                <w:bCs/>
                <w:szCs w:val="22"/>
              </w:rPr>
              <w:t xml:space="preserve"> του κανονισμού (ΕΕ) </w:t>
            </w:r>
            <w:r w:rsidRPr="00DE6689">
              <w:rPr>
                <w:rFonts w:ascii="Times New Roman" w:hAnsi="Times New Roman"/>
                <w:bCs/>
                <w:szCs w:val="22"/>
              </w:rPr>
              <w:t>2019/2033</w:t>
            </w:r>
            <w:r w:rsidRPr="00DE6689">
              <w:rPr>
                <w:rFonts w:ascii="Times New Roman" w:hAnsi="Times New Roman"/>
                <w:bCs/>
                <w:szCs w:val="22"/>
              </w:rPr>
              <w:t>.</w:t>
            </w:r>
          </w:p>
          <w:p w14:paraId="7CC522A9"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Άρθρο 63 στοιχείο β) σημείο</w:t>
            </w:r>
            <w:r w:rsidRPr="00DE6689">
              <w:rPr>
                <w:rStyle w:val="FormatvorlageInstructionsTabelleText"/>
                <w:rFonts w:ascii="Times New Roman" w:hAnsi="Times New Roman"/>
                <w:sz w:val="22"/>
              </w:rPr>
              <w:t xml:space="preserve"> i)</w:t>
            </w:r>
            <w:r w:rsidRPr="00DE6689">
              <w:rPr>
                <w:rStyle w:val="FormatvorlageInstructionsTabelleText"/>
                <w:rFonts w:ascii="Times New Roman" w:hAnsi="Times New Roman"/>
                <w:sz w:val="22"/>
              </w:rPr>
              <w:t>, άρθρο 66 στοιχείο α) και άρθρο 67 του κανονισμού (ΕΕ) αριθ. 575/2013.</w:t>
            </w:r>
          </w:p>
          <w:p w14:paraId="31CF96D2"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t xml:space="preserve">Ίδια μέσα T2 που βρίσκονται στην κατοχή του αναφέροντος </w:t>
            </w:r>
            <w:r w:rsidRPr="00DE6689">
              <w:rPr>
                <w:rStyle w:val="FormatvorlageInstructionsTabelleText"/>
                <w:rFonts w:ascii="Times New Roman" w:hAnsi="Times New Roman"/>
                <w:sz w:val="22"/>
              </w:rPr>
              <w:t>ιδρύματος ή ομίλου κατά την ημερομηνία υποβολής αναφοράς. Με την επιφύλαξη των εξαιρέσεων του άρθρου 67 του κανονισμού (ΕΕ) αριθ. 575/2013.</w:t>
            </w:r>
          </w:p>
          <w:p w14:paraId="03D9BFA6" w14:textId="77777777" w:rsidR="00C24790" w:rsidRPr="00DE6689" w:rsidRDefault="00DE6689">
            <w:pPr>
              <w:pStyle w:val="InstructionsText"/>
              <w:rPr>
                <w:rStyle w:val="FormatvorlageInstructionsTabelleText"/>
                <w:rFonts w:ascii="Times New Roman" w:hAnsi="Times New Roman"/>
                <w:sz w:val="22"/>
              </w:rPr>
            </w:pPr>
            <w:r w:rsidRPr="00DE6689">
              <w:rPr>
                <w:rStyle w:val="FormatvorlageInstructionsTabelleText"/>
                <w:rFonts w:ascii="Times New Roman" w:hAnsi="Times New Roman"/>
                <w:sz w:val="22"/>
              </w:rPr>
              <w:lastRenderedPageBreak/>
              <w:t xml:space="preserve">Οι τοποθετήσεις σε μετοχές που περιλαμβάνονται στα </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Κεφαλαιακά μέσα που δεν είναι επιλέξιμα</w:t>
            </w:r>
            <w:r w:rsidRPr="00DE6689">
              <w:rPr>
                <w:rStyle w:val="FormatvorlageInstructionsTabelleText"/>
                <w:rFonts w:ascii="Times New Roman" w:hAnsi="Times New Roman"/>
                <w:sz w:val="22"/>
              </w:rPr>
              <w:t>»</w:t>
            </w:r>
            <w:r w:rsidRPr="00DE6689">
              <w:rPr>
                <w:rStyle w:val="FormatvorlageInstructionsTabelleText"/>
                <w:rFonts w:ascii="Times New Roman" w:hAnsi="Times New Roman"/>
                <w:sz w:val="22"/>
              </w:rPr>
              <w:t xml:space="preserve"> δεν δημοσιοποιούνται στ</w:t>
            </w:r>
            <w:r w:rsidRPr="00DE6689">
              <w:rPr>
                <w:rStyle w:val="FormatvorlageInstructionsTabelleText"/>
                <w:rFonts w:ascii="Times New Roman" w:hAnsi="Times New Roman"/>
                <w:sz w:val="22"/>
              </w:rPr>
              <w:t>η συγκεκριμένη γραμμή.</w:t>
            </w:r>
          </w:p>
          <w:p w14:paraId="5399F01C" w14:textId="77777777" w:rsidR="00C24790" w:rsidRPr="00DE6689" w:rsidRDefault="00DE6689">
            <w:pPr>
              <w:pStyle w:val="InstructionsText"/>
            </w:pPr>
            <w:r w:rsidRPr="00DE6689">
              <w:rPr>
                <w:rStyle w:val="FormatvorlageInstructionsTabelleText"/>
                <w:rFonts w:ascii="Times New Roman" w:hAnsi="Times New Roman"/>
                <w:sz w:val="22"/>
              </w:rPr>
              <w:t>Το προς δημοσιοποίηση ποσό περιλαμβάνει τη διαφορά από την έκδοση μετοχών υπέρ το άρτιο που αφορά τις ίδιες μετοχές.</w:t>
            </w:r>
          </w:p>
        </w:tc>
      </w:tr>
      <w:tr w:rsidR="00C24790" w:rsidRPr="00DE6689" w14:paraId="3A0FD408" w14:textId="77777777">
        <w:tc>
          <w:tcPr>
            <w:tcW w:w="1129" w:type="dxa"/>
          </w:tcPr>
          <w:p w14:paraId="55A627A3"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lastRenderedPageBreak/>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624B6B75"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 Μέσα T2 οντοτήτων του χρηματοπιστωτικού τομέα όπου το ίδρυμα δεν έχει σημαντική επένδυση</w:t>
            </w:r>
          </w:p>
          <w:p w14:paraId="02666024"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 xml:space="preserve">Άρθρο 9 παράγραφος 2 στοιχείο γ) του κανονισμού (ΕΕ) </w:t>
            </w:r>
            <w:r w:rsidRPr="00DE6689">
              <w:rPr>
                <w:rFonts w:ascii="Times New Roman" w:hAnsi="Times New Roman"/>
                <w:bCs/>
                <w:szCs w:val="22"/>
              </w:rPr>
              <w:t>2019/2033</w:t>
            </w:r>
            <w:r w:rsidRPr="00DE6689">
              <w:rPr>
                <w:rFonts w:ascii="Times New Roman" w:hAnsi="Times New Roman"/>
                <w:bCs/>
                <w:szCs w:val="22"/>
              </w:rPr>
              <w:t>.</w:t>
            </w:r>
          </w:p>
          <w:p w14:paraId="2C83097D"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Άρθρο 66 στοιχείο γ) του κανονισμού (ΕΕ) αριθ. 575/2013.</w:t>
            </w:r>
          </w:p>
        </w:tc>
      </w:tr>
      <w:tr w:rsidR="00C24790" w:rsidRPr="00DE6689" w14:paraId="59562E66" w14:textId="77777777">
        <w:tc>
          <w:tcPr>
            <w:tcW w:w="1129" w:type="dxa"/>
            <w:tcBorders>
              <w:bottom w:val="single" w:sz="4" w:space="0" w:color="auto"/>
            </w:tcBorders>
          </w:tcPr>
          <w:p w14:paraId="0C461CAA"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8C64C7E"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
                <w:bCs/>
                <w:szCs w:val="22"/>
                <w:u w:val="single"/>
              </w:rPr>
              <w:t>Στοιχεία της κατηγορίας 2: Άλλα στοιχεία κεφαλαίου, αφαιρέσεις και προσαρμογές</w:t>
            </w:r>
          </w:p>
          <w:p w14:paraId="6A717A74" w14:textId="77777777" w:rsidR="00C24790" w:rsidRPr="00DE6689" w:rsidRDefault="00DE6689">
            <w:pPr>
              <w:spacing w:after="120"/>
              <w:jc w:val="both"/>
              <w:rPr>
                <w:rFonts w:ascii="Times New Roman" w:eastAsia="Times New Roman" w:hAnsi="Times New Roman" w:cs="Times New Roman"/>
                <w:bCs/>
                <w:szCs w:val="22"/>
              </w:rPr>
            </w:pPr>
            <w:r w:rsidRPr="00DE6689">
              <w:rPr>
                <w:rFonts w:ascii="Times New Roman" w:hAnsi="Times New Roman"/>
                <w:bCs/>
                <w:szCs w:val="22"/>
              </w:rPr>
              <w:t>Η γραμμή αυτή περιλαμβάνει το άθροισμα των ακόλουθων</w:t>
            </w:r>
            <w:r w:rsidRPr="00DE6689">
              <w:rPr>
                <w:rFonts w:ascii="Times New Roman" w:hAnsi="Times New Roman"/>
                <w:bCs/>
                <w:szCs w:val="22"/>
              </w:rPr>
              <w:t xml:space="preserve"> στοιχείων, ανάλογα με την περίπτωση:</w:t>
            </w:r>
          </w:p>
          <w:p w14:paraId="1E739793"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Μεταβατικές προσαρμογές λόγω αποδοχής του προϋφιστάμενου καθεστώτος όσον αφορά τα κεφαλαιακά μέσα T2 [άρθρο 483 παράγραφοι 6 και 7, άρθρα 484, 486, 488, 490 και 491 του κανονισμού (ΕΕ) αριθ. 575/2013].</w:t>
            </w:r>
          </w:p>
          <w:p w14:paraId="538A974D"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 xml:space="preserve">Άλλες </w:t>
            </w:r>
            <w:r w:rsidRPr="00DE6689">
              <w:rPr>
                <w:rFonts w:ascii="Times New Roman" w:hAnsi="Times New Roman"/>
                <w:bCs/>
              </w:rPr>
              <w:t>μεταβατικές προσαρμογές στο κεφάλαιο T2 [άρθρα 472, 473α, 476, 477, 478 και 481 του κανονισμού (ΕΕ) αριθ. 575/2013]: προσαρμογές στις αφαιρέσεις από το κεφάλαιο της κατηγορίας 2 λόγω μεταβατικών διατάξεων.</w:t>
            </w:r>
          </w:p>
          <w:p w14:paraId="06DB47F5"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Υπερβάλλον ποσό αφαίρεσης από στοιχεία T2 επί κε</w:t>
            </w:r>
            <w:r w:rsidRPr="00DE6689">
              <w:rPr>
                <w:rFonts w:ascii="Times New Roman" w:hAnsi="Times New Roman"/>
                <w:bCs/>
              </w:rPr>
              <w:t>φαλαίου T2, που αφαιρείται από το κεφάλαιο AT1 σύμφωνα με το άρθρο 56 στοιχείο ε) του κανονισμού (ΕΕ) αριθ. 575/2013: τα στοιχεία της κατηγορίας 2 δεν μπορούν να είναι αρνητικά, αλλά είναι πιθανό οι αφαιρέσεις από στοιχεία T2 να υπερβαίνουν το ποσό των δια</w:t>
            </w:r>
            <w:r w:rsidRPr="00DE6689">
              <w:rPr>
                <w:rFonts w:ascii="Times New Roman" w:hAnsi="Times New Roman"/>
                <w:bCs/>
              </w:rPr>
              <w:t>θέσιμων στοιχείων T2. Όταν συμβαίνει αυτό, το εν λόγω στοιχείο αντιπροσωπεύει το ποσό που απαιτείται για την αύξηση του ποσού που αναφέρεται στη γραμμή 33 στο μηδέν.</w:t>
            </w:r>
          </w:p>
          <w:p w14:paraId="25643375" w14:textId="77777777" w:rsidR="00C24790" w:rsidRPr="00DE6689" w:rsidRDefault="00DE6689">
            <w:pPr>
              <w:spacing w:after="120"/>
              <w:ind w:left="360" w:hanging="360"/>
              <w:contextualSpacing/>
              <w:jc w:val="both"/>
              <w:rPr>
                <w:rFonts w:ascii="Times New Roman" w:eastAsia="Times New Roman" w:hAnsi="Times New Roman"/>
                <w:bCs/>
              </w:rPr>
            </w:pPr>
            <w:r w:rsidRPr="00DE6689">
              <w:rPr>
                <w:rFonts w:ascii="Times New Roman" w:eastAsia="Times New Roman" w:hAnsi="Times New Roman" w:cs="Times New Roman"/>
                <w:bCs/>
                <w:szCs w:val="22"/>
              </w:rPr>
              <w:t>—</w:t>
            </w:r>
            <w:r w:rsidRPr="00DE6689">
              <w:rPr>
                <w:rFonts w:ascii="Times New Roman" w:eastAsia="Times New Roman" w:hAnsi="Times New Roman" w:cs="Times New Roman"/>
                <w:bCs/>
                <w:szCs w:val="22"/>
              </w:rPr>
              <w:tab/>
            </w:r>
            <w:r w:rsidRPr="00DE6689">
              <w:rPr>
                <w:rFonts w:ascii="Times New Roman" w:hAnsi="Times New Roman"/>
                <w:bCs/>
              </w:rPr>
              <w:t>Άλλα στοιχεία κεφαλαίου T2 ή αφαιρέσεις από στοιχείο του κεφαλαίου T2 που δεν μπορούν να</w:t>
            </w:r>
            <w:r w:rsidRPr="00DE6689">
              <w:rPr>
                <w:rFonts w:ascii="Times New Roman" w:hAnsi="Times New Roman"/>
                <w:bCs/>
              </w:rPr>
              <w:t xml:space="preserve"> αναφερθούν σε καμία από τις γραμμές 34 έως 38.</w:t>
            </w:r>
          </w:p>
          <w:p w14:paraId="1016E4DA" w14:textId="77777777" w:rsidR="00C24790" w:rsidRPr="00DE6689" w:rsidRDefault="00DE6689">
            <w:pPr>
              <w:spacing w:after="120"/>
              <w:jc w:val="both"/>
              <w:rPr>
                <w:rFonts w:ascii="Times New Roman" w:eastAsia="Times New Roman" w:hAnsi="Times New Roman" w:cs="Times New Roman"/>
                <w:b/>
                <w:bCs/>
                <w:szCs w:val="22"/>
                <w:u w:val="single"/>
              </w:rPr>
            </w:pPr>
            <w:r w:rsidRPr="00DE6689">
              <w:rPr>
                <w:rFonts w:ascii="Times New Roman" w:hAnsi="Times New Roman"/>
                <w:bCs/>
                <w:szCs w:val="22"/>
              </w:rPr>
              <w:t xml:space="preserve">Η γραμμή αυτή δεν χρησιμοποιείται για να συμπεριληφθούν στον υπολογισμό των συντελεστών φερεγγυότητας στοιχεία κεφαλαίου ή αφαιρέσεις που δεν καλύπτονται από τον κανονισμό (ΕΕ) </w:t>
            </w:r>
            <w:r w:rsidRPr="00DE6689">
              <w:rPr>
                <w:rFonts w:ascii="Times New Roman" w:hAnsi="Times New Roman"/>
                <w:bCs/>
                <w:szCs w:val="22"/>
              </w:rPr>
              <w:t>2019/2033</w:t>
            </w:r>
            <w:r w:rsidRPr="00DE6689">
              <w:rPr>
                <w:rFonts w:ascii="Times New Roman" w:hAnsi="Times New Roman"/>
                <w:bCs/>
                <w:szCs w:val="22"/>
              </w:rPr>
              <w:t xml:space="preserve"> ή τον κανονισμό (ΕΕ) </w:t>
            </w:r>
            <w:r w:rsidRPr="00DE6689">
              <w:rPr>
                <w:rFonts w:ascii="Times New Roman" w:hAnsi="Times New Roman"/>
                <w:bCs/>
                <w:szCs w:val="22"/>
              </w:rPr>
              <w:t>αριθ. 575/2013.</w:t>
            </w:r>
          </w:p>
        </w:tc>
      </w:tr>
    </w:tbl>
    <w:p w14:paraId="5A3EE987" w14:textId="77777777" w:rsidR="00C24790" w:rsidRPr="00DE6689" w:rsidRDefault="00C24790">
      <w:pPr>
        <w:rPr>
          <w:rFonts w:ascii="Times New Roman" w:hAnsi="Times New Roman" w:cs="Times New Roman"/>
          <w:b/>
          <w:bCs/>
          <w:sz w:val="24"/>
          <w:lang w:val="en-IE"/>
        </w:rPr>
      </w:pPr>
    </w:p>
    <w:p w14:paraId="3A91BE27" w14:textId="77777777" w:rsidR="00C24790" w:rsidRPr="00DE6689" w:rsidRDefault="00DE6689">
      <w:pPr>
        <w:rPr>
          <w:rFonts w:ascii="Times New Roman" w:hAnsi="Times New Roman" w:cs="Times New Roman"/>
          <w:b/>
          <w:bCs/>
          <w:sz w:val="24"/>
        </w:rPr>
      </w:pPr>
      <w:r w:rsidRPr="00DE6689">
        <w:rPr>
          <w:rFonts w:ascii="Times New Roman" w:hAnsi="Times New Roman"/>
          <w:b/>
          <w:bCs/>
          <w:sz w:val="24"/>
        </w:rPr>
        <w:t>Υπόδειγμα EU I CC2 — Συμφωνία των κανονιστικών ιδίων κεφαλαίων με τον ισολογισμό στις ελεγμένες οικονομικές καταστάσεις</w:t>
      </w:r>
    </w:p>
    <w:p w14:paraId="0438BD68" w14:textId="77777777" w:rsidR="00C24790" w:rsidRPr="00DE6689" w:rsidRDefault="00DE6689">
      <w:pPr>
        <w:tabs>
          <w:tab w:val="left" w:pos="360"/>
        </w:tabs>
        <w:spacing w:before="120" w:after="120"/>
        <w:ind w:left="357" w:hanging="357"/>
        <w:jc w:val="both"/>
        <w:rPr>
          <w:rFonts w:ascii="Times New Roman" w:hAnsi="Times New Roman" w:cs="Times New Roman"/>
          <w:bCs/>
          <w:sz w:val="24"/>
        </w:rPr>
      </w:pPr>
      <w:r w:rsidRPr="00DE6689">
        <w:rPr>
          <w:rFonts w:ascii="Times New Roman" w:hAnsi="Times New Roman" w:cs="Times New Roman"/>
          <w:bCs/>
          <w:sz w:val="24"/>
        </w:rPr>
        <w:t>7.</w:t>
      </w:r>
      <w:r w:rsidRPr="00DE6689">
        <w:rPr>
          <w:rFonts w:ascii="Times New Roman" w:hAnsi="Times New Roman" w:cs="Times New Roman"/>
          <w:bCs/>
          <w:sz w:val="24"/>
        </w:rPr>
        <w:tab/>
      </w:r>
      <w:r w:rsidRPr="00DE6689">
        <w:rPr>
          <w:rFonts w:ascii="Times New Roman" w:hAnsi="Times New Roman"/>
          <w:bCs/>
          <w:sz w:val="24"/>
        </w:rPr>
        <w:t xml:space="preserve">Οι επιχειρήσεις επενδύσεων εφαρμόζουν τις οδηγίες που παρέχονται στο παρόν παράρτημα προκειμένου να συμπληρώσουν το υπόδειγμα EU I CC2, όπως παρουσιάζεται στο παράρτημα VI, σύμφωνα με το άρθρο 49 παράγραφος 1 στοιχείο α) του κανονισμού (ΕΕ) </w:t>
      </w:r>
      <w:r w:rsidRPr="00DE6689">
        <w:rPr>
          <w:rFonts w:ascii="Times New Roman" w:hAnsi="Times New Roman"/>
          <w:bCs/>
          <w:sz w:val="24"/>
        </w:rPr>
        <w:t>2019/2033</w:t>
      </w:r>
      <w:r w:rsidRPr="00DE6689">
        <w:rPr>
          <w:rFonts w:ascii="Times New Roman" w:hAnsi="Times New Roman"/>
          <w:bCs/>
          <w:sz w:val="24"/>
        </w:rPr>
        <w:t>.</w:t>
      </w:r>
    </w:p>
    <w:p w14:paraId="0FC6ED17" w14:textId="77777777" w:rsidR="00C24790" w:rsidRPr="00DE6689" w:rsidRDefault="00DE6689">
      <w:pPr>
        <w:tabs>
          <w:tab w:val="left" w:pos="360"/>
        </w:tabs>
        <w:spacing w:before="120" w:after="120"/>
        <w:ind w:left="357" w:hanging="357"/>
        <w:jc w:val="both"/>
        <w:rPr>
          <w:rFonts w:ascii="Times New Roman" w:hAnsi="Times New Roman" w:cs="Times New Roman"/>
          <w:bCs/>
          <w:sz w:val="24"/>
        </w:rPr>
      </w:pPr>
      <w:r w:rsidRPr="00DE6689">
        <w:rPr>
          <w:rFonts w:ascii="Times New Roman" w:hAnsi="Times New Roman" w:cs="Times New Roman"/>
          <w:bCs/>
          <w:sz w:val="24"/>
        </w:rPr>
        <w:t>8.</w:t>
      </w:r>
      <w:r w:rsidRPr="00DE6689">
        <w:rPr>
          <w:rFonts w:ascii="Times New Roman" w:hAnsi="Times New Roman" w:cs="Times New Roman"/>
          <w:bCs/>
          <w:sz w:val="24"/>
        </w:rPr>
        <w:tab/>
      </w:r>
      <w:r w:rsidRPr="00DE6689">
        <w:rPr>
          <w:rFonts w:ascii="Times New Roman" w:hAnsi="Times New Roman"/>
          <w:bCs/>
          <w:sz w:val="24"/>
        </w:rPr>
        <w:t>Ο</w:t>
      </w:r>
      <w:r w:rsidRPr="00DE6689">
        <w:rPr>
          <w:rFonts w:ascii="Times New Roman" w:hAnsi="Times New Roman"/>
          <w:bCs/>
          <w:sz w:val="24"/>
        </w:rPr>
        <w:t>ι επιχειρήσεις επενδύσεων δημοσιοποιούν τον ισολογισμό που περιλαμβάνεται στις δημοσιευμένες οικονομικές καταστάσεις τους. Οικονομικές καταστάσεις είναι οι ελεγμένες οικονομικές καταστάσεις για τις δημοσιοποιήσεις στο τέλος του έτους.</w:t>
      </w:r>
    </w:p>
    <w:p w14:paraId="5D824892" w14:textId="77777777" w:rsidR="00C24790" w:rsidRPr="00DE6689" w:rsidRDefault="00DE6689">
      <w:pPr>
        <w:tabs>
          <w:tab w:val="left" w:pos="360"/>
        </w:tabs>
        <w:spacing w:before="120" w:after="120"/>
        <w:ind w:left="357" w:hanging="357"/>
        <w:jc w:val="both"/>
        <w:rPr>
          <w:rFonts w:ascii="Times New Roman" w:hAnsi="Times New Roman" w:cs="Times New Roman"/>
          <w:bCs/>
          <w:sz w:val="24"/>
        </w:rPr>
      </w:pPr>
      <w:r w:rsidRPr="00DE6689">
        <w:rPr>
          <w:rFonts w:ascii="Times New Roman" w:hAnsi="Times New Roman" w:cs="Times New Roman"/>
          <w:bCs/>
          <w:sz w:val="24"/>
        </w:rPr>
        <w:t>9.</w:t>
      </w:r>
      <w:r w:rsidRPr="00DE6689">
        <w:rPr>
          <w:rFonts w:ascii="Times New Roman" w:hAnsi="Times New Roman" w:cs="Times New Roman"/>
          <w:bCs/>
          <w:sz w:val="24"/>
        </w:rPr>
        <w:tab/>
      </w:r>
      <w:r w:rsidRPr="00DE6689">
        <w:rPr>
          <w:rFonts w:ascii="Times New Roman" w:hAnsi="Times New Roman"/>
          <w:bCs/>
          <w:sz w:val="24"/>
        </w:rPr>
        <w:t>Οι γραμμές του υπο</w:t>
      </w:r>
      <w:r w:rsidRPr="00DE6689">
        <w:rPr>
          <w:rFonts w:ascii="Times New Roman" w:hAnsi="Times New Roman"/>
          <w:bCs/>
          <w:sz w:val="24"/>
        </w:rPr>
        <w:t>δείγματος είναι ευέλικτες και δημοσιοποιούνται από τις επιχειρήσεις επενδύσεων σύμφωνα με τις οικονομικές τους καταστάσεις. Τα στοιχεία ιδίων κεφαλαίων που αναφέρονται στις ελεγμένες οικονομικές καταστάσεις περιλαμβάνουν όλες τις συνιστώσες οι οποίες απαρτ</w:t>
      </w:r>
      <w:r w:rsidRPr="00DE6689">
        <w:rPr>
          <w:rFonts w:ascii="Times New Roman" w:hAnsi="Times New Roman"/>
          <w:bCs/>
          <w:sz w:val="24"/>
        </w:rPr>
        <w:t>ίζουν τα κανονιστικά ίδια κεφάλαια ή αφαιρούνται από αυτά, στοιχεία παθητικού όπως τα χρέη, ή άλλες γραμμές του ισολογισμού που επηρεάζουν τα κανονιστικά ίδια κεφάλαια, όπως τα άυλα στοιχεία ενεργητικού, η υπεραξία και οι αναβαλλόμενες φορολογικές απαιτήσε</w:t>
      </w:r>
      <w:r w:rsidRPr="00DE6689">
        <w:rPr>
          <w:rFonts w:ascii="Times New Roman" w:hAnsi="Times New Roman"/>
          <w:bCs/>
          <w:sz w:val="24"/>
        </w:rPr>
        <w:t xml:space="preserve">ις. Οι επιχειρήσεις επενδύσεων </w:t>
      </w:r>
      <w:r w:rsidRPr="00DE6689">
        <w:rPr>
          <w:rFonts w:ascii="Times New Roman" w:hAnsi="Times New Roman"/>
          <w:bCs/>
          <w:sz w:val="24"/>
        </w:rPr>
        <w:lastRenderedPageBreak/>
        <w:t>επεκτείνουν τα στοιχεία των ιδίων κεφαλαίων του ισολογισμού όπως απαιτείται ώστε να διασφαλίζεται ότι εμφανίζονται ξεχωριστά όλες οι συνιστώσες οι οποίες περιλαμβάνονται στη σύνθεση του υποδείγματος δημοσιοποίησης ιδίων κεφαλ</w:t>
      </w:r>
      <w:r w:rsidRPr="00DE6689">
        <w:rPr>
          <w:rFonts w:ascii="Times New Roman" w:hAnsi="Times New Roman"/>
          <w:bCs/>
          <w:sz w:val="24"/>
        </w:rPr>
        <w:t>αίων (υπόδειγμα EU I CC1). Οι επιχειρήσεις επενδύσεων επεκτείνουν τα στοιχεία μόνον έως το επίπεδο διασποράς που είναι απαραίτητο για την εξαγωγή των συνιστωσών οι οποίες απαιτούνται από το υπόδειγμα EU I CC1. Η δημοσιοποίηση είναι ανάλογη προς την πολυπλο</w:t>
      </w:r>
      <w:r w:rsidRPr="00DE6689">
        <w:rPr>
          <w:rFonts w:ascii="Times New Roman" w:hAnsi="Times New Roman"/>
          <w:bCs/>
          <w:sz w:val="24"/>
        </w:rPr>
        <w:t>κότητα του ισολογισμού της επιχείρησης επενδύσεων.</w:t>
      </w:r>
    </w:p>
    <w:p w14:paraId="6A26F23C" w14:textId="77777777" w:rsidR="00C24790" w:rsidRPr="00DE6689" w:rsidRDefault="00DE6689">
      <w:pPr>
        <w:tabs>
          <w:tab w:val="left" w:pos="360"/>
        </w:tabs>
        <w:spacing w:before="120" w:after="120"/>
        <w:ind w:left="357" w:hanging="357"/>
        <w:jc w:val="both"/>
        <w:rPr>
          <w:rFonts w:ascii="Times New Roman" w:hAnsi="Times New Roman" w:cs="Times New Roman"/>
          <w:bCs/>
          <w:sz w:val="24"/>
        </w:rPr>
      </w:pPr>
      <w:r w:rsidRPr="00DE6689">
        <w:rPr>
          <w:rFonts w:ascii="Times New Roman" w:hAnsi="Times New Roman" w:cs="Times New Roman"/>
          <w:bCs/>
          <w:sz w:val="24"/>
        </w:rPr>
        <w:t>10.</w:t>
      </w:r>
      <w:r w:rsidRPr="00DE6689">
        <w:rPr>
          <w:rFonts w:ascii="Times New Roman" w:hAnsi="Times New Roman" w:cs="Times New Roman"/>
          <w:bCs/>
          <w:sz w:val="24"/>
        </w:rPr>
        <w:tab/>
      </w:r>
      <w:r w:rsidRPr="00DE6689">
        <w:rPr>
          <w:rFonts w:ascii="Times New Roman" w:hAnsi="Times New Roman"/>
          <w:bCs/>
          <w:sz w:val="24"/>
        </w:rPr>
        <w:t>Οι στήλες είναι προκαθορισμένες και δημοσιοποιούνται ως εξής:</w:t>
      </w:r>
    </w:p>
    <w:p w14:paraId="7327E8E5" w14:textId="77777777" w:rsidR="00C24790" w:rsidRPr="00DE6689" w:rsidRDefault="00DE6689">
      <w:pPr>
        <w:pStyle w:val="numberedparagraph"/>
        <w:numPr>
          <w:ilvl w:val="0"/>
          <w:numId w:val="0"/>
        </w:numPr>
        <w:ind w:left="709" w:hanging="360"/>
        <w:rPr>
          <w:rFonts w:ascii="Times New Roman" w:hAnsi="Times New Roman" w:cs="Times New Roman"/>
          <w:sz w:val="24"/>
        </w:rPr>
      </w:pPr>
      <w:r w:rsidRPr="00DE6689">
        <w:rPr>
          <w:rFonts w:ascii="Times New Roman" w:hAnsi="Times New Roman" w:cs="Times New Roman"/>
          <w:sz w:val="24"/>
        </w:rPr>
        <w:t>α.</w:t>
      </w:r>
      <w:r w:rsidRPr="00DE6689">
        <w:rPr>
          <w:rFonts w:ascii="Times New Roman" w:hAnsi="Times New Roman" w:cs="Times New Roman"/>
          <w:sz w:val="24"/>
        </w:rPr>
        <w:tab/>
      </w:r>
      <w:r w:rsidRPr="00DE6689">
        <w:rPr>
          <w:rFonts w:ascii="Times New Roman" w:hAnsi="Times New Roman"/>
          <w:sz w:val="24"/>
        </w:rPr>
        <w:t xml:space="preserve">Στήλη α: Οι επιχειρήσεις επενδύσεων περιλαμβάνουν τα αριθμητικά στοιχεία που αναφέρονται στον ισολογισμό ο οποίος περιέχεται στις </w:t>
      </w:r>
      <w:r w:rsidRPr="00DE6689">
        <w:rPr>
          <w:rFonts w:ascii="Times New Roman" w:hAnsi="Times New Roman"/>
          <w:sz w:val="24"/>
        </w:rPr>
        <w:t>ελεγμένες οικονομικές καταστάσεις τους σύμφωνα με το λογιστικό πεδίο εφαρμογής της ενοποίησης.</w:t>
      </w:r>
    </w:p>
    <w:p w14:paraId="5D1E981E" w14:textId="77777777" w:rsidR="00C24790" w:rsidRPr="00DE6689" w:rsidRDefault="00DE6689">
      <w:pPr>
        <w:pStyle w:val="numberedparagraph"/>
        <w:numPr>
          <w:ilvl w:val="0"/>
          <w:numId w:val="0"/>
        </w:numPr>
        <w:ind w:left="709" w:hanging="360"/>
        <w:rPr>
          <w:rFonts w:ascii="Times New Roman" w:hAnsi="Times New Roman" w:cs="Times New Roman"/>
          <w:sz w:val="24"/>
        </w:rPr>
      </w:pPr>
      <w:r w:rsidRPr="00DE6689">
        <w:rPr>
          <w:rFonts w:ascii="Times New Roman" w:hAnsi="Times New Roman" w:cs="Times New Roman"/>
          <w:sz w:val="24"/>
        </w:rPr>
        <w:t>β.</w:t>
      </w:r>
      <w:r w:rsidRPr="00DE6689">
        <w:rPr>
          <w:rFonts w:ascii="Times New Roman" w:hAnsi="Times New Roman" w:cs="Times New Roman"/>
          <w:sz w:val="24"/>
        </w:rPr>
        <w:tab/>
      </w:r>
      <w:r w:rsidRPr="00DE6689">
        <w:rPr>
          <w:rFonts w:ascii="Times New Roman" w:hAnsi="Times New Roman"/>
          <w:sz w:val="24"/>
        </w:rPr>
        <w:t>Στήλη β: Οι επιχειρήσεις επενδύσεων αναφέρουν τα αριθμητικά στοιχεία που αντιστοιχούν στο κανονιστικό πεδίο εφαρμογής της ενοποίησης.</w:t>
      </w:r>
    </w:p>
    <w:p w14:paraId="79BEABB5" w14:textId="77777777" w:rsidR="00C24790" w:rsidRPr="00DE6689" w:rsidRDefault="00DE6689">
      <w:pPr>
        <w:pStyle w:val="numberedparagraph"/>
        <w:numPr>
          <w:ilvl w:val="0"/>
          <w:numId w:val="0"/>
        </w:numPr>
        <w:ind w:left="709" w:hanging="360"/>
        <w:rPr>
          <w:rFonts w:ascii="Times New Roman" w:hAnsi="Times New Roman" w:cs="Times New Roman"/>
          <w:sz w:val="24"/>
        </w:rPr>
      </w:pPr>
      <w:r w:rsidRPr="00DE6689">
        <w:rPr>
          <w:rFonts w:ascii="Times New Roman" w:hAnsi="Times New Roman" w:cs="Times New Roman"/>
          <w:sz w:val="24"/>
        </w:rPr>
        <w:t>γ.</w:t>
      </w:r>
      <w:r w:rsidRPr="00DE6689">
        <w:rPr>
          <w:rFonts w:ascii="Times New Roman" w:hAnsi="Times New Roman" w:cs="Times New Roman"/>
          <w:sz w:val="24"/>
        </w:rPr>
        <w:tab/>
      </w:r>
      <w:r w:rsidRPr="00DE6689">
        <w:rPr>
          <w:rFonts w:ascii="Times New Roman" w:hAnsi="Times New Roman"/>
          <w:sz w:val="24"/>
        </w:rPr>
        <w:t>Στήλη γ: Οι επιχειρήσ</w:t>
      </w:r>
      <w:r w:rsidRPr="00DE6689">
        <w:rPr>
          <w:rFonts w:ascii="Times New Roman" w:hAnsi="Times New Roman"/>
          <w:sz w:val="24"/>
        </w:rPr>
        <w:t>εις επενδύσεων περιλαμβάνουν τη διασταύρωση μεταξύ του στοιχείου ιδίων κεφαλαίων στο υπόδειγμα EU I CC2 και των σχετικών στοιχείων στο υπόδειγμα δημοσιοποίησης ιδίων κεφαλαίων EU I CC1. Η αναφορά στη στήλη γ του υποδείγματος EU I CC2 συνδέεται με την αναφο</w:t>
      </w:r>
      <w:r w:rsidRPr="00DE6689">
        <w:rPr>
          <w:rFonts w:ascii="Times New Roman" w:hAnsi="Times New Roman"/>
          <w:sz w:val="24"/>
        </w:rPr>
        <w:t>ρά που περιλαμβάνεται στη στήλη β του υποδείγματος EU I CC1.</w:t>
      </w:r>
    </w:p>
    <w:p w14:paraId="22CE45C7" w14:textId="77777777" w:rsidR="00C24790" w:rsidRPr="00DE6689" w:rsidRDefault="00DE6689">
      <w:pPr>
        <w:tabs>
          <w:tab w:val="left" w:pos="360"/>
        </w:tabs>
        <w:spacing w:before="120" w:after="120"/>
        <w:ind w:left="357" w:hanging="357"/>
        <w:jc w:val="both"/>
        <w:rPr>
          <w:rFonts w:ascii="Times New Roman" w:hAnsi="Times New Roman" w:cs="Times New Roman"/>
          <w:bCs/>
          <w:sz w:val="24"/>
        </w:rPr>
      </w:pPr>
      <w:r w:rsidRPr="00DE6689">
        <w:rPr>
          <w:rFonts w:ascii="Times New Roman" w:hAnsi="Times New Roman" w:cs="Times New Roman"/>
          <w:bCs/>
          <w:sz w:val="24"/>
        </w:rPr>
        <w:t>11.</w:t>
      </w:r>
      <w:r w:rsidRPr="00DE6689">
        <w:rPr>
          <w:rFonts w:ascii="Times New Roman" w:hAnsi="Times New Roman" w:cs="Times New Roman"/>
          <w:bCs/>
          <w:sz w:val="24"/>
        </w:rPr>
        <w:tab/>
      </w:r>
      <w:r w:rsidRPr="00DE6689">
        <w:rPr>
          <w:rFonts w:ascii="Times New Roman" w:hAnsi="Times New Roman"/>
          <w:bCs/>
          <w:sz w:val="24"/>
        </w:rPr>
        <w:t>Στις ακόλουθες περιπτώσεις όπου το πεδίο εφαρμογής της λογιστικής ενοποίησης των επιχειρήσεων επενδύσεων και το πεδίο εφαρμογής της κανονιστικής ενοποίησης είναι ακριβώς τα ίδια, συμπληρώνετα</w:t>
      </w:r>
      <w:r w:rsidRPr="00DE6689">
        <w:rPr>
          <w:rFonts w:ascii="Times New Roman" w:hAnsi="Times New Roman"/>
          <w:bCs/>
          <w:sz w:val="24"/>
        </w:rPr>
        <w:t>ι μόνον η στήλη α και το γεγονός αυτό δημοσιοποιείται σαφώς:</w:t>
      </w:r>
    </w:p>
    <w:p w14:paraId="5E57A30E" w14:textId="77777777" w:rsidR="00C24790" w:rsidRPr="00DE6689" w:rsidRDefault="00DE6689">
      <w:pPr>
        <w:pStyle w:val="numberedparagraph"/>
        <w:numPr>
          <w:ilvl w:val="0"/>
          <w:numId w:val="0"/>
        </w:numPr>
        <w:tabs>
          <w:tab w:val="left" w:pos="-180"/>
        </w:tabs>
        <w:ind w:left="709" w:hanging="360"/>
        <w:rPr>
          <w:rFonts w:ascii="Times New Roman" w:hAnsi="Times New Roman" w:cs="Times New Roman"/>
          <w:bCs/>
          <w:sz w:val="24"/>
        </w:rPr>
      </w:pPr>
      <w:r w:rsidRPr="00DE6689">
        <w:rPr>
          <w:rFonts w:ascii="Times New Roman" w:hAnsi="Times New Roman" w:cs="Times New Roman"/>
          <w:bCs/>
          <w:sz w:val="24"/>
        </w:rPr>
        <w:t>δ.</w:t>
      </w:r>
      <w:r w:rsidRPr="00DE6689">
        <w:rPr>
          <w:rFonts w:ascii="Times New Roman" w:hAnsi="Times New Roman" w:cs="Times New Roman"/>
          <w:bCs/>
          <w:sz w:val="24"/>
        </w:rPr>
        <w:tab/>
      </w:r>
      <w:r w:rsidRPr="00DE6689">
        <w:rPr>
          <w:rFonts w:ascii="Times New Roman" w:hAnsi="Times New Roman"/>
          <w:sz w:val="24"/>
        </w:rPr>
        <w:t xml:space="preserve">Όταν οι επιχειρήσεις επενδύσεων συμμορφώνονται με τις υποχρεώσεις που ορίζονται στο έκτο μέρος του κανονισμού (ΕΕ) </w:t>
      </w:r>
      <w:r w:rsidRPr="00DE6689">
        <w:rPr>
          <w:rFonts w:ascii="Times New Roman" w:hAnsi="Times New Roman"/>
          <w:sz w:val="24"/>
        </w:rPr>
        <w:t>2019/2033</w:t>
      </w:r>
      <w:r w:rsidRPr="00DE6689">
        <w:rPr>
          <w:rFonts w:ascii="Times New Roman" w:hAnsi="Times New Roman"/>
          <w:sz w:val="24"/>
        </w:rPr>
        <w:t xml:space="preserve"> σχετικά με τις απαιτήσεις προληπτικής εποπτείας των επιχειρήσεων επ</w:t>
      </w:r>
      <w:r w:rsidRPr="00DE6689">
        <w:rPr>
          <w:rFonts w:ascii="Times New Roman" w:hAnsi="Times New Roman"/>
          <w:sz w:val="24"/>
        </w:rPr>
        <w:t>ενδύσεων σε ενοποιημένη βάση, αλλά το πεδίο εφαρμογής της ενοποίησης και η μέθοδος ενοποίησης που χρησιμοποιείται για τον ισολογισμό στις οικονομικές καταστάσεις είναι πανομοιότυπα με το πεδίο εφαρμογής της ενοποίησης και τη μέθοδο ενοποίησης που ορίζονται</w:t>
      </w:r>
      <w:r w:rsidRPr="00DE6689">
        <w:rPr>
          <w:rFonts w:ascii="Times New Roman" w:hAnsi="Times New Roman"/>
          <w:sz w:val="24"/>
        </w:rPr>
        <w:t xml:space="preserve"> σύμφωνα με το πρώτο μέρος τίτλος II κεφάλαιο 2 του κανονισμού (ΕΕ) </w:t>
      </w:r>
      <w:r w:rsidRPr="00DE6689">
        <w:rPr>
          <w:rFonts w:ascii="Times New Roman" w:hAnsi="Times New Roman"/>
          <w:sz w:val="24"/>
        </w:rPr>
        <w:t>2019/2033</w:t>
      </w:r>
      <w:r w:rsidRPr="00DE6689">
        <w:rPr>
          <w:rFonts w:ascii="Times New Roman" w:hAnsi="Times New Roman"/>
          <w:sz w:val="24"/>
        </w:rPr>
        <w:t>, και οι επιχειρήσεις επενδύσεων δηλώνουν σαφώς την απουσία διαφορών μεταξύ των αντίστοιχων πεδίων εφαρμογής και μεθόδων ενοποίησης στο συνοδευτικό λεκτικό του υποδείγματος.</w:t>
      </w:r>
    </w:p>
    <w:p w14:paraId="63174007" w14:textId="77777777" w:rsidR="00C24790" w:rsidRPr="00DE6689" w:rsidRDefault="00DE6689">
      <w:pPr>
        <w:pStyle w:val="numberedparagraph"/>
        <w:numPr>
          <w:ilvl w:val="0"/>
          <w:numId w:val="0"/>
        </w:numPr>
        <w:tabs>
          <w:tab w:val="left" w:pos="-180"/>
        </w:tabs>
        <w:ind w:left="709" w:hanging="360"/>
        <w:rPr>
          <w:rFonts w:ascii="Times New Roman" w:hAnsi="Times New Roman" w:cs="Times New Roman"/>
          <w:bCs/>
          <w:sz w:val="24"/>
        </w:rPr>
      </w:pPr>
      <w:r w:rsidRPr="00DE6689">
        <w:rPr>
          <w:rFonts w:ascii="Times New Roman" w:hAnsi="Times New Roman" w:cs="Times New Roman"/>
          <w:bCs/>
          <w:sz w:val="24"/>
        </w:rPr>
        <w:t>ε.</w:t>
      </w:r>
      <w:r w:rsidRPr="00DE6689">
        <w:rPr>
          <w:rFonts w:ascii="Times New Roman" w:hAnsi="Times New Roman" w:cs="Times New Roman"/>
          <w:bCs/>
          <w:sz w:val="24"/>
        </w:rPr>
        <w:tab/>
      </w:r>
      <w:r w:rsidRPr="00DE6689">
        <w:rPr>
          <w:rFonts w:ascii="Times New Roman" w:hAnsi="Times New Roman"/>
          <w:sz w:val="24"/>
        </w:rPr>
        <w:t>Ότ</w:t>
      </w:r>
      <w:r w:rsidRPr="00DE6689">
        <w:rPr>
          <w:rFonts w:ascii="Times New Roman" w:hAnsi="Times New Roman"/>
          <w:sz w:val="24"/>
        </w:rPr>
        <w:t xml:space="preserve">αν οι επιχειρήσεις επενδύσεων τηρούν τις υποχρεώσεις που ορίζονται στο έκτο μέρος του κανονισμού (ΕΕ) </w:t>
      </w:r>
      <w:r w:rsidRPr="00DE6689">
        <w:rPr>
          <w:rFonts w:ascii="Times New Roman" w:hAnsi="Times New Roman"/>
          <w:sz w:val="24"/>
        </w:rPr>
        <w:t>2019/2033</w:t>
      </w:r>
      <w:r w:rsidRPr="00DE6689">
        <w:rPr>
          <w:rFonts w:ascii="Times New Roman" w:hAnsi="Times New Roman"/>
          <w:sz w:val="24"/>
        </w:rPr>
        <w:t xml:space="preserve"> σε ατομική βάση.</w:t>
      </w:r>
    </w:p>
    <w:p w14:paraId="0E00349F" w14:textId="77777777" w:rsidR="00C24790" w:rsidRPr="00DE6689" w:rsidRDefault="00DE6689">
      <w:pPr>
        <w:rPr>
          <w:rFonts w:ascii="Times New Roman" w:hAnsi="Times New Roman" w:cs="Times New Roman"/>
          <w:b/>
          <w:bCs/>
          <w:sz w:val="24"/>
        </w:rPr>
      </w:pPr>
      <w:r w:rsidRPr="00DE6689">
        <w:rPr>
          <w:rFonts w:ascii="Times New Roman" w:hAnsi="Times New Roman"/>
          <w:b/>
          <w:bCs/>
          <w:sz w:val="24"/>
        </w:rPr>
        <w:t>Πίνακας EU I CCA — Κύρια χαρακτηριστικά των ιδίων μέσων που εκδίδονται από την επιχείρηση.</w:t>
      </w:r>
    </w:p>
    <w:p w14:paraId="38EF76B4" w14:textId="77777777" w:rsidR="00C24790" w:rsidRPr="00DE6689" w:rsidRDefault="00DE6689">
      <w:pPr>
        <w:tabs>
          <w:tab w:val="left" w:pos="360"/>
        </w:tabs>
        <w:spacing w:before="120" w:after="120"/>
        <w:ind w:left="357" w:hanging="357"/>
        <w:jc w:val="both"/>
        <w:rPr>
          <w:rFonts w:ascii="Times New Roman" w:hAnsi="Times New Roman" w:cs="Times New Roman"/>
          <w:bCs/>
          <w:sz w:val="24"/>
        </w:rPr>
      </w:pPr>
      <w:r w:rsidRPr="00DE6689">
        <w:rPr>
          <w:rFonts w:ascii="Times New Roman" w:hAnsi="Times New Roman" w:cs="Times New Roman"/>
          <w:bCs/>
          <w:sz w:val="24"/>
        </w:rPr>
        <w:t>12.</w:t>
      </w:r>
      <w:r w:rsidRPr="00DE6689">
        <w:rPr>
          <w:rFonts w:ascii="Times New Roman" w:hAnsi="Times New Roman" w:cs="Times New Roman"/>
          <w:bCs/>
          <w:sz w:val="24"/>
        </w:rPr>
        <w:tab/>
      </w:r>
      <w:r w:rsidRPr="00DE6689">
        <w:rPr>
          <w:rFonts w:ascii="Times New Roman" w:hAnsi="Times New Roman"/>
          <w:bCs/>
          <w:sz w:val="24"/>
        </w:rPr>
        <w:t>Οι επιχειρήσεις επενδύσεων εφαρμ</w:t>
      </w:r>
      <w:r w:rsidRPr="00DE6689">
        <w:rPr>
          <w:rFonts w:ascii="Times New Roman" w:hAnsi="Times New Roman"/>
          <w:bCs/>
          <w:sz w:val="24"/>
        </w:rPr>
        <w:t xml:space="preserve">όζουν τις οδηγίες που παρέχονται στο παρόν παράρτημα προκειμένου να συμπληρώσουν τον πίνακα EU I CCA, όπως παρουσιάζεται </w:t>
      </w:r>
      <w:r w:rsidRPr="00DE6689">
        <w:rPr>
          <w:rFonts w:ascii="Times New Roman" w:hAnsi="Times New Roman"/>
          <w:bCs/>
          <w:sz w:val="24"/>
        </w:rPr>
        <w:lastRenderedPageBreak/>
        <w:t xml:space="preserve">στο παράρτημα VI, σύμφωνα με το άρθρο 49 παράγραφος 1 στοιχείο β) του κανονισμού (ΕΕ) </w:t>
      </w:r>
      <w:r w:rsidRPr="00DE6689">
        <w:rPr>
          <w:rFonts w:ascii="Times New Roman" w:hAnsi="Times New Roman"/>
          <w:bCs/>
          <w:sz w:val="24"/>
        </w:rPr>
        <w:t>2019/2033</w:t>
      </w:r>
      <w:r w:rsidRPr="00DE6689">
        <w:rPr>
          <w:rFonts w:ascii="Times New Roman" w:hAnsi="Times New Roman"/>
          <w:bCs/>
          <w:sz w:val="24"/>
        </w:rPr>
        <w:t>.</w:t>
      </w:r>
    </w:p>
    <w:p w14:paraId="55A9A10B" w14:textId="77777777" w:rsidR="00C24790" w:rsidRPr="00DE6689" w:rsidRDefault="00DE6689">
      <w:pPr>
        <w:tabs>
          <w:tab w:val="left" w:pos="360"/>
        </w:tabs>
        <w:spacing w:before="120" w:after="120"/>
        <w:ind w:left="357" w:hanging="357"/>
        <w:jc w:val="both"/>
        <w:rPr>
          <w:rFonts w:ascii="Times New Roman" w:hAnsi="Times New Roman" w:cs="Times New Roman"/>
          <w:bCs/>
          <w:sz w:val="24"/>
        </w:rPr>
      </w:pPr>
      <w:r w:rsidRPr="00DE6689">
        <w:rPr>
          <w:rFonts w:ascii="Times New Roman" w:hAnsi="Times New Roman" w:cs="Times New Roman"/>
          <w:bCs/>
          <w:sz w:val="24"/>
        </w:rPr>
        <w:t>13.</w:t>
      </w:r>
      <w:r w:rsidRPr="00DE6689">
        <w:rPr>
          <w:rFonts w:ascii="Times New Roman" w:hAnsi="Times New Roman" w:cs="Times New Roman"/>
          <w:bCs/>
          <w:sz w:val="24"/>
        </w:rPr>
        <w:tab/>
      </w:r>
      <w:r w:rsidRPr="00DE6689">
        <w:rPr>
          <w:rFonts w:ascii="Times New Roman" w:hAnsi="Times New Roman"/>
          <w:bCs/>
          <w:sz w:val="24"/>
        </w:rPr>
        <w:t>Οι επιχειρήσεις επενδύσεων συμπληρ</w:t>
      </w:r>
      <w:r w:rsidRPr="00DE6689">
        <w:rPr>
          <w:rFonts w:ascii="Times New Roman" w:hAnsi="Times New Roman"/>
          <w:bCs/>
          <w:sz w:val="24"/>
        </w:rPr>
        <w:t>ώνουν τον πίνακα EU Ι CCA για τις ακόλουθες κατηγορίες: Μέσα κεφαλαίου κοινών μετοχών της κατηγορίας 1, πρόσθετα μέσα της κατηγορίας 1 και μέσα της κατηγορίας 2.</w:t>
      </w:r>
    </w:p>
    <w:p w14:paraId="6794120A" w14:textId="77777777" w:rsidR="00C24790" w:rsidRPr="00DE6689" w:rsidRDefault="00DE6689">
      <w:pPr>
        <w:tabs>
          <w:tab w:val="left" w:pos="360"/>
        </w:tabs>
        <w:spacing w:before="120" w:after="120"/>
        <w:ind w:left="357" w:hanging="357"/>
        <w:jc w:val="both"/>
        <w:rPr>
          <w:rFonts w:ascii="Times New Roman" w:hAnsi="Times New Roman" w:cs="Times New Roman"/>
          <w:bCs/>
          <w:sz w:val="24"/>
        </w:rPr>
      </w:pPr>
      <w:r w:rsidRPr="00DE6689">
        <w:rPr>
          <w:rFonts w:ascii="Times New Roman" w:hAnsi="Times New Roman" w:cs="Times New Roman"/>
          <w:bCs/>
          <w:sz w:val="24"/>
        </w:rPr>
        <w:t>14.</w:t>
      </w:r>
      <w:r w:rsidRPr="00DE6689">
        <w:rPr>
          <w:rFonts w:ascii="Times New Roman" w:hAnsi="Times New Roman" w:cs="Times New Roman"/>
          <w:bCs/>
          <w:sz w:val="24"/>
        </w:rPr>
        <w:tab/>
      </w:r>
      <w:r w:rsidRPr="00DE6689">
        <w:rPr>
          <w:rFonts w:ascii="Times New Roman" w:hAnsi="Times New Roman"/>
          <w:bCs/>
          <w:sz w:val="24"/>
        </w:rPr>
        <w:t>Οι πίνακες περιλαμβάνουν χωριστές στήλες με τα χαρακτηριστικά κάθε μέσου κανονιστικών ιδίω</w:t>
      </w:r>
      <w:r w:rsidRPr="00DE6689">
        <w:rPr>
          <w:rFonts w:ascii="Times New Roman" w:hAnsi="Times New Roman"/>
          <w:bCs/>
          <w:sz w:val="24"/>
        </w:rPr>
        <w:t xml:space="preserve">ν κεφαλαίων. Σε περιπτώσεις όπου διαφορετικά μέσα της ίδιας κατηγορίας έχουν όμοια χαρακτηριστικά, οι επιχειρήσεις επενδύσεων μπορούν να συμπληρώσουν μόνο μία στήλη για τη δημοσιοποίηση των εν λόγω όμοιων χαρακτηριστικών και να αναφέρουν τις εκδόσεις στις </w:t>
      </w:r>
      <w:r w:rsidRPr="00DE6689">
        <w:rPr>
          <w:rFonts w:ascii="Times New Roman" w:hAnsi="Times New Roman"/>
          <w:bCs/>
          <w:sz w:val="24"/>
        </w:rPr>
        <w:t>οποίες αναφέρονται τα εν λόγω όμοια χαρακτηριστικά.</w:t>
      </w:r>
    </w:p>
    <w:tbl>
      <w:tblPr>
        <w:tblW w:w="87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
        <w:gridCol w:w="7661"/>
      </w:tblGrid>
      <w:tr w:rsidR="00C24790" w:rsidRPr="00DE6689" w14:paraId="24311DF5" w14:textId="77777777">
        <w:trPr>
          <w:trHeight w:val="259"/>
        </w:trPr>
        <w:tc>
          <w:tcPr>
            <w:tcW w:w="8762" w:type="dxa"/>
            <w:gridSpan w:val="2"/>
            <w:shd w:val="clear" w:color="auto" w:fill="D9D9D9" w:themeFill="background1" w:themeFillShade="D9"/>
          </w:tcPr>
          <w:p w14:paraId="3684EAD1" w14:textId="77777777" w:rsidR="00C24790" w:rsidRPr="00DE6689" w:rsidRDefault="00DE6689">
            <w:pPr>
              <w:rPr>
                <w:rFonts w:ascii="Times New Roman" w:eastAsia="Times New Roman" w:hAnsi="Times New Roman" w:cs="Times New Roman"/>
                <w:b/>
                <w:bCs/>
                <w:color w:val="000000"/>
                <w:sz w:val="24"/>
              </w:rPr>
            </w:pPr>
            <w:r w:rsidRPr="00DE6689">
              <w:rPr>
                <w:rFonts w:ascii="Times New Roman" w:hAnsi="Times New Roman"/>
                <w:b/>
                <w:bCs/>
                <w:color w:val="000000"/>
                <w:sz w:val="24"/>
              </w:rPr>
              <w:t>Οδηγίες για τη συμπλήρωση του πίνακα κύριων χαρακτηριστικών των μέσων ιδίων κεφαλαίων που εκδίδονται από την επιχείρηση</w:t>
            </w:r>
          </w:p>
        </w:tc>
      </w:tr>
      <w:tr w:rsidR="00C24790" w:rsidRPr="00DE6689" w14:paraId="278A25A5" w14:textId="77777777">
        <w:trPr>
          <w:trHeight w:val="259"/>
        </w:trPr>
        <w:tc>
          <w:tcPr>
            <w:tcW w:w="1101" w:type="dxa"/>
            <w:shd w:val="clear" w:color="auto" w:fill="D9D9D9" w:themeFill="background1" w:themeFillShade="D9"/>
            <w:vAlign w:val="center"/>
          </w:tcPr>
          <w:p w14:paraId="0B57052B" w14:textId="77777777" w:rsidR="00C24790" w:rsidRPr="00DE6689" w:rsidRDefault="00DE6689">
            <w:pPr>
              <w:rPr>
                <w:rFonts w:ascii="Times New Roman" w:eastAsia="Times New Roman" w:hAnsi="Times New Roman" w:cs="Times New Roman"/>
                <w:b/>
                <w:bCs/>
                <w:color w:val="000000"/>
                <w:sz w:val="24"/>
              </w:rPr>
            </w:pPr>
            <w:r w:rsidRPr="00DE6689">
              <w:rPr>
                <w:rFonts w:ascii="Times New Roman" w:hAnsi="Times New Roman"/>
                <w:b/>
                <w:bCs/>
                <w:color w:val="000000"/>
                <w:sz w:val="24"/>
              </w:rPr>
              <w:t>Αριθμός γραμμής</w:t>
            </w:r>
          </w:p>
        </w:tc>
        <w:tc>
          <w:tcPr>
            <w:tcW w:w="7661" w:type="dxa"/>
            <w:shd w:val="clear" w:color="auto" w:fill="D9D9D9" w:themeFill="background1" w:themeFillShade="D9"/>
            <w:noWrap/>
            <w:vAlign w:val="bottom"/>
          </w:tcPr>
          <w:p w14:paraId="246DE8D6" w14:textId="77777777" w:rsidR="00C24790" w:rsidRPr="00DE6689" w:rsidRDefault="00DE6689">
            <w:pPr>
              <w:rPr>
                <w:rFonts w:ascii="Times New Roman" w:eastAsia="Times New Roman" w:hAnsi="Times New Roman" w:cs="Times New Roman"/>
                <w:b/>
                <w:bCs/>
                <w:color w:val="000000"/>
                <w:sz w:val="24"/>
              </w:rPr>
            </w:pPr>
            <w:r w:rsidRPr="00DE6689">
              <w:rPr>
                <w:rFonts w:ascii="Times New Roman" w:hAnsi="Times New Roman"/>
                <w:b/>
                <w:bCs/>
                <w:color w:val="000000"/>
                <w:sz w:val="24"/>
              </w:rPr>
              <w:t>Επεξήγηση</w:t>
            </w:r>
          </w:p>
        </w:tc>
      </w:tr>
      <w:tr w:rsidR="00C24790" w:rsidRPr="00DE6689" w14:paraId="2E6EEF3D" w14:textId="77777777">
        <w:trPr>
          <w:trHeight w:val="259"/>
        </w:trPr>
        <w:tc>
          <w:tcPr>
            <w:tcW w:w="1101" w:type="dxa"/>
            <w:vAlign w:val="center"/>
          </w:tcPr>
          <w:p w14:paraId="79D304DA"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1</w:t>
            </w:r>
          </w:p>
        </w:tc>
        <w:tc>
          <w:tcPr>
            <w:tcW w:w="7661" w:type="dxa"/>
            <w:shd w:val="clear" w:color="auto" w:fill="auto"/>
            <w:noWrap/>
            <w:vAlign w:val="bottom"/>
          </w:tcPr>
          <w:p w14:paraId="2F6E1E33"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Εκδότης</w:t>
            </w:r>
          </w:p>
          <w:p w14:paraId="2E895FDF"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 xml:space="preserve">Προσδιορίζει το νομικό πρόσωπο που </w:t>
            </w:r>
            <w:r w:rsidRPr="00DE6689">
              <w:rPr>
                <w:rFonts w:ascii="Times New Roman" w:hAnsi="Times New Roman"/>
                <w:sz w:val="24"/>
              </w:rPr>
              <w:t>εκδίδει το μέσο.</w:t>
            </w:r>
          </w:p>
          <w:p w14:paraId="672FC394"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Ελεύθερο κείμενο</w:t>
            </w:r>
          </w:p>
        </w:tc>
      </w:tr>
      <w:tr w:rsidR="00C24790" w:rsidRPr="00DE6689" w14:paraId="24C84DC6" w14:textId="77777777">
        <w:trPr>
          <w:trHeight w:val="259"/>
        </w:trPr>
        <w:tc>
          <w:tcPr>
            <w:tcW w:w="1101" w:type="dxa"/>
            <w:vAlign w:val="center"/>
          </w:tcPr>
          <w:p w14:paraId="70DCD544"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2</w:t>
            </w:r>
          </w:p>
        </w:tc>
        <w:tc>
          <w:tcPr>
            <w:tcW w:w="7661" w:type="dxa"/>
            <w:shd w:val="clear" w:color="auto" w:fill="auto"/>
            <w:noWrap/>
            <w:vAlign w:val="bottom"/>
          </w:tcPr>
          <w:p w14:paraId="62EE974C"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Μοναδικό αναγνωριστικό (π.χ. αναγνωριστικό CUSIP, ISIN ή Bloomberg για ιδιωτική τοποθέτηση)</w:t>
            </w:r>
          </w:p>
          <w:p w14:paraId="762F39B7"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Μοναδικό αναγνωριστικό (π.χ. αναγνωριστικό CUSIP, ISIN ή Bloomberg για ιδιωτική τοποθέτηση).</w:t>
            </w:r>
          </w:p>
          <w:p w14:paraId="0CC60C08"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i/>
                <w:sz w:val="24"/>
              </w:rPr>
              <w:t>Ελεύθερο κείμενο</w:t>
            </w:r>
          </w:p>
        </w:tc>
      </w:tr>
      <w:tr w:rsidR="00C24790" w:rsidRPr="00DE6689" w14:paraId="78D51B82" w14:textId="77777777">
        <w:trPr>
          <w:trHeight w:val="259"/>
        </w:trPr>
        <w:tc>
          <w:tcPr>
            <w:tcW w:w="1101" w:type="dxa"/>
            <w:vAlign w:val="center"/>
          </w:tcPr>
          <w:p w14:paraId="335C679E"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3</w:t>
            </w:r>
          </w:p>
        </w:tc>
        <w:tc>
          <w:tcPr>
            <w:tcW w:w="7661" w:type="dxa"/>
            <w:shd w:val="clear" w:color="auto" w:fill="auto"/>
            <w:noWrap/>
            <w:vAlign w:val="bottom"/>
          </w:tcPr>
          <w:p w14:paraId="7AFFE532" w14:textId="77777777" w:rsidR="00C24790" w:rsidRPr="00DE6689" w:rsidRDefault="00DE6689">
            <w:pPr>
              <w:autoSpaceDE w:val="0"/>
              <w:autoSpaceDN w:val="0"/>
              <w:adjustRightInd w:val="0"/>
              <w:spacing w:after="200" w:line="276" w:lineRule="auto"/>
              <w:jc w:val="both"/>
              <w:rPr>
                <w:rFonts w:ascii="Times New Roman" w:eastAsia="Times New Roman" w:hAnsi="Times New Roman" w:cs="Times New Roman"/>
                <w:sz w:val="24"/>
              </w:rPr>
            </w:pPr>
            <w:r w:rsidRPr="00DE6689">
              <w:rPr>
                <w:rFonts w:ascii="Times New Roman" w:hAnsi="Times New Roman"/>
                <w:sz w:val="24"/>
              </w:rPr>
              <w:t xml:space="preserve">Δημόσια ή </w:t>
            </w:r>
            <w:r w:rsidRPr="00DE6689">
              <w:rPr>
                <w:rFonts w:ascii="Times New Roman" w:hAnsi="Times New Roman"/>
                <w:sz w:val="24"/>
              </w:rPr>
              <w:t>ιδιωτική τοποθέτηση</w:t>
            </w:r>
          </w:p>
          <w:p w14:paraId="4608B656" w14:textId="77777777" w:rsidR="00C24790" w:rsidRPr="00DE6689" w:rsidRDefault="00DE6689">
            <w:pPr>
              <w:autoSpaceDE w:val="0"/>
              <w:autoSpaceDN w:val="0"/>
              <w:adjustRightInd w:val="0"/>
              <w:spacing w:after="200" w:line="276" w:lineRule="auto"/>
              <w:jc w:val="both"/>
              <w:rPr>
                <w:rFonts w:ascii="Times New Roman" w:eastAsia="Times New Roman" w:hAnsi="Times New Roman" w:cs="Times New Roman"/>
                <w:sz w:val="24"/>
              </w:rPr>
            </w:pPr>
            <w:r w:rsidRPr="00DE6689">
              <w:rPr>
                <w:rFonts w:ascii="Times New Roman" w:hAnsi="Times New Roman"/>
                <w:sz w:val="24"/>
              </w:rPr>
              <w:t>Προσδιορίζει αν το μέσο έχει τοποθετηθεί δημόσια ή ιδιωτικά.</w:t>
            </w:r>
          </w:p>
          <w:p w14:paraId="5747CECB"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i/>
                <w:sz w:val="24"/>
              </w:rPr>
              <w:t>Επιλέξτε από το μενού: [Δημόσια] [Ιδιωτικά]</w:t>
            </w:r>
          </w:p>
        </w:tc>
      </w:tr>
      <w:tr w:rsidR="00C24790" w:rsidRPr="00DE6689" w14:paraId="4BC2B43E" w14:textId="77777777">
        <w:trPr>
          <w:trHeight w:val="259"/>
        </w:trPr>
        <w:tc>
          <w:tcPr>
            <w:tcW w:w="1101" w:type="dxa"/>
            <w:vAlign w:val="center"/>
          </w:tcPr>
          <w:p w14:paraId="228D3B4C"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4</w:t>
            </w:r>
          </w:p>
        </w:tc>
        <w:tc>
          <w:tcPr>
            <w:tcW w:w="7661" w:type="dxa"/>
            <w:shd w:val="clear" w:color="auto" w:fill="auto"/>
            <w:noWrap/>
            <w:vAlign w:val="bottom"/>
          </w:tcPr>
          <w:p w14:paraId="1F2889D5" w14:textId="77777777" w:rsidR="00C24790" w:rsidRPr="00DE6689" w:rsidRDefault="00DE6689">
            <w:pPr>
              <w:autoSpaceDE w:val="0"/>
              <w:autoSpaceDN w:val="0"/>
              <w:adjustRightInd w:val="0"/>
              <w:spacing w:after="200" w:line="276" w:lineRule="auto"/>
              <w:jc w:val="both"/>
              <w:rPr>
                <w:rFonts w:ascii="Times New Roman" w:eastAsia="Times New Roman" w:hAnsi="Times New Roman" w:cs="Times New Roman"/>
                <w:sz w:val="24"/>
              </w:rPr>
            </w:pPr>
            <w:r w:rsidRPr="00DE6689">
              <w:rPr>
                <w:rFonts w:ascii="Times New Roman" w:hAnsi="Times New Roman"/>
                <w:sz w:val="24"/>
              </w:rPr>
              <w:t>Εφαρμοστέα νομοθεσία του μέσου</w:t>
            </w:r>
          </w:p>
          <w:p w14:paraId="713C8532" w14:textId="77777777" w:rsidR="00C24790" w:rsidRPr="00DE6689" w:rsidRDefault="00DE6689">
            <w:pPr>
              <w:autoSpaceDE w:val="0"/>
              <w:autoSpaceDN w:val="0"/>
              <w:adjustRightInd w:val="0"/>
              <w:spacing w:after="200" w:line="276" w:lineRule="auto"/>
              <w:jc w:val="both"/>
              <w:rPr>
                <w:rFonts w:ascii="Times New Roman" w:eastAsia="Times New Roman" w:hAnsi="Times New Roman" w:cs="Times New Roman"/>
                <w:sz w:val="24"/>
              </w:rPr>
            </w:pPr>
            <w:r w:rsidRPr="00DE6689">
              <w:rPr>
                <w:rFonts w:ascii="Times New Roman" w:hAnsi="Times New Roman"/>
                <w:sz w:val="24"/>
              </w:rPr>
              <w:t>Καθορίζει την εφαρμοστέα νομοθεσία του μέσου.</w:t>
            </w:r>
          </w:p>
          <w:p w14:paraId="39CEC0AE"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 xml:space="preserve">Ελεύθερο κείμενο </w:t>
            </w:r>
          </w:p>
        </w:tc>
      </w:tr>
      <w:tr w:rsidR="00C24790" w:rsidRPr="00DE6689" w14:paraId="29F98D58" w14:textId="77777777">
        <w:trPr>
          <w:trHeight w:val="259"/>
        </w:trPr>
        <w:tc>
          <w:tcPr>
            <w:tcW w:w="1101" w:type="dxa"/>
            <w:vAlign w:val="center"/>
          </w:tcPr>
          <w:p w14:paraId="078990FC"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5</w:t>
            </w:r>
          </w:p>
        </w:tc>
        <w:tc>
          <w:tcPr>
            <w:tcW w:w="7661" w:type="dxa"/>
            <w:shd w:val="clear" w:color="auto" w:fill="auto"/>
            <w:noWrap/>
            <w:vAlign w:val="bottom"/>
          </w:tcPr>
          <w:p w14:paraId="438BBA96"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 xml:space="preserve">Τύπος μέσου (οι τύποι </w:t>
            </w:r>
            <w:r w:rsidRPr="00DE6689">
              <w:rPr>
                <w:rFonts w:ascii="Times New Roman" w:hAnsi="Times New Roman"/>
                <w:sz w:val="24"/>
              </w:rPr>
              <w:t>ορίζονται από κάθε περιοχή δικαιοδοσίας)</w:t>
            </w:r>
          </w:p>
          <w:p w14:paraId="6281D851"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Προσδιορίζει τον τύπο του μέσου, ανάλογα με την περιοχή δικαιοδοσίας.</w:t>
            </w:r>
          </w:p>
          <w:p w14:paraId="2A5494BD"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Για τα μέσα κεφαλαίου CET1, επιλέξτε το όνομα του μέσου από τον κατάλογο κεφαλαίου CET1 που δημοσιεύει η ΕΑΤ.</w:t>
            </w:r>
          </w:p>
          <w:p w14:paraId="09DACD10"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lastRenderedPageBreak/>
              <w:t>Για άλλα μέσα, επιλέξτε από: τις επ</w:t>
            </w:r>
            <w:r w:rsidRPr="00DE6689">
              <w:rPr>
                <w:rFonts w:ascii="Times New Roman" w:hAnsi="Times New Roman"/>
                <w:i/>
                <w:sz w:val="24"/>
              </w:rPr>
              <w:t xml:space="preserve">ιλογές του μενού που παρέχει στις επιχειρήσεις επενδύσεων η κάθε περιοχή δικαιοδοσίας — να αναγραφούν νομικές παραπομπές σε άρθρα του κανονισμού (ΕΕ) </w:t>
            </w:r>
            <w:r w:rsidRPr="00DE6689">
              <w:rPr>
                <w:rFonts w:ascii="Times New Roman" w:hAnsi="Times New Roman"/>
                <w:i/>
                <w:sz w:val="24"/>
              </w:rPr>
              <w:t>2019/2033</w:t>
            </w:r>
            <w:r w:rsidRPr="00DE6689">
              <w:rPr>
                <w:rFonts w:ascii="Times New Roman" w:hAnsi="Times New Roman"/>
                <w:i/>
                <w:sz w:val="24"/>
              </w:rPr>
              <w:t xml:space="preserve"> για κάθε τύπο μέσου.</w:t>
            </w:r>
          </w:p>
        </w:tc>
      </w:tr>
      <w:tr w:rsidR="00C24790" w:rsidRPr="00DE6689" w14:paraId="0EC57BB1" w14:textId="77777777">
        <w:trPr>
          <w:trHeight w:val="259"/>
        </w:trPr>
        <w:tc>
          <w:tcPr>
            <w:tcW w:w="1101" w:type="dxa"/>
            <w:vAlign w:val="center"/>
          </w:tcPr>
          <w:p w14:paraId="65B03B17"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lastRenderedPageBreak/>
              <w:t>6</w:t>
            </w:r>
          </w:p>
        </w:tc>
        <w:tc>
          <w:tcPr>
            <w:tcW w:w="7661" w:type="dxa"/>
            <w:shd w:val="clear" w:color="auto" w:fill="auto"/>
            <w:noWrap/>
            <w:vAlign w:val="bottom"/>
          </w:tcPr>
          <w:p w14:paraId="34D7BE31"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Ποσό αναγνωριζόμενο σε ρυθμιστικό κεφάλαιο (νόμισμα σε εκατομμύρια, βάσε</w:t>
            </w:r>
            <w:r w:rsidRPr="00DE6689">
              <w:rPr>
                <w:rFonts w:ascii="Times New Roman" w:hAnsi="Times New Roman"/>
                <w:sz w:val="24"/>
              </w:rPr>
              <w:t>ι της πλέον πρόσφατης ημερομηνίας αναφοράς)</w:t>
            </w:r>
          </w:p>
          <w:p w14:paraId="53A839A9"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 xml:space="preserve">Προσδιορίζει το ποσό που αναγνωρίστηκε στα κανονιστικά ίδια κεφάλαια (συνολικό ποσό του μέσου που αναγνωρίστηκε πριν από μεταβατικές διατάξεις για το αντίστοιχο επίπεδο δημοσιοποίησης — νόμισμα που </w:t>
            </w:r>
            <w:r w:rsidRPr="00DE6689">
              <w:rPr>
                <w:rFonts w:ascii="Times New Roman" w:hAnsi="Times New Roman"/>
                <w:sz w:val="24"/>
              </w:rPr>
              <w:t>χρησιμοποιείται για τις υποχρεώσεις υποβολής αναφορών).</w:t>
            </w:r>
          </w:p>
          <w:p w14:paraId="77B8FCC1"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Ελεύθερο κείμενο – προσδιορίζει ιδίως αν ορισμένα τμήματα των μέσων ανήκουν σε διαφορετικές κατηγορίες των κανονιστικών ιδίων κεφαλαίων και αν το ποσό που αναγνωρίζεται στα κανονιστικά ίδια κεφάλαια δ</w:t>
            </w:r>
            <w:r w:rsidRPr="00DE6689">
              <w:rPr>
                <w:rFonts w:ascii="Times New Roman" w:hAnsi="Times New Roman"/>
                <w:i/>
                <w:sz w:val="24"/>
              </w:rPr>
              <w:t>ιαφέρει από το εκδοθέν ποσό.</w:t>
            </w:r>
          </w:p>
        </w:tc>
      </w:tr>
      <w:tr w:rsidR="00C24790" w:rsidRPr="00DE6689" w14:paraId="209276BB" w14:textId="77777777">
        <w:trPr>
          <w:trHeight w:val="259"/>
        </w:trPr>
        <w:tc>
          <w:tcPr>
            <w:tcW w:w="1101" w:type="dxa"/>
            <w:vAlign w:val="center"/>
          </w:tcPr>
          <w:p w14:paraId="4926E747"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7</w:t>
            </w:r>
          </w:p>
        </w:tc>
        <w:tc>
          <w:tcPr>
            <w:tcW w:w="7661" w:type="dxa"/>
            <w:shd w:val="clear" w:color="auto" w:fill="auto"/>
            <w:noWrap/>
            <w:vAlign w:val="bottom"/>
          </w:tcPr>
          <w:p w14:paraId="74836E8C"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Ονομαστικό ποσό του μέσου</w:t>
            </w:r>
          </w:p>
          <w:p w14:paraId="7134F64E"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Ονομαστικό ποσό του μέσου (στο νόμισμα έκδοσης και στο νόμισμα που χρησιμοποιείται για τις υποχρεώσεις υποβολής αναφορών).</w:t>
            </w:r>
          </w:p>
          <w:p w14:paraId="17D9FB82"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Ελεύθερο κείμενο</w:t>
            </w:r>
          </w:p>
        </w:tc>
      </w:tr>
      <w:tr w:rsidR="00C24790" w:rsidRPr="00DE6689" w14:paraId="5B702F65" w14:textId="77777777">
        <w:trPr>
          <w:trHeight w:val="259"/>
        </w:trPr>
        <w:tc>
          <w:tcPr>
            <w:tcW w:w="1101" w:type="dxa"/>
            <w:vAlign w:val="center"/>
          </w:tcPr>
          <w:p w14:paraId="2DE1A8DE"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8</w:t>
            </w:r>
          </w:p>
        </w:tc>
        <w:tc>
          <w:tcPr>
            <w:tcW w:w="7661" w:type="dxa"/>
            <w:shd w:val="clear" w:color="auto" w:fill="auto"/>
            <w:noWrap/>
            <w:vAlign w:val="bottom"/>
          </w:tcPr>
          <w:p w14:paraId="45182AAF"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Τιμή έκδοσης</w:t>
            </w:r>
          </w:p>
          <w:p w14:paraId="4B2A53D7"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Τιμή έκδοσης του μέσου.</w:t>
            </w:r>
          </w:p>
          <w:p w14:paraId="31DF37E6"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Ελεύθερο κείμενο</w:t>
            </w:r>
          </w:p>
        </w:tc>
      </w:tr>
      <w:tr w:rsidR="00C24790" w:rsidRPr="00DE6689" w14:paraId="7808897F" w14:textId="77777777">
        <w:trPr>
          <w:trHeight w:val="259"/>
        </w:trPr>
        <w:tc>
          <w:tcPr>
            <w:tcW w:w="1101" w:type="dxa"/>
            <w:vAlign w:val="center"/>
          </w:tcPr>
          <w:p w14:paraId="79D72269"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9</w:t>
            </w:r>
          </w:p>
        </w:tc>
        <w:tc>
          <w:tcPr>
            <w:tcW w:w="7661" w:type="dxa"/>
            <w:shd w:val="clear" w:color="auto" w:fill="auto"/>
            <w:noWrap/>
            <w:vAlign w:val="bottom"/>
          </w:tcPr>
          <w:p w14:paraId="4D50057D"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Τιμή εξόφλησης</w:t>
            </w:r>
          </w:p>
          <w:p w14:paraId="11EF6341"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Τιμή εξόφλησης του μέσου.</w:t>
            </w:r>
          </w:p>
          <w:p w14:paraId="27BF7C19"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Ελεύθερο κείμενο</w:t>
            </w:r>
          </w:p>
        </w:tc>
      </w:tr>
      <w:tr w:rsidR="00C24790" w:rsidRPr="00DE6689" w14:paraId="46F7957E" w14:textId="77777777">
        <w:trPr>
          <w:trHeight w:val="259"/>
        </w:trPr>
        <w:tc>
          <w:tcPr>
            <w:tcW w:w="1101" w:type="dxa"/>
            <w:vAlign w:val="center"/>
          </w:tcPr>
          <w:p w14:paraId="7A8FB2BC"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10</w:t>
            </w:r>
          </w:p>
        </w:tc>
        <w:tc>
          <w:tcPr>
            <w:tcW w:w="7661" w:type="dxa"/>
            <w:shd w:val="clear" w:color="auto" w:fill="auto"/>
            <w:noWrap/>
            <w:vAlign w:val="bottom"/>
          </w:tcPr>
          <w:p w14:paraId="75C8E22F"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Λογιστική ταξινόμηση</w:t>
            </w:r>
          </w:p>
          <w:p w14:paraId="369A2A13"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Προσδιορίζει τη λογιστική κατάταξη.</w:t>
            </w:r>
          </w:p>
          <w:p w14:paraId="534CDE43"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 xml:space="preserve">Επιλέξτε από το μενού: [Ίδια κεφάλαια] [Παθητικό – αποσβεσμένο κόστος] [Παθητικό – δικαίωμα εύλογης αξίας] [Μη ελέγχουσες </w:t>
            </w:r>
            <w:r w:rsidRPr="00DE6689">
              <w:rPr>
                <w:rFonts w:ascii="Times New Roman" w:hAnsi="Times New Roman"/>
                <w:i/>
                <w:sz w:val="24"/>
              </w:rPr>
              <w:t>συμμετοχές σε ενοποιημένη θυγατρική]</w:t>
            </w:r>
          </w:p>
        </w:tc>
      </w:tr>
      <w:tr w:rsidR="00C24790" w:rsidRPr="00DE6689" w14:paraId="27962077" w14:textId="77777777">
        <w:trPr>
          <w:trHeight w:val="259"/>
        </w:trPr>
        <w:tc>
          <w:tcPr>
            <w:tcW w:w="1101" w:type="dxa"/>
            <w:vAlign w:val="center"/>
          </w:tcPr>
          <w:p w14:paraId="232EE4DB"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11</w:t>
            </w:r>
          </w:p>
        </w:tc>
        <w:tc>
          <w:tcPr>
            <w:tcW w:w="7661" w:type="dxa"/>
            <w:shd w:val="clear" w:color="auto" w:fill="auto"/>
            <w:noWrap/>
            <w:vAlign w:val="bottom"/>
          </w:tcPr>
          <w:p w14:paraId="590E767B"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Αρχική ημερομηνία έκδοσης</w:t>
            </w:r>
          </w:p>
          <w:p w14:paraId="1AE42D1E"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lastRenderedPageBreak/>
              <w:t>Προσδιορίζει την ημερομηνία έκδοσης.</w:t>
            </w:r>
          </w:p>
          <w:p w14:paraId="3EA3A8F9"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i/>
                <w:sz w:val="24"/>
              </w:rPr>
              <w:t>Ελεύθερο κείμενο</w:t>
            </w:r>
          </w:p>
        </w:tc>
      </w:tr>
      <w:tr w:rsidR="00C24790" w:rsidRPr="00DE6689" w14:paraId="7CEE21A1" w14:textId="77777777">
        <w:trPr>
          <w:trHeight w:val="259"/>
        </w:trPr>
        <w:tc>
          <w:tcPr>
            <w:tcW w:w="1101" w:type="dxa"/>
            <w:vAlign w:val="center"/>
          </w:tcPr>
          <w:p w14:paraId="45683E10"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lastRenderedPageBreak/>
              <w:t>12</w:t>
            </w:r>
          </w:p>
        </w:tc>
        <w:tc>
          <w:tcPr>
            <w:tcW w:w="7661" w:type="dxa"/>
            <w:shd w:val="clear" w:color="auto" w:fill="auto"/>
            <w:noWrap/>
            <w:vAlign w:val="bottom"/>
          </w:tcPr>
          <w:p w14:paraId="4B21B491"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Αόριστης διάρκειας ή με ημερομηνία λήξης</w:t>
            </w:r>
          </w:p>
          <w:p w14:paraId="671906D3"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Προσδιορίζει αν το μέσο είναι αόριστης διάρκειας ή με ημερομηνία λήξης.</w:t>
            </w:r>
          </w:p>
          <w:p w14:paraId="4627B8EC"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 xml:space="preserve">Επιλέξτε από το </w:t>
            </w:r>
            <w:r w:rsidRPr="00DE6689">
              <w:rPr>
                <w:rFonts w:ascii="Times New Roman" w:hAnsi="Times New Roman"/>
                <w:i/>
                <w:sz w:val="24"/>
              </w:rPr>
              <w:t>μενού: [Αόριστης διάρκειας] [Με ημερομηνία λήξης]</w:t>
            </w:r>
          </w:p>
        </w:tc>
      </w:tr>
      <w:tr w:rsidR="00C24790" w:rsidRPr="00DE6689" w14:paraId="6DB1607D" w14:textId="77777777">
        <w:trPr>
          <w:trHeight w:val="259"/>
        </w:trPr>
        <w:tc>
          <w:tcPr>
            <w:tcW w:w="1101" w:type="dxa"/>
            <w:vAlign w:val="center"/>
          </w:tcPr>
          <w:p w14:paraId="568D0CE8"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13</w:t>
            </w:r>
          </w:p>
        </w:tc>
        <w:tc>
          <w:tcPr>
            <w:tcW w:w="7661" w:type="dxa"/>
            <w:shd w:val="clear" w:color="auto" w:fill="auto"/>
            <w:noWrap/>
            <w:vAlign w:val="bottom"/>
          </w:tcPr>
          <w:p w14:paraId="7C34FE03"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Αρχική ημερομηνία λήξης</w:t>
            </w:r>
          </w:p>
          <w:p w14:paraId="1801C236"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 xml:space="preserve">Για μέσο με ημερομηνία λήξης, προσδιορίζει την αρχική ημερομηνία λήξης (ημέρα, μήνα και έτος). Για μέσο αόριστης διάρκειας, γράψτε </w:t>
            </w:r>
            <w:r w:rsidRPr="00DE6689">
              <w:rPr>
                <w:rFonts w:ascii="Times New Roman" w:hAnsi="Times New Roman"/>
                <w:sz w:val="24"/>
              </w:rPr>
              <w:t>«</w:t>
            </w:r>
            <w:r w:rsidRPr="00DE6689">
              <w:rPr>
                <w:rFonts w:ascii="Times New Roman" w:hAnsi="Times New Roman"/>
                <w:sz w:val="24"/>
              </w:rPr>
              <w:t>χωρίς ημερομηνία λήξης</w:t>
            </w:r>
            <w:r w:rsidRPr="00DE6689">
              <w:rPr>
                <w:rFonts w:ascii="Times New Roman" w:hAnsi="Times New Roman"/>
                <w:sz w:val="24"/>
              </w:rPr>
              <w:t>»</w:t>
            </w:r>
            <w:r w:rsidRPr="00DE6689">
              <w:rPr>
                <w:rFonts w:ascii="Times New Roman" w:hAnsi="Times New Roman"/>
                <w:sz w:val="24"/>
              </w:rPr>
              <w:t>.</w:t>
            </w:r>
          </w:p>
          <w:p w14:paraId="168454AE"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i/>
                <w:sz w:val="24"/>
              </w:rPr>
              <w:t>Ελεύθερο κείμενο</w:t>
            </w:r>
          </w:p>
        </w:tc>
      </w:tr>
      <w:tr w:rsidR="00C24790" w:rsidRPr="00DE6689" w14:paraId="6081B7EB" w14:textId="77777777">
        <w:trPr>
          <w:trHeight w:val="259"/>
        </w:trPr>
        <w:tc>
          <w:tcPr>
            <w:tcW w:w="1101" w:type="dxa"/>
            <w:vAlign w:val="center"/>
          </w:tcPr>
          <w:p w14:paraId="48CF8DFA"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14</w:t>
            </w:r>
          </w:p>
        </w:tc>
        <w:tc>
          <w:tcPr>
            <w:tcW w:w="7661" w:type="dxa"/>
            <w:shd w:val="clear" w:color="auto" w:fill="auto"/>
            <w:noWrap/>
            <w:vAlign w:val="bottom"/>
          </w:tcPr>
          <w:p w14:paraId="5D867F51"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Για ανάκληση από τον εκδότη απαιτείται προηγούμενη έγκριση από τις εποπτικές αρχές</w:t>
            </w:r>
          </w:p>
          <w:p w14:paraId="0BCF3BEB"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Προσδιορίζει αν υπάρχει επιλογή ανάκλησης από τον εκδότη (όλοι οι τύποι επιλογών ανάκλησης).</w:t>
            </w:r>
          </w:p>
          <w:p w14:paraId="283A52A8"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Επιλέξτε από το μενού: [Ναι] [Όχι]</w:t>
            </w:r>
          </w:p>
        </w:tc>
      </w:tr>
      <w:tr w:rsidR="00C24790" w:rsidRPr="00DE6689" w14:paraId="747B0FC2" w14:textId="77777777">
        <w:trPr>
          <w:trHeight w:val="259"/>
        </w:trPr>
        <w:tc>
          <w:tcPr>
            <w:tcW w:w="1101" w:type="dxa"/>
            <w:vAlign w:val="center"/>
          </w:tcPr>
          <w:p w14:paraId="6B7997BF"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15</w:t>
            </w:r>
          </w:p>
        </w:tc>
        <w:tc>
          <w:tcPr>
            <w:tcW w:w="7661" w:type="dxa"/>
            <w:shd w:val="clear" w:color="auto" w:fill="auto"/>
            <w:noWrap/>
            <w:vAlign w:val="bottom"/>
          </w:tcPr>
          <w:p w14:paraId="32BF7160"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Προαιρετική ημερομηνία ανάκλησης, ενδεχόμ</w:t>
            </w:r>
            <w:r w:rsidRPr="00DE6689">
              <w:rPr>
                <w:rFonts w:ascii="Times New Roman" w:hAnsi="Times New Roman"/>
                <w:sz w:val="24"/>
              </w:rPr>
              <w:t>ενες ημερομηνίες ανάκλησης και ποσό εξόφλησης</w:t>
            </w:r>
          </w:p>
          <w:p w14:paraId="756D346E"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 xml:space="preserve">Για μέσο για το οποίο ο εκδότης έχει δικαίωμα αγοράς, προσδιορίζει την πρώτη ημερομηνία εξαγοράς, αν ισχύει για το εν λόγω μέσο δικαίωμα αγοράς σε συγκεκριμένη ημερομηνία (ημέρα, μήνας και έτος) και, </w:t>
            </w:r>
            <w:r w:rsidRPr="00DE6689">
              <w:rPr>
                <w:rFonts w:ascii="Times New Roman" w:hAnsi="Times New Roman"/>
                <w:sz w:val="24"/>
              </w:rPr>
              <w:t>επιπλέον, προσδιορίζει αν ισχύει για το εν λόγω μέσο δικαίωμα αγοράς σε περίπτωση επέλευσης φορολογικού και/ή κανονιστικού συμβάντος. Προσδιορίζει επίσης την τιμή εξόφλησης. Βοηθά στην αξιολόγηση της μονιμότητας.</w:t>
            </w:r>
          </w:p>
          <w:p w14:paraId="798167E1"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Ελεύθερο κείμενο</w:t>
            </w:r>
          </w:p>
        </w:tc>
      </w:tr>
      <w:tr w:rsidR="00C24790" w:rsidRPr="00DE6689" w14:paraId="357C89A4" w14:textId="77777777">
        <w:trPr>
          <w:trHeight w:val="259"/>
        </w:trPr>
        <w:tc>
          <w:tcPr>
            <w:tcW w:w="1101" w:type="dxa"/>
            <w:vAlign w:val="center"/>
          </w:tcPr>
          <w:p w14:paraId="30186A68"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16</w:t>
            </w:r>
          </w:p>
        </w:tc>
        <w:tc>
          <w:tcPr>
            <w:tcW w:w="7661" w:type="dxa"/>
            <w:shd w:val="clear" w:color="auto" w:fill="auto"/>
            <w:noWrap/>
            <w:vAlign w:val="bottom"/>
          </w:tcPr>
          <w:p w14:paraId="33B6E509"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Μεταγενέστερες ημερομη</w:t>
            </w:r>
            <w:r w:rsidRPr="00DE6689">
              <w:rPr>
                <w:rFonts w:ascii="Times New Roman" w:hAnsi="Times New Roman"/>
                <w:sz w:val="24"/>
              </w:rPr>
              <w:t>νίες εξαγοράς, κατά περίπτωση</w:t>
            </w:r>
          </w:p>
          <w:p w14:paraId="0A7D482A"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Προσδιορίζει την ύπαρξη και τη συχνότητα μεταγενέστερων ημερομηνιών ανάκλησης, κατά περίπτωση. Βοηθά στην αξιολόγηση της μονιμότητας.</w:t>
            </w:r>
          </w:p>
          <w:p w14:paraId="03462816"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i/>
                <w:sz w:val="24"/>
              </w:rPr>
              <w:t>Ελεύθερο κείμενο</w:t>
            </w:r>
          </w:p>
        </w:tc>
      </w:tr>
      <w:tr w:rsidR="00C24790" w:rsidRPr="00DE6689" w14:paraId="08CB41A3" w14:textId="77777777">
        <w:trPr>
          <w:trHeight w:val="259"/>
        </w:trPr>
        <w:tc>
          <w:tcPr>
            <w:tcW w:w="1101" w:type="dxa"/>
            <w:vAlign w:val="center"/>
          </w:tcPr>
          <w:p w14:paraId="05B93485"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17</w:t>
            </w:r>
          </w:p>
        </w:tc>
        <w:tc>
          <w:tcPr>
            <w:tcW w:w="7661" w:type="dxa"/>
            <w:shd w:val="clear" w:color="auto" w:fill="auto"/>
            <w:noWrap/>
            <w:vAlign w:val="bottom"/>
          </w:tcPr>
          <w:p w14:paraId="2D2097ED" w14:textId="77777777" w:rsidR="00C24790" w:rsidRPr="00DE6689" w:rsidRDefault="00DE6689">
            <w:pPr>
              <w:autoSpaceDE w:val="0"/>
              <w:autoSpaceDN w:val="0"/>
              <w:adjustRightInd w:val="0"/>
              <w:spacing w:after="200" w:line="276" w:lineRule="auto"/>
              <w:jc w:val="both"/>
              <w:rPr>
                <w:rFonts w:ascii="Times New Roman" w:eastAsia="Times New Roman" w:hAnsi="Times New Roman" w:cs="Times New Roman"/>
                <w:sz w:val="24"/>
              </w:rPr>
            </w:pPr>
            <w:r w:rsidRPr="00DE6689">
              <w:rPr>
                <w:rFonts w:ascii="Times New Roman" w:hAnsi="Times New Roman"/>
                <w:sz w:val="24"/>
              </w:rPr>
              <w:t>Σταθερό ή κυμαινόμενο μέρισμα/τοκομερίδιο</w:t>
            </w:r>
          </w:p>
          <w:p w14:paraId="56712F1F" w14:textId="77777777" w:rsidR="00C24790" w:rsidRPr="00DE6689" w:rsidRDefault="00DE6689">
            <w:pPr>
              <w:autoSpaceDE w:val="0"/>
              <w:autoSpaceDN w:val="0"/>
              <w:adjustRightInd w:val="0"/>
              <w:spacing w:after="200" w:line="276" w:lineRule="auto"/>
              <w:jc w:val="both"/>
              <w:rPr>
                <w:rFonts w:ascii="Times New Roman" w:eastAsia="Times New Roman" w:hAnsi="Times New Roman" w:cs="Times New Roman"/>
                <w:sz w:val="24"/>
              </w:rPr>
            </w:pPr>
            <w:r w:rsidRPr="00DE6689">
              <w:rPr>
                <w:rFonts w:ascii="Times New Roman" w:hAnsi="Times New Roman"/>
                <w:sz w:val="24"/>
              </w:rPr>
              <w:lastRenderedPageBreak/>
              <w:t>Προσδιορίζει αν το τοκομερίδι</w:t>
            </w:r>
            <w:r w:rsidRPr="00DE6689">
              <w:rPr>
                <w:rFonts w:ascii="Times New Roman" w:hAnsi="Times New Roman"/>
                <w:sz w:val="24"/>
              </w:rPr>
              <w:t>ο/μέρισμα είναι: σταθερό για ολόκληρη τη διάρκεια του μέσου ή κυμαινόμενο για ολόκληρη τη διάρκεια του μέσου ή προς το παρόν σταθερό αλλά με μετάβαση σε κυμαινόμενο επιτόκιο στο μέλλον ή προς το παρόν κυμαινόμενο αλλά με μετάβαση σε σταθερό επιτόκιο στο μέ</w:t>
            </w:r>
            <w:r w:rsidRPr="00DE6689">
              <w:rPr>
                <w:rFonts w:ascii="Times New Roman" w:hAnsi="Times New Roman"/>
                <w:sz w:val="24"/>
              </w:rPr>
              <w:t>λλον.</w:t>
            </w:r>
          </w:p>
          <w:p w14:paraId="4F2991CD"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 xml:space="preserve">Επιλέξτε από το μενού: [Σταθερό] [Κυμαινόμενο] [Από σταθερό σε κυμαινόμενο] [Από κυμαινόμενο σε σταθερό] </w:t>
            </w:r>
          </w:p>
        </w:tc>
      </w:tr>
      <w:tr w:rsidR="00C24790" w:rsidRPr="00DE6689" w14:paraId="60C94C09" w14:textId="77777777">
        <w:trPr>
          <w:trHeight w:val="259"/>
        </w:trPr>
        <w:tc>
          <w:tcPr>
            <w:tcW w:w="1101" w:type="dxa"/>
            <w:vAlign w:val="center"/>
          </w:tcPr>
          <w:p w14:paraId="78A1CDB9"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lastRenderedPageBreak/>
              <w:t>18</w:t>
            </w:r>
          </w:p>
        </w:tc>
        <w:tc>
          <w:tcPr>
            <w:tcW w:w="7661" w:type="dxa"/>
            <w:shd w:val="clear" w:color="auto" w:fill="auto"/>
            <w:noWrap/>
            <w:vAlign w:val="bottom"/>
          </w:tcPr>
          <w:p w14:paraId="725E254B" w14:textId="77777777" w:rsidR="00C24790" w:rsidRPr="00DE6689" w:rsidRDefault="00DE6689">
            <w:pPr>
              <w:autoSpaceDE w:val="0"/>
              <w:autoSpaceDN w:val="0"/>
              <w:adjustRightInd w:val="0"/>
              <w:spacing w:after="200" w:line="276" w:lineRule="auto"/>
              <w:jc w:val="both"/>
              <w:rPr>
                <w:rFonts w:ascii="Times New Roman" w:eastAsia="Times New Roman" w:hAnsi="Times New Roman" w:cs="Times New Roman"/>
                <w:sz w:val="24"/>
              </w:rPr>
            </w:pPr>
            <w:r w:rsidRPr="00DE6689">
              <w:rPr>
                <w:rFonts w:ascii="Times New Roman" w:hAnsi="Times New Roman"/>
                <w:sz w:val="24"/>
              </w:rPr>
              <w:t>Επιτόκιο τοκομεριδίου και κάθε σχετικός δείκτης</w:t>
            </w:r>
          </w:p>
          <w:p w14:paraId="20C9AE73" w14:textId="77777777" w:rsidR="00C24790" w:rsidRPr="00DE6689" w:rsidRDefault="00DE6689">
            <w:pPr>
              <w:autoSpaceDE w:val="0"/>
              <w:autoSpaceDN w:val="0"/>
              <w:adjustRightInd w:val="0"/>
              <w:spacing w:after="200" w:line="276" w:lineRule="auto"/>
              <w:jc w:val="both"/>
              <w:rPr>
                <w:rFonts w:ascii="Times New Roman" w:eastAsia="Times New Roman" w:hAnsi="Times New Roman" w:cs="Times New Roman"/>
                <w:sz w:val="24"/>
              </w:rPr>
            </w:pPr>
            <w:r w:rsidRPr="00DE6689">
              <w:rPr>
                <w:rFonts w:ascii="Times New Roman" w:hAnsi="Times New Roman"/>
                <w:sz w:val="24"/>
              </w:rPr>
              <w:t xml:space="preserve">Προσδιορίζει το επιτόκιο τοκομεριδίου του μέσου και κάθε σχετικό δείκτη στον οποίο </w:t>
            </w:r>
            <w:r w:rsidRPr="00DE6689">
              <w:rPr>
                <w:rFonts w:ascii="Times New Roman" w:hAnsi="Times New Roman"/>
                <w:sz w:val="24"/>
              </w:rPr>
              <w:t>αναφέρεται το επιτόκιο τοκομεριδίου/μερίσματος.</w:t>
            </w:r>
          </w:p>
          <w:p w14:paraId="74364385"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 xml:space="preserve">Ελεύθερο κείμενο </w:t>
            </w:r>
          </w:p>
        </w:tc>
      </w:tr>
      <w:tr w:rsidR="00C24790" w:rsidRPr="00DE6689" w14:paraId="742768BB" w14:textId="77777777">
        <w:trPr>
          <w:trHeight w:val="2983"/>
        </w:trPr>
        <w:tc>
          <w:tcPr>
            <w:tcW w:w="1101" w:type="dxa"/>
            <w:vAlign w:val="center"/>
          </w:tcPr>
          <w:p w14:paraId="2576E5E4"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19</w:t>
            </w:r>
          </w:p>
        </w:tc>
        <w:tc>
          <w:tcPr>
            <w:tcW w:w="7661" w:type="dxa"/>
            <w:shd w:val="clear" w:color="auto" w:fill="auto"/>
            <w:noWrap/>
            <w:vAlign w:val="bottom"/>
          </w:tcPr>
          <w:p w14:paraId="5D5E0F87" w14:textId="77777777" w:rsidR="00C24790" w:rsidRPr="00DE6689" w:rsidRDefault="00DE6689">
            <w:pPr>
              <w:autoSpaceDE w:val="0"/>
              <w:autoSpaceDN w:val="0"/>
              <w:adjustRightInd w:val="0"/>
              <w:spacing w:after="200" w:line="276" w:lineRule="auto"/>
              <w:jc w:val="both"/>
              <w:rPr>
                <w:rFonts w:ascii="Times New Roman" w:eastAsia="Times New Roman" w:hAnsi="Times New Roman" w:cs="Times New Roman"/>
                <w:sz w:val="24"/>
              </w:rPr>
            </w:pPr>
            <w:r w:rsidRPr="00DE6689">
              <w:rPr>
                <w:rFonts w:ascii="Times New Roman" w:hAnsi="Times New Roman"/>
                <w:sz w:val="24"/>
              </w:rPr>
              <w:t>Ύπαρξη όρου αναστολής μερισμάτων</w:t>
            </w:r>
          </w:p>
          <w:p w14:paraId="7C86949E" w14:textId="77777777" w:rsidR="00C24790" w:rsidRPr="00DE6689" w:rsidRDefault="00DE6689">
            <w:pPr>
              <w:autoSpaceDE w:val="0"/>
              <w:autoSpaceDN w:val="0"/>
              <w:adjustRightInd w:val="0"/>
              <w:spacing w:after="200" w:line="276" w:lineRule="auto"/>
              <w:jc w:val="both"/>
              <w:rPr>
                <w:rFonts w:ascii="Times New Roman" w:eastAsia="Times New Roman" w:hAnsi="Times New Roman" w:cs="Times New Roman"/>
                <w:sz w:val="24"/>
              </w:rPr>
            </w:pPr>
            <w:r w:rsidRPr="00DE6689">
              <w:rPr>
                <w:rFonts w:ascii="Times New Roman" w:hAnsi="Times New Roman"/>
                <w:sz w:val="24"/>
              </w:rPr>
              <w:t>Προσδιορίζει αν η μη πληρωμή ενός τοκομεριδίου ή μερίσματος του μέσου απαγορεύει την καταβολή μερισμάτων για κοινές μετοχές (δηλαδή, αν ισχύει όρος αναστ</w:t>
            </w:r>
            <w:r w:rsidRPr="00DE6689">
              <w:rPr>
                <w:rFonts w:ascii="Times New Roman" w:hAnsi="Times New Roman"/>
                <w:sz w:val="24"/>
              </w:rPr>
              <w:t>ολής μερισμάτων).</w:t>
            </w:r>
          </w:p>
          <w:p w14:paraId="520064CA"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 xml:space="preserve">Επιλέξτε από το μενού: [Ναι] [Όχι] </w:t>
            </w:r>
          </w:p>
        </w:tc>
      </w:tr>
      <w:tr w:rsidR="00C24790" w:rsidRPr="00DE6689" w14:paraId="745E05DB" w14:textId="77777777">
        <w:trPr>
          <w:trHeight w:val="259"/>
        </w:trPr>
        <w:tc>
          <w:tcPr>
            <w:tcW w:w="1101" w:type="dxa"/>
            <w:vAlign w:val="center"/>
          </w:tcPr>
          <w:p w14:paraId="26E9B57D"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20</w:t>
            </w:r>
          </w:p>
        </w:tc>
        <w:tc>
          <w:tcPr>
            <w:tcW w:w="7661" w:type="dxa"/>
            <w:shd w:val="clear" w:color="auto" w:fill="auto"/>
            <w:noWrap/>
            <w:vAlign w:val="bottom"/>
          </w:tcPr>
          <w:p w14:paraId="6EE43115"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 xml:space="preserve"> Με πλήρη διακριτική ευχέρεια, με μερική διακριτική ευχέρεια ή υποχρεωτικό (από άποψη χρόνου)</w:t>
            </w:r>
          </w:p>
          <w:p w14:paraId="433BE711"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Προσδιορίζει αν ο εκδότης έχει πλήρη διακριτική ευχέρεια, μερική διακριτική ευχέρεια ή καμία διακριτική ευχέρεια σχετικά με το αν πληρώνεται τοκομερίδιο/μέρισμα. Αν το ίδρυμα διαθέτει πλήρη διακριτική ευχέρεια ακύρωσης της καταβολής του τοκομεριδίου/μερίσμ</w:t>
            </w:r>
            <w:r w:rsidRPr="00DE6689">
              <w:rPr>
                <w:rFonts w:ascii="Times New Roman" w:hAnsi="Times New Roman"/>
                <w:sz w:val="24"/>
              </w:rPr>
              <w:t xml:space="preserve">ατος σε όλες τις περιπτώσεις, επιλέξτε </w:t>
            </w:r>
            <w:r w:rsidRPr="00DE6689">
              <w:rPr>
                <w:rFonts w:ascii="Times New Roman" w:hAnsi="Times New Roman"/>
                <w:sz w:val="24"/>
              </w:rPr>
              <w:t>«</w:t>
            </w:r>
            <w:r w:rsidRPr="00DE6689">
              <w:rPr>
                <w:rFonts w:ascii="Times New Roman" w:hAnsi="Times New Roman"/>
                <w:sz w:val="24"/>
              </w:rPr>
              <w:t>Με πλήρη διακριτική ευχέρεια</w:t>
            </w:r>
            <w:r w:rsidRPr="00DE6689">
              <w:rPr>
                <w:rFonts w:ascii="Times New Roman" w:hAnsi="Times New Roman"/>
                <w:sz w:val="24"/>
              </w:rPr>
              <w:t>»</w:t>
            </w:r>
            <w:r w:rsidRPr="00DE6689">
              <w:rPr>
                <w:rFonts w:ascii="Times New Roman" w:hAnsi="Times New Roman"/>
                <w:sz w:val="24"/>
              </w:rPr>
              <w:t xml:space="preserve"> (έστω και αν ισχύει όρος αναστολής μερισμάτων ο οποίος δεν παρεμποδίζει την από μέρους του ιδρύματος ακύρωση των καταβολών για το μέσο). Αν υπάρχουν προϋποθέσεις που πρέπει να πληρούνται</w:t>
            </w:r>
            <w:r w:rsidRPr="00DE6689">
              <w:rPr>
                <w:rFonts w:ascii="Times New Roman" w:hAnsi="Times New Roman"/>
                <w:sz w:val="24"/>
              </w:rPr>
              <w:t xml:space="preserve"> προτού καταστεί δυνατή η ακύρωση της καταβολής (π.χ. ίδια κεφάλαια κάτω από ένα ορισμένο όριο), το ίδρυμα πρέπει να επιλέξει </w:t>
            </w:r>
            <w:r w:rsidRPr="00DE6689">
              <w:rPr>
                <w:rFonts w:ascii="Times New Roman" w:hAnsi="Times New Roman"/>
                <w:sz w:val="24"/>
              </w:rPr>
              <w:t>«</w:t>
            </w:r>
            <w:r w:rsidRPr="00DE6689">
              <w:rPr>
                <w:rFonts w:ascii="Times New Roman" w:hAnsi="Times New Roman"/>
                <w:sz w:val="24"/>
              </w:rPr>
              <w:t>Με μερική διακριτική ευχέρεια</w:t>
            </w:r>
            <w:r w:rsidRPr="00DE6689">
              <w:rPr>
                <w:rFonts w:ascii="Times New Roman" w:hAnsi="Times New Roman"/>
                <w:sz w:val="24"/>
              </w:rPr>
              <w:t>»</w:t>
            </w:r>
            <w:r w:rsidRPr="00DE6689">
              <w:rPr>
                <w:rFonts w:ascii="Times New Roman" w:hAnsi="Times New Roman"/>
                <w:sz w:val="24"/>
              </w:rPr>
              <w:t xml:space="preserve">. Αν το ίδρυμα δεν μπορεί να ακυρώσει την καταβολή, εκτός σε περίπτωση αφερεγγυότητας, τότε πρέπει </w:t>
            </w:r>
            <w:r w:rsidRPr="00DE6689">
              <w:rPr>
                <w:rFonts w:ascii="Times New Roman" w:hAnsi="Times New Roman"/>
                <w:sz w:val="24"/>
              </w:rPr>
              <w:t xml:space="preserve">να επιλέξει </w:t>
            </w:r>
            <w:r w:rsidRPr="00DE6689">
              <w:rPr>
                <w:rFonts w:ascii="Times New Roman" w:hAnsi="Times New Roman"/>
                <w:sz w:val="24"/>
              </w:rPr>
              <w:t>«</w:t>
            </w:r>
            <w:r w:rsidRPr="00DE6689">
              <w:rPr>
                <w:rFonts w:ascii="Times New Roman" w:hAnsi="Times New Roman"/>
                <w:sz w:val="24"/>
              </w:rPr>
              <w:t>Υποχρεωτικό</w:t>
            </w:r>
            <w:r w:rsidRPr="00DE6689">
              <w:rPr>
                <w:rFonts w:ascii="Times New Roman" w:hAnsi="Times New Roman"/>
                <w:sz w:val="24"/>
              </w:rPr>
              <w:t>»</w:t>
            </w:r>
            <w:r w:rsidRPr="00DE6689">
              <w:rPr>
                <w:rFonts w:ascii="Times New Roman" w:hAnsi="Times New Roman"/>
                <w:sz w:val="24"/>
              </w:rPr>
              <w:t>.</w:t>
            </w:r>
          </w:p>
          <w:p w14:paraId="6C1C5B81"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Επιλέξτε από το μενού: [Με πλήρη διακριτική ευχέρεια] [Με μερική διακριτική ευχέρεια] [Υποχρεωτικό]</w:t>
            </w:r>
          </w:p>
          <w:p w14:paraId="16EF4606"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i/>
                <w:sz w:val="24"/>
              </w:rPr>
              <w:lastRenderedPageBreak/>
              <w:t>Ελεύθερο κείμενο (προσδιορίστε τους λόγους για τη διακριτική ευχέρεια, την ύπαρξη όρων καταβολής μερισμάτων, την ύπαρξη όρων ανασ</w:t>
            </w:r>
            <w:r w:rsidRPr="00DE6689">
              <w:rPr>
                <w:rFonts w:ascii="Times New Roman" w:hAnsi="Times New Roman"/>
                <w:i/>
                <w:sz w:val="24"/>
              </w:rPr>
              <w:t>τολής μερισμάτων, ACSM – Εναλλακτικός μηχανισμός καταβολής τοκομεριδίου)</w:t>
            </w:r>
          </w:p>
        </w:tc>
      </w:tr>
      <w:tr w:rsidR="00C24790" w:rsidRPr="00DE6689" w14:paraId="3F3AC643" w14:textId="77777777">
        <w:trPr>
          <w:trHeight w:val="259"/>
        </w:trPr>
        <w:tc>
          <w:tcPr>
            <w:tcW w:w="1101" w:type="dxa"/>
            <w:vAlign w:val="center"/>
          </w:tcPr>
          <w:p w14:paraId="56138CCE"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lastRenderedPageBreak/>
              <w:t>21</w:t>
            </w:r>
          </w:p>
        </w:tc>
        <w:tc>
          <w:tcPr>
            <w:tcW w:w="7661" w:type="dxa"/>
            <w:shd w:val="clear" w:color="auto" w:fill="auto"/>
            <w:noWrap/>
            <w:vAlign w:val="bottom"/>
          </w:tcPr>
          <w:p w14:paraId="470DAA8E"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Με πλήρη διακριτική ευχέρεια, με μερική διακριτική ευχέρεια ή υποχρεωτικό (από άποψη ποσού)</w:t>
            </w:r>
          </w:p>
          <w:p w14:paraId="7254DCC1"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 xml:space="preserve">Προσδιορίζει αν ο εκδότης έχει πλήρη διακριτική ευχέρεια, μερική διακριτική </w:t>
            </w:r>
            <w:r w:rsidRPr="00DE6689">
              <w:rPr>
                <w:rFonts w:ascii="Times New Roman" w:hAnsi="Times New Roman"/>
                <w:sz w:val="24"/>
              </w:rPr>
              <w:t>ευχέρεια ή καμία διακριτική ευχέρεια σχετικά με το ποσό του τοκομεριδίου/μερίσματος.</w:t>
            </w:r>
          </w:p>
          <w:p w14:paraId="3CA5C9C8"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Επιλέξτε από το μενού: [Με πλήρη διακριτική ευχέρεια] [Με μερική διακριτική ευχέρεια] [Υποχρεωτικό]</w:t>
            </w:r>
          </w:p>
        </w:tc>
      </w:tr>
      <w:tr w:rsidR="00C24790" w:rsidRPr="00DE6689" w14:paraId="48889D19" w14:textId="77777777">
        <w:trPr>
          <w:trHeight w:val="259"/>
        </w:trPr>
        <w:tc>
          <w:tcPr>
            <w:tcW w:w="1101" w:type="dxa"/>
            <w:vAlign w:val="center"/>
          </w:tcPr>
          <w:p w14:paraId="4CD4D28E"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22</w:t>
            </w:r>
          </w:p>
        </w:tc>
        <w:tc>
          <w:tcPr>
            <w:tcW w:w="7661" w:type="dxa"/>
            <w:shd w:val="clear" w:color="auto" w:fill="auto"/>
            <w:noWrap/>
            <w:vAlign w:val="bottom"/>
          </w:tcPr>
          <w:p w14:paraId="1B9E5FBD"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 xml:space="preserve"> Ύπαρξη δυνατότητας αναβάθμισης ή άλλου κινήτρου για εξόφληση</w:t>
            </w:r>
          </w:p>
          <w:p w14:paraId="25CB9A72"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Προσδ</w:t>
            </w:r>
            <w:r w:rsidRPr="00DE6689">
              <w:rPr>
                <w:rFonts w:ascii="Times New Roman" w:hAnsi="Times New Roman"/>
                <w:sz w:val="24"/>
              </w:rPr>
              <w:t>ιορίζει αν υπάρχει δυνατότητα αναβάθμισης ή άλλο κίνητρο για εξόφληση.</w:t>
            </w:r>
          </w:p>
          <w:p w14:paraId="0EF0D784"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Επιλέξτε από το μενού: [Ναι] [Όχι]</w:t>
            </w:r>
          </w:p>
        </w:tc>
      </w:tr>
      <w:tr w:rsidR="00C24790" w:rsidRPr="00DE6689" w14:paraId="2A994384" w14:textId="77777777">
        <w:trPr>
          <w:trHeight w:val="259"/>
        </w:trPr>
        <w:tc>
          <w:tcPr>
            <w:tcW w:w="1101" w:type="dxa"/>
            <w:vAlign w:val="center"/>
          </w:tcPr>
          <w:p w14:paraId="3BFFA020"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23</w:t>
            </w:r>
          </w:p>
        </w:tc>
        <w:tc>
          <w:tcPr>
            <w:tcW w:w="7661" w:type="dxa"/>
            <w:shd w:val="clear" w:color="auto" w:fill="auto"/>
            <w:noWrap/>
            <w:vAlign w:val="bottom"/>
          </w:tcPr>
          <w:p w14:paraId="58AEAF82"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Μη σωρευτικά ή σωρευτικά</w:t>
            </w:r>
          </w:p>
          <w:p w14:paraId="408FFDCC"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Προσδιορίζει αν τα μερίσματα/τοκομερίδια είναι σωρευτικά ή μη σωρευτικά.</w:t>
            </w:r>
          </w:p>
          <w:p w14:paraId="6F084057"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Επιλέξτε από το μενού: [Μη σωρευτικό] [Σωρευτικό</w:t>
            </w:r>
            <w:r w:rsidRPr="00DE6689">
              <w:rPr>
                <w:rFonts w:ascii="Times New Roman" w:hAnsi="Times New Roman"/>
                <w:i/>
                <w:sz w:val="24"/>
              </w:rPr>
              <w:t>] [ACSM]</w:t>
            </w:r>
          </w:p>
        </w:tc>
      </w:tr>
      <w:tr w:rsidR="00C24790" w:rsidRPr="00DE6689" w14:paraId="5E3E30DE" w14:textId="77777777">
        <w:trPr>
          <w:trHeight w:val="259"/>
        </w:trPr>
        <w:tc>
          <w:tcPr>
            <w:tcW w:w="1101" w:type="dxa"/>
            <w:vAlign w:val="center"/>
          </w:tcPr>
          <w:p w14:paraId="54BFE6CF"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24</w:t>
            </w:r>
          </w:p>
        </w:tc>
        <w:tc>
          <w:tcPr>
            <w:tcW w:w="7661" w:type="dxa"/>
            <w:shd w:val="clear" w:color="auto" w:fill="auto"/>
            <w:noWrap/>
            <w:vAlign w:val="bottom"/>
          </w:tcPr>
          <w:p w14:paraId="61067474"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Μετατρέψιμο ή μη μετατρέψιμο</w:t>
            </w:r>
          </w:p>
          <w:p w14:paraId="4FAE7D80"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Προσδιορίζει αν το μέσο είναι μετατρέψιμο ή όχι.</w:t>
            </w:r>
          </w:p>
          <w:p w14:paraId="74117EE6"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Επιλέξτε από το μενού: [Μετατρέψιμο] [Μη μετατρέψιμο]</w:t>
            </w:r>
          </w:p>
        </w:tc>
      </w:tr>
      <w:tr w:rsidR="00C24790" w:rsidRPr="00DE6689" w14:paraId="701D7D11" w14:textId="77777777">
        <w:trPr>
          <w:trHeight w:val="259"/>
        </w:trPr>
        <w:tc>
          <w:tcPr>
            <w:tcW w:w="1101" w:type="dxa"/>
            <w:vAlign w:val="center"/>
          </w:tcPr>
          <w:p w14:paraId="12E5A378"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25</w:t>
            </w:r>
          </w:p>
        </w:tc>
        <w:tc>
          <w:tcPr>
            <w:tcW w:w="7661" w:type="dxa"/>
            <w:shd w:val="clear" w:color="auto" w:fill="auto"/>
            <w:noWrap/>
            <w:vAlign w:val="bottom"/>
          </w:tcPr>
          <w:p w14:paraId="0EBCFEE0"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 xml:space="preserve"> Αν είναι μετατρέψιμο, το/τα γεγονός/-τα ενεργοποίησης</w:t>
            </w:r>
          </w:p>
          <w:p w14:paraId="038A8768"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Προσδιορίζει τους όρους υπό τους οποίους το μέσο μετατρέπεται, συμπεριλαμβανομένου του σημείου μη βιωσιμότητας. Αν μία ή περισσότερες αρχές έχουν τη δυνατότητα να ενεργοποιήσουν τη μετατροπή, οι εν λόγ</w:t>
            </w:r>
            <w:r w:rsidRPr="00DE6689">
              <w:rPr>
                <w:rFonts w:ascii="Times New Roman" w:hAnsi="Times New Roman"/>
                <w:sz w:val="24"/>
              </w:rPr>
              <w:t>ω αρχές αναφέρονται. Για κάθε μία από τις εν λόγω αρχές, δηλώνεται αν η νομική βάση για την εξουσιοδότηση ενεργοποίησης της μετατροπής συνίσταται στους όρους της σύμβασης του μέσου (συμβατική προσέγγιση) ή αν η νομική βάση παρέχεται μέσω του κανονιστικού π</w:t>
            </w:r>
            <w:r w:rsidRPr="00DE6689">
              <w:rPr>
                <w:rFonts w:ascii="Times New Roman" w:hAnsi="Times New Roman"/>
                <w:sz w:val="24"/>
              </w:rPr>
              <w:t>λαισίου (κανονιστική προσέγγιση).</w:t>
            </w:r>
          </w:p>
          <w:p w14:paraId="747964D0"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Ελεύθερο κείμενο</w:t>
            </w:r>
          </w:p>
        </w:tc>
      </w:tr>
      <w:tr w:rsidR="00C24790" w:rsidRPr="00DE6689" w14:paraId="4942EC66" w14:textId="77777777">
        <w:trPr>
          <w:trHeight w:val="259"/>
        </w:trPr>
        <w:tc>
          <w:tcPr>
            <w:tcW w:w="1101" w:type="dxa"/>
            <w:vAlign w:val="center"/>
          </w:tcPr>
          <w:p w14:paraId="3653D89B"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26</w:t>
            </w:r>
          </w:p>
        </w:tc>
        <w:tc>
          <w:tcPr>
            <w:tcW w:w="7661" w:type="dxa"/>
            <w:shd w:val="clear" w:color="auto" w:fill="auto"/>
            <w:noWrap/>
            <w:vAlign w:val="bottom"/>
          </w:tcPr>
          <w:p w14:paraId="49A98DA5"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Αν είναι μετατρέψιμο, πλήρης ή μερική μετατροπή</w:t>
            </w:r>
          </w:p>
          <w:p w14:paraId="08ABDCE5"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lastRenderedPageBreak/>
              <w:t>Προσδιορίζει αν το μέσο μετατρέπεται πάντοτε πλήρως, μπορεί να μετατραπεί πλήρως ή μερικώς, ή μετατρέπεται πάντοτε μερικώς.</w:t>
            </w:r>
          </w:p>
          <w:p w14:paraId="4445EA86"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Επιλέξτε από το μενού: [Πάντο</w:t>
            </w:r>
            <w:r w:rsidRPr="00DE6689">
              <w:rPr>
                <w:rFonts w:ascii="Times New Roman" w:hAnsi="Times New Roman"/>
                <w:i/>
                <w:sz w:val="24"/>
              </w:rPr>
              <w:t>τε πλήρως] [Πλήρως ή μερικώς] [Πάντοτε μερικώς]</w:t>
            </w:r>
          </w:p>
        </w:tc>
      </w:tr>
      <w:tr w:rsidR="00C24790" w:rsidRPr="00DE6689" w14:paraId="0A63EC48" w14:textId="77777777">
        <w:trPr>
          <w:trHeight w:val="259"/>
        </w:trPr>
        <w:tc>
          <w:tcPr>
            <w:tcW w:w="1101" w:type="dxa"/>
            <w:vAlign w:val="center"/>
          </w:tcPr>
          <w:p w14:paraId="2773D71A"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lastRenderedPageBreak/>
              <w:t>27</w:t>
            </w:r>
          </w:p>
        </w:tc>
        <w:tc>
          <w:tcPr>
            <w:tcW w:w="7661" w:type="dxa"/>
            <w:shd w:val="clear" w:color="auto" w:fill="auto"/>
            <w:noWrap/>
            <w:vAlign w:val="bottom"/>
          </w:tcPr>
          <w:p w14:paraId="220FD651"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Αν είναι μετατρέψιμο, ο συντελεστής μετατροπής</w:t>
            </w:r>
          </w:p>
          <w:p w14:paraId="549D9B0B"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Προσδιορίζει τον συντελεστή μετατροπής στο μέσο που απορροφά περισσότερο τις ζημίες.</w:t>
            </w:r>
          </w:p>
          <w:p w14:paraId="3D51E8FC"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Ελεύθερο κείμενο</w:t>
            </w:r>
          </w:p>
        </w:tc>
      </w:tr>
      <w:tr w:rsidR="00C24790" w:rsidRPr="00DE6689" w14:paraId="6956111F" w14:textId="77777777">
        <w:trPr>
          <w:trHeight w:val="259"/>
        </w:trPr>
        <w:tc>
          <w:tcPr>
            <w:tcW w:w="1101" w:type="dxa"/>
            <w:vAlign w:val="center"/>
          </w:tcPr>
          <w:p w14:paraId="366C4CBD"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28</w:t>
            </w:r>
          </w:p>
        </w:tc>
        <w:tc>
          <w:tcPr>
            <w:tcW w:w="7661" w:type="dxa"/>
            <w:shd w:val="clear" w:color="auto" w:fill="auto"/>
            <w:noWrap/>
            <w:vAlign w:val="bottom"/>
          </w:tcPr>
          <w:p w14:paraId="73C8CC8B"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 xml:space="preserve"> Αν είναι μετατρέψιμο, υποχρεωτική ή προαιρετική μετατροπή</w:t>
            </w:r>
          </w:p>
          <w:p w14:paraId="795BE12F"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Για μετατρέψιμα μέσα, προσδιορίζει αν η μετατροπή είναι υποχρεωτική ή προαιρετική.</w:t>
            </w:r>
          </w:p>
          <w:p w14:paraId="54DACF78"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Επιλέξτε από το μενού: [Υποχρεωτική] [Προαιρετική] [Δ/Ε] και [Κατ’ επιλογήν των κατόχων] [Κατ’ επιλογήν του εκδότη</w:t>
            </w:r>
            <w:r w:rsidRPr="00DE6689">
              <w:rPr>
                <w:rFonts w:ascii="Times New Roman" w:hAnsi="Times New Roman"/>
                <w:i/>
                <w:sz w:val="24"/>
              </w:rPr>
              <w:t>] [Κατ’ επιλογήν τόσο των κατόχων όσο και του εκδότη]</w:t>
            </w:r>
          </w:p>
        </w:tc>
      </w:tr>
      <w:tr w:rsidR="00C24790" w:rsidRPr="00DE6689" w14:paraId="48FB98EA" w14:textId="77777777">
        <w:trPr>
          <w:trHeight w:val="259"/>
        </w:trPr>
        <w:tc>
          <w:tcPr>
            <w:tcW w:w="1101" w:type="dxa"/>
            <w:vAlign w:val="center"/>
          </w:tcPr>
          <w:p w14:paraId="25DBCCFF"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29</w:t>
            </w:r>
          </w:p>
        </w:tc>
        <w:tc>
          <w:tcPr>
            <w:tcW w:w="7661" w:type="dxa"/>
            <w:shd w:val="clear" w:color="auto" w:fill="auto"/>
            <w:noWrap/>
            <w:vAlign w:val="bottom"/>
          </w:tcPr>
          <w:p w14:paraId="7C541A57"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Αν είναι μετατρέψιμο, ορίστε τον τύπο του μέσου στο οποίο γίνεται η μετατροπή</w:t>
            </w:r>
          </w:p>
          <w:p w14:paraId="4183754A"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Για μετατρέψιμα μέσα, προσδιορίζει τον τύπο του μέσου στο οποίο γίνεται η μετατροπή.</w:t>
            </w:r>
          </w:p>
          <w:p w14:paraId="6B37711F"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 xml:space="preserve">Επιλέξτε από το μενού: </w:t>
            </w:r>
            <w:r w:rsidRPr="00DE6689">
              <w:rPr>
                <w:rFonts w:ascii="Times New Roman" w:hAnsi="Times New Roman"/>
                <w:i/>
                <w:sz w:val="24"/>
              </w:rPr>
              <w:t>[Κοινές μετοχές της κατηγορίας 1] [Πρόσθετα μέσα της κατηγορίας 1] [Κατηγορία 2] [Άλλος]</w:t>
            </w:r>
          </w:p>
        </w:tc>
      </w:tr>
      <w:tr w:rsidR="00C24790" w:rsidRPr="00DE6689" w14:paraId="42E8F499" w14:textId="77777777">
        <w:trPr>
          <w:trHeight w:val="259"/>
        </w:trPr>
        <w:tc>
          <w:tcPr>
            <w:tcW w:w="1101" w:type="dxa"/>
            <w:vAlign w:val="center"/>
          </w:tcPr>
          <w:p w14:paraId="77261D26"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30</w:t>
            </w:r>
          </w:p>
        </w:tc>
        <w:tc>
          <w:tcPr>
            <w:tcW w:w="7661" w:type="dxa"/>
            <w:shd w:val="clear" w:color="auto" w:fill="auto"/>
            <w:noWrap/>
            <w:vAlign w:val="bottom"/>
          </w:tcPr>
          <w:p w14:paraId="0C393A56"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Αν είναι μετατρέψιμο, ορίστε τον εκδότη του μέσου στο οποίο γίνεται η μετατροπή</w:t>
            </w:r>
          </w:p>
          <w:p w14:paraId="0A7FAEB7"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 xml:space="preserve">Αν είναι μετατρέψιμο, ορίστε τον εκδότη του μέσου στο οποίο γίνεται η </w:t>
            </w:r>
            <w:r w:rsidRPr="00DE6689">
              <w:rPr>
                <w:rFonts w:ascii="Times New Roman" w:hAnsi="Times New Roman"/>
                <w:sz w:val="24"/>
              </w:rPr>
              <w:t>μετατροπή.</w:t>
            </w:r>
          </w:p>
          <w:p w14:paraId="5F5E622B"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Ελεύθερο κείμενο</w:t>
            </w:r>
          </w:p>
        </w:tc>
      </w:tr>
      <w:tr w:rsidR="00C24790" w:rsidRPr="00DE6689" w14:paraId="52A6403D" w14:textId="77777777">
        <w:trPr>
          <w:trHeight w:val="259"/>
        </w:trPr>
        <w:tc>
          <w:tcPr>
            <w:tcW w:w="1101" w:type="dxa"/>
            <w:vAlign w:val="center"/>
          </w:tcPr>
          <w:p w14:paraId="7DFC5769"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31</w:t>
            </w:r>
          </w:p>
        </w:tc>
        <w:tc>
          <w:tcPr>
            <w:tcW w:w="7661" w:type="dxa"/>
            <w:shd w:val="clear" w:color="auto" w:fill="auto"/>
            <w:noWrap/>
            <w:vAlign w:val="bottom"/>
          </w:tcPr>
          <w:p w14:paraId="54B2626F"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Χαρακτηριστικά απόσβεσης</w:t>
            </w:r>
          </w:p>
          <w:p w14:paraId="5A772FF0"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Προσδιορίζει αν υπάρχει δυνατότητα απόσβεσης.</w:t>
            </w:r>
          </w:p>
          <w:p w14:paraId="2976EE71"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Επιλέξτε από το μενού: [Ναι] [Όχι]</w:t>
            </w:r>
          </w:p>
        </w:tc>
      </w:tr>
      <w:tr w:rsidR="00C24790" w:rsidRPr="00DE6689" w14:paraId="319C5266" w14:textId="77777777">
        <w:trPr>
          <w:trHeight w:val="259"/>
        </w:trPr>
        <w:tc>
          <w:tcPr>
            <w:tcW w:w="1101" w:type="dxa"/>
            <w:vAlign w:val="center"/>
          </w:tcPr>
          <w:p w14:paraId="4EFB402C"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32</w:t>
            </w:r>
          </w:p>
        </w:tc>
        <w:tc>
          <w:tcPr>
            <w:tcW w:w="7661" w:type="dxa"/>
            <w:shd w:val="clear" w:color="auto" w:fill="auto"/>
            <w:noWrap/>
            <w:vAlign w:val="bottom"/>
          </w:tcPr>
          <w:p w14:paraId="17D9B3ED" w14:textId="77777777" w:rsidR="00C24790" w:rsidRPr="00DE6689" w:rsidRDefault="00DE6689">
            <w:pPr>
              <w:autoSpaceDE w:val="0"/>
              <w:autoSpaceDN w:val="0"/>
              <w:adjustRightInd w:val="0"/>
              <w:spacing w:after="200" w:line="276" w:lineRule="auto"/>
              <w:jc w:val="both"/>
              <w:rPr>
                <w:rFonts w:ascii="Times New Roman" w:eastAsia="Times New Roman" w:hAnsi="Times New Roman" w:cs="Times New Roman"/>
                <w:sz w:val="24"/>
              </w:rPr>
            </w:pPr>
            <w:r w:rsidRPr="00DE6689">
              <w:rPr>
                <w:rFonts w:ascii="Times New Roman" w:hAnsi="Times New Roman"/>
                <w:sz w:val="24"/>
              </w:rPr>
              <w:t>Αν υφίσταται απόσβεση, το/τα γεγονός/-τα απόσβεσης</w:t>
            </w:r>
          </w:p>
          <w:p w14:paraId="15D839B5" w14:textId="77777777" w:rsidR="00C24790" w:rsidRPr="00DE6689" w:rsidRDefault="00DE6689">
            <w:pPr>
              <w:autoSpaceDE w:val="0"/>
              <w:autoSpaceDN w:val="0"/>
              <w:adjustRightInd w:val="0"/>
              <w:spacing w:after="200" w:line="276" w:lineRule="auto"/>
              <w:jc w:val="both"/>
              <w:rPr>
                <w:rFonts w:ascii="Times New Roman" w:eastAsia="Times New Roman" w:hAnsi="Times New Roman" w:cs="Times New Roman"/>
                <w:sz w:val="24"/>
              </w:rPr>
            </w:pPr>
            <w:r w:rsidRPr="00DE6689">
              <w:rPr>
                <w:rFonts w:ascii="Times New Roman" w:hAnsi="Times New Roman"/>
                <w:sz w:val="24"/>
              </w:rPr>
              <w:lastRenderedPageBreak/>
              <w:t xml:space="preserve">Προσδιορίζει τα γεγονότα που ενεργοποιούν την </w:t>
            </w:r>
            <w:r w:rsidRPr="00DE6689">
              <w:rPr>
                <w:rFonts w:ascii="Times New Roman" w:hAnsi="Times New Roman"/>
                <w:sz w:val="24"/>
              </w:rPr>
              <w:t>απόσβεση,​συμπεριλαμβανομένου του σημείου μη βιωσιμότητας. Αν μία ή περισσότερες αρχές έχουν τη δυνατότητα να ενεργοποιήσουν την απόσβεση, οι εν λόγω αρχές αναφέρονται. Για κάθε μία από τις εν λόγω αρχές, δηλώνεται αν η νομική βάση για την εξουσιοδότηση εν</w:t>
            </w:r>
            <w:r w:rsidRPr="00DE6689">
              <w:rPr>
                <w:rFonts w:ascii="Times New Roman" w:hAnsi="Times New Roman"/>
                <w:sz w:val="24"/>
              </w:rPr>
              <w:t>εργοποίησης της απόσβεσης συνίσταται στους όρους της σύμβασης του μέσου (συμβατική προσέγγιση) ή αν η νομική βάση παρέχεται μέσω του κανονιστικού πλαισίου (κανονιστική προσέγγιση).</w:t>
            </w:r>
          </w:p>
          <w:p w14:paraId="232A877C"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Ελεύθερο κείμενο</w:t>
            </w:r>
          </w:p>
        </w:tc>
      </w:tr>
      <w:tr w:rsidR="00C24790" w:rsidRPr="00DE6689" w14:paraId="2581C477" w14:textId="77777777">
        <w:trPr>
          <w:trHeight w:val="259"/>
        </w:trPr>
        <w:tc>
          <w:tcPr>
            <w:tcW w:w="1101" w:type="dxa"/>
            <w:vAlign w:val="center"/>
          </w:tcPr>
          <w:p w14:paraId="5511EF4A"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lastRenderedPageBreak/>
              <w:t>33</w:t>
            </w:r>
          </w:p>
        </w:tc>
        <w:tc>
          <w:tcPr>
            <w:tcW w:w="7661" w:type="dxa"/>
            <w:shd w:val="clear" w:color="auto" w:fill="auto"/>
            <w:noWrap/>
            <w:vAlign w:val="bottom"/>
          </w:tcPr>
          <w:p w14:paraId="2C15DABA"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Αν υφίσταται απόσβεση, πλήρης ή μερική απόσβεση</w:t>
            </w:r>
          </w:p>
          <w:p w14:paraId="5D74DA2D"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Προσδι</w:t>
            </w:r>
            <w:r w:rsidRPr="00DE6689">
              <w:rPr>
                <w:rFonts w:ascii="Times New Roman" w:hAnsi="Times New Roman"/>
                <w:sz w:val="24"/>
              </w:rPr>
              <w:t>ορίζει αν η απόσβεση του μέσου θα είναι πάντα πλήρης, αν μπορεί να είναι μερική, ή αν θα είναι πάντα μερική. Βοηθά στην αξιολόγηση της απορρόφησης των ζημιών κατά την απόσβεση.</w:t>
            </w:r>
          </w:p>
          <w:p w14:paraId="66E2CA8F"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 xml:space="preserve">Επιλέξτε από το μενού: [Πάντοτε πλήρως] [Πλήρως ή μερικώς] [Πάντοτε μερικώς] </w:t>
            </w:r>
          </w:p>
        </w:tc>
      </w:tr>
      <w:tr w:rsidR="00C24790" w:rsidRPr="00DE6689" w14:paraId="1CE0D178" w14:textId="77777777">
        <w:trPr>
          <w:trHeight w:val="259"/>
        </w:trPr>
        <w:tc>
          <w:tcPr>
            <w:tcW w:w="1101" w:type="dxa"/>
            <w:vAlign w:val="center"/>
          </w:tcPr>
          <w:p w14:paraId="7E5ACE03"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34</w:t>
            </w:r>
          </w:p>
        </w:tc>
        <w:tc>
          <w:tcPr>
            <w:tcW w:w="7661" w:type="dxa"/>
            <w:shd w:val="clear" w:color="auto" w:fill="auto"/>
            <w:noWrap/>
            <w:vAlign w:val="bottom"/>
          </w:tcPr>
          <w:p w14:paraId="7C9E3F8C"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Αν υφίσταται απόσβεση, μόνιμη ή προσωρινή απόσβεση</w:t>
            </w:r>
          </w:p>
          <w:p w14:paraId="5DF8E4CE"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Για μέσο που υφίσταται απόσβεση, προσδιορίζει αν η απόσβεση είναι μόνιμη ή προσωρινή.</w:t>
            </w:r>
          </w:p>
          <w:p w14:paraId="306E91EC"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Επιλέξτε από το μενού: [Μόνιμη] [Προσωρινή] [Δ/Ε]</w:t>
            </w:r>
          </w:p>
        </w:tc>
      </w:tr>
      <w:tr w:rsidR="00C24790" w:rsidRPr="00DE6689" w14:paraId="2F05B3BC" w14:textId="77777777">
        <w:trPr>
          <w:trHeight w:val="259"/>
        </w:trPr>
        <w:tc>
          <w:tcPr>
            <w:tcW w:w="1101" w:type="dxa"/>
            <w:vAlign w:val="center"/>
          </w:tcPr>
          <w:p w14:paraId="77D0AE0D"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35</w:t>
            </w:r>
          </w:p>
        </w:tc>
        <w:tc>
          <w:tcPr>
            <w:tcW w:w="7661" w:type="dxa"/>
            <w:shd w:val="clear" w:color="auto" w:fill="auto"/>
            <w:noWrap/>
            <w:vAlign w:val="bottom"/>
          </w:tcPr>
          <w:p w14:paraId="1BB2112D"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 xml:space="preserve">Αν υφίσταται προσωρινή απόσβεση, περιγραφή του </w:t>
            </w:r>
            <w:r w:rsidRPr="00DE6689">
              <w:rPr>
                <w:rFonts w:ascii="Times New Roman" w:hAnsi="Times New Roman"/>
                <w:sz w:val="24"/>
              </w:rPr>
              <w:t>μηχανισμού απόσβεσης</w:t>
            </w:r>
          </w:p>
          <w:p w14:paraId="1949A6EB"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Περιγράφει το μηχανισμό απόσβεσης.</w:t>
            </w:r>
          </w:p>
          <w:p w14:paraId="3995485C"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Ελεύθερο κείμενο</w:t>
            </w:r>
          </w:p>
        </w:tc>
      </w:tr>
      <w:tr w:rsidR="00C24790" w:rsidRPr="00DE6689" w14:paraId="041A456A" w14:textId="77777777">
        <w:trPr>
          <w:trHeight w:val="1448"/>
        </w:trPr>
        <w:tc>
          <w:tcPr>
            <w:tcW w:w="1101" w:type="dxa"/>
            <w:vAlign w:val="center"/>
          </w:tcPr>
          <w:p w14:paraId="08CD03A0"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36</w:t>
            </w:r>
          </w:p>
        </w:tc>
        <w:tc>
          <w:tcPr>
            <w:tcW w:w="7661" w:type="dxa"/>
            <w:shd w:val="clear" w:color="auto" w:fill="auto"/>
            <w:noWrap/>
            <w:vAlign w:val="bottom"/>
          </w:tcPr>
          <w:p w14:paraId="3C10B9D0"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Μη συμμορφούμενα μεταβατικά χαρακτηριστικά</w:t>
            </w:r>
          </w:p>
          <w:p w14:paraId="68B52C3D"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Διευκρίνιση αν υπάρχουν μη συμμορφούμενα χαρακτηριστικά.</w:t>
            </w:r>
          </w:p>
          <w:p w14:paraId="096F0B89"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sz w:val="24"/>
              </w:rPr>
              <w:t>Επιλέξτε [ναι] ή [όχι].</w:t>
            </w:r>
          </w:p>
        </w:tc>
      </w:tr>
      <w:tr w:rsidR="00C24790" w:rsidRPr="00DE6689" w14:paraId="024DEA2D" w14:textId="77777777">
        <w:trPr>
          <w:trHeight w:val="259"/>
        </w:trPr>
        <w:tc>
          <w:tcPr>
            <w:tcW w:w="1101" w:type="dxa"/>
            <w:vAlign w:val="center"/>
          </w:tcPr>
          <w:p w14:paraId="7EE5A149"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37</w:t>
            </w:r>
          </w:p>
        </w:tc>
        <w:tc>
          <w:tcPr>
            <w:tcW w:w="7661" w:type="dxa"/>
            <w:shd w:val="clear" w:color="auto" w:fill="auto"/>
            <w:noWrap/>
            <w:vAlign w:val="bottom"/>
          </w:tcPr>
          <w:p w14:paraId="4A696D0C"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 xml:space="preserve">Αν ναι, καθορίστε τα μη συμμορφούμενα </w:t>
            </w:r>
            <w:r w:rsidRPr="00DE6689">
              <w:rPr>
                <w:rFonts w:ascii="Times New Roman" w:hAnsi="Times New Roman"/>
                <w:sz w:val="24"/>
              </w:rPr>
              <w:t>μεταβατικά χαρακτηριστικά</w:t>
            </w:r>
          </w:p>
          <w:p w14:paraId="49894531"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Αν υπάρχουν μη συμμορφούμενα χαρακτηριστικά, το ίδρυμα προσδιορίζει ποια είναι αυτά.</w:t>
            </w:r>
          </w:p>
          <w:p w14:paraId="32304EDB" w14:textId="77777777" w:rsidR="00C24790" w:rsidRPr="00DE6689" w:rsidRDefault="00DE6689">
            <w:pPr>
              <w:spacing w:after="200" w:line="276" w:lineRule="auto"/>
              <w:jc w:val="both"/>
              <w:rPr>
                <w:rFonts w:ascii="Times New Roman" w:eastAsia="Times New Roman" w:hAnsi="Times New Roman" w:cs="Times New Roman"/>
                <w:i/>
                <w:sz w:val="24"/>
              </w:rPr>
            </w:pPr>
            <w:r w:rsidRPr="00DE6689">
              <w:rPr>
                <w:rFonts w:ascii="Times New Roman" w:hAnsi="Times New Roman"/>
                <w:i/>
                <w:sz w:val="24"/>
              </w:rPr>
              <w:t>Ελεύθερο κείμενο</w:t>
            </w:r>
          </w:p>
        </w:tc>
      </w:tr>
      <w:tr w:rsidR="00C24790" w14:paraId="5100FADF" w14:textId="77777777">
        <w:trPr>
          <w:trHeight w:val="259"/>
        </w:trPr>
        <w:tc>
          <w:tcPr>
            <w:tcW w:w="1101" w:type="dxa"/>
            <w:vAlign w:val="center"/>
          </w:tcPr>
          <w:p w14:paraId="021D5FD2" w14:textId="77777777" w:rsidR="00C24790" w:rsidRPr="00DE6689" w:rsidRDefault="00DE6689">
            <w:pPr>
              <w:spacing w:after="200" w:line="276" w:lineRule="auto"/>
              <w:rPr>
                <w:rFonts w:ascii="Times New Roman" w:eastAsia="Times New Roman" w:hAnsi="Times New Roman" w:cs="Times New Roman"/>
                <w:sz w:val="24"/>
              </w:rPr>
            </w:pPr>
            <w:r w:rsidRPr="00DE6689">
              <w:rPr>
                <w:rFonts w:ascii="Times New Roman" w:hAnsi="Times New Roman"/>
                <w:color w:val="000000"/>
                <w:sz w:val="24"/>
              </w:rPr>
              <w:t>38</w:t>
            </w:r>
          </w:p>
        </w:tc>
        <w:tc>
          <w:tcPr>
            <w:tcW w:w="7661" w:type="dxa"/>
            <w:shd w:val="clear" w:color="auto" w:fill="auto"/>
            <w:noWrap/>
            <w:vAlign w:val="bottom"/>
          </w:tcPr>
          <w:p w14:paraId="3BF1B9DB" w14:textId="77777777" w:rsidR="00C24790" w:rsidRPr="00DE6689"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t>Σύνδεσμος προς τους πλήρεις όρους και προϋποθέσεις του μέσου (σήμανση)</w:t>
            </w:r>
          </w:p>
          <w:p w14:paraId="4373EABC" w14:textId="77777777" w:rsidR="00C24790" w:rsidRDefault="00DE6689">
            <w:pPr>
              <w:spacing w:after="200" w:line="276" w:lineRule="auto"/>
              <w:jc w:val="both"/>
              <w:rPr>
                <w:rFonts w:ascii="Times New Roman" w:eastAsia="Times New Roman" w:hAnsi="Times New Roman" w:cs="Times New Roman"/>
                <w:sz w:val="24"/>
              </w:rPr>
            </w:pPr>
            <w:r w:rsidRPr="00DE6689">
              <w:rPr>
                <w:rFonts w:ascii="Times New Roman" w:hAnsi="Times New Roman"/>
                <w:sz w:val="24"/>
              </w:rPr>
              <w:lastRenderedPageBreak/>
              <w:t xml:space="preserve">Οι επιχειρήσεις επενδύσεων περιλαμβάνουν τον </w:t>
            </w:r>
            <w:r w:rsidRPr="00DE6689">
              <w:rPr>
                <w:rFonts w:ascii="Times New Roman" w:hAnsi="Times New Roman"/>
                <w:sz w:val="24"/>
              </w:rPr>
              <w:t>υπερσύνδεσμο που παρέχει πρόσβαση στο ενημερωτικό δελτίο της έκδοσης, συμπεριλαμβανομένων όλων των όρων και προϋποθέσεων του μέσου.</w:t>
            </w:r>
          </w:p>
        </w:tc>
      </w:tr>
      <w:bookmarkEnd w:id="0"/>
      <w:bookmarkEnd w:id="1"/>
      <w:bookmarkEnd w:id="2"/>
      <w:bookmarkEnd w:id="3"/>
      <w:bookmarkEnd w:id="4"/>
      <w:bookmarkEnd w:id="5"/>
      <w:bookmarkEnd w:id="6"/>
      <w:bookmarkEnd w:id="7"/>
      <w:bookmarkEnd w:id="8"/>
      <w:bookmarkEnd w:id="9"/>
    </w:tbl>
    <w:p w14:paraId="2DA52F47" w14:textId="77777777" w:rsidR="00C24790" w:rsidRDefault="00C24790">
      <w:pPr>
        <w:rPr>
          <w:rFonts w:ascii="Times New Roman" w:hAnsi="Times New Roman" w:cs="Times New Roman"/>
          <w:bCs/>
          <w:sz w:val="24"/>
        </w:rPr>
      </w:pPr>
    </w:p>
    <w:sectPr w:rsidR="00C24790">
      <w:headerReference w:type="default" r:id="rId8"/>
      <w:footerReference w:type="default" r:id="rId9"/>
      <w:pgSz w:w="11900" w:h="16840"/>
      <w:pgMar w:top="2268" w:right="1418" w:bottom="1134"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C7D20E" w14:textId="77777777" w:rsidR="00C24790" w:rsidRDefault="00DE6689">
      <w:r>
        <w:separator/>
      </w:r>
    </w:p>
  </w:endnote>
  <w:endnote w:type="continuationSeparator" w:id="0">
    <w:p w14:paraId="4843E191" w14:textId="77777777" w:rsidR="00C24790" w:rsidRDefault="00DE6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85B92" w14:textId="77777777" w:rsidR="00C24790" w:rsidRDefault="00DE6689">
    <w:pPr>
      <w:pStyle w:val="Footer"/>
      <w:tabs>
        <w:tab w:val="clear" w:pos="4320"/>
        <w:tab w:val="clear" w:pos="8640"/>
        <w:tab w:val="right" w:pos="9071"/>
      </w:tabs>
    </w:pPr>
    <w:r>
      <w:t>EL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28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1390B5" w14:textId="77777777" w:rsidR="00C24790" w:rsidRDefault="00DE6689">
      <w:pPr>
        <w:rPr>
          <w:sz w:val="12"/>
          <w:szCs w:val="12"/>
        </w:rPr>
      </w:pPr>
      <w:r>
        <w:rPr>
          <w:sz w:val="12"/>
          <w:szCs w:val="12"/>
        </w:rPr>
        <w:separator/>
      </w:r>
    </w:p>
  </w:footnote>
  <w:footnote w:type="continuationSeparator" w:id="0">
    <w:p w14:paraId="751D1FF5" w14:textId="77777777" w:rsidR="00C24790" w:rsidRDefault="00DE6689">
      <w:r>
        <w:continuationSeparator/>
      </w:r>
    </w:p>
  </w:footnote>
  <w:footnote w:type="continuationNotice" w:id="1">
    <w:p w14:paraId="705F6866" w14:textId="77777777" w:rsidR="00C24790" w:rsidRDefault="00C24790">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4C5BFC" w14:textId="645FC104" w:rsidR="00C24790" w:rsidRDefault="00DE6689">
    <w:pPr>
      <w:pStyle w:val="Header"/>
    </w:pPr>
    <w:r>
      <w:rPr>
        <w:noProof/>
      </w:rPr>
      <mc:AlternateContent>
        <mc:Choice Requires="wps">
          <w:drawing>
            <wp:anchor distT="0" distB="0" distL="114300" distR="114300" simplePos="0" relativeHeight="251659264" behindDoc="0" locked="0" layoutInCell="0" allowOverlap="1" wp14:anchorId="487C9F21" wp14:editId="12B6BE90">
              <wp:simplePos x="0" y="0"/>
              <wp:positionH relativeFrom="page">
                <wp:posOffset>0</wp:posOffset>
              </wp:positionH>
              <wp:positionV relativeFrom="page">
                <wp:posOffset>190500</wp:posOffset>
              </wp:positionV>
              <wp:extent cx="7556500" cy="273050"/>
              <wp:effectExtent l="0" t="0" r="0" b="12700"/>
              <wp:wrapNone/>
              <wp:docPr id="1" name="MSIPCM132746ccbde4e33c9e68bffd" descr="{&quot;HashCode&quot;:-46641150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35DBBDC" w14:textId="6D9D8D75" w:rsidR="00DE6689" w:rsidRPr="00DE6689" w:rsidRDefault="00DE6689" w:rsidP="00DE6689">
                          <w:pPr>
                            <w:rPr>
                              <w:rFonts w:ascii="Calibri" w:hAnsi="Calibri" w:cs="Calibri"/>
                              <w:color w:val="000000"/>
                              <w:sz w:val="24"/>
                            </w:rPr>
                          </w:pPr>
                          <w:r w:rsidRPr="00DE6689">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87C9F21" id="_x0000_t202" coordsize="21600,21600" o:spt="202" path="m,l,21600r21600,l21600,xe">
              <v:stroke joinstyle="miter"/>
              <v:path gradientshapeok="t" o:connecttype="rect"/>
            </v:shapetype>
            <v:shape id="MSIPCM132746ccbde4e33c9e68bffd" o:spid="_x0000_s1026" type="#_x0000_t202" alt="{&quot;HashCode&quot;:-466411507,&quot;Height&quot;:842.0,&quot;Width&quot;:595.0,&quot;Placement&quot;:&quot;Header&quot;,&quot;Index&quot;:&quot;Primary&quot;,&quot;Section&quot;:1,&quot;Top&quot;:0.0,&quot;Left&quot;:0.0}" style="position:absolute;margin-left:0;margin-top:1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" o:allowincell="f" filled="f" stroked="f" strokeweight=".5pt">
              <v:fill o:detectmouseclick="t"/>
              <v:textbox inset="20pt,0,,0">
                <w:txbxContent>
                  <w:p w14:paraId="435DBBDC" w14:textId="6D9D8D75" w:rsidR="00DE6689" w:rsidRPr="00DE6689" w:rsidRDefault="00DE6689" w:rsidP="00DE6689">
                    <w:pPr>
                      <w:rPr>
                        <w:rFonts w:ascii="Calibri" w:hAnsi="Calibri" w:cs="Calibri"/>
                        <w:color w:val="000000"/>
                        <w:sz w:val="24"/>
                      </w:rPr>
                    </w:pPr>
                    <w:r w:rsidRPr="00DE6689">
                      <w:rPr>
                        <w:rFonts w:ascii="Calibri" w:hAnsi="Calibri" w:cs="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1BAA9652"/>
    <w:lvl w:ilvl="0" w:tplc="0809000F">
      <w:start w:val="1"/>
      <w:numFmt w:val="decimal"/>
      <w:lvlText w:val="%1."/>
      <w:lvlJc w:val="left"/>
      <w:pPr>
        <w:tabs>
          <w:tab w:val="num" w:pos="360"/>
        </w:tabs>
        <w:ind w:left="360" w:hanging="360"/>
      </w:pPr>
      <w:rPr>
        <w:rFonts w:hint="default"/>
      </w:rPr>
    </w:lvl>
    <w:lvl w:ilvl="1" w:tplc="BC6632D0">
      <w:start w:val="1"/>
      <mc:AlternateContent>
        <mc:Choice Requires="w14">
          <w:numFmt w:val="custom" w:format="α, β, γ, ..."/>
        </mc:Choice>
        <mc:Fallback>
          <w:numFmt w:val="decimal"/>
        </mc:Fallback>
      </mc:AlternateContent>
      <w:lvlText w:val="%2."/>
      <w:lvlJc w:val="left"/>
      <w:pPr>
        <w:tabs>
          <w:tab w:val="num" w:pos="-180"/>
        </w:tabs>
        <w:ind w:left="-180" w:hanging="360"/>
      </w:pPr>
      <w:rPr>
        <w:rFonts w:hint="default"/>
      </w:r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FR" w:vendorID="64" w:dllVersion="6" w:nlCheck="1" w:checkStyle="0"/>
  <w:activeWritingStyle w:appName="MSWord" w:lang="en-IE" w:vendorID="64" w:dllVersion="6"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9441"/>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C24790"/>
    <w:rsid w:val="00C24790"/>
    <w:rsid w:val="00DE668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9441"/>
    <o:shapelayout v:ext="edit">
      <o:idmap v:ext="edit" data="1"/>
    </o:shapelayout>
  </w:shapeDefaults>
  <w:decimalSymbol w:val="."/>
  <w:listSeparator w:val=","/>
  <w14:docId w14:val="315C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el-GR"/>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el-GR"/>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val="el-GR" w:eastAsia="de-DE"/>
    </w:rPr>
  </w:style>
  <w:style w:type="character" w:customStyle="1" w:styleId="ListParagraphChar">
    <w:name w:val="List Paragraph Char"/>
    <w:link w:val="ListParagraph"/>
    <w:uiPriority w:val="34"/>
    <w:rPr>
      <w:rFonts w:ascii="Calibri" w:eastAsia="Calibri" w:hAnsi="Calibri" w:cs="Times New Roman"/>
      <w:sz w:val="22"/>
      <w:szCs w:val="22"/>
      <w:lang w:val="el-GR"/>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D0BF4-0AAA-4F28-8917-66720AACB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9077</Words>
  <Characters>51744</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2021-11-25T14:54:00Z</dcterms:created>
  <dcterms:modified xsi:type="dcterms:W3CDTF">2022-01-14T15:39:00Z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2022-01-14T15:39:53Z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36dacc8d-b9f3-4e0f-ad09-a5afb2c9fd8d</vt:lpwstr>
  </property>
  <property fmtid="{D5CDD505-2E9C-101B-9397-08002B2CF9AE}" pid="8" name="MSIP_Label_5c7eb9de-735b-4a68-8fe4-c9c62709b012_ContentBits">
    <vt:lpwstr>1</vt:lpwstr>
  </property>
</Properties>
</file>