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5A78F" w14:textId="77777777" w:rsidR="008C1FA5" w:rsidRPr="00BC256B" w:rsidRDefault="00BC256B">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BC256B">
        <w:rPr>
          <w:rFonts w:ascii="Times New Roman" w:hAnsi="Times New Roman"/>
          <w:b/>
          <w:sz w:val="24"/>
          <w:szCs w:val="24"/>
        </w:rPr>
        <w:t>FR</w:t>
      </w:r>
      <w:r w:rsidRPr="00BC256B">
        <w:br/>
      </w:r>
      <w:r w:rsidRPr="00BC256B">
        <w:rPr>
          <w:rFonts w:ascii="Times New Roman" w:hAnsi="Times New Roman"/>
          <w:b/>
          <w:sz w:val="24"/>
          <w:szCs w:val="24"/>
        </w:rPr>
        <w:t>ANNEXE II</w:t>
      </w:r>
    </w:p>
    <w:p w14:paraId="7799D869" w14:textId="77777777" w:rsidR="008C1FA5" w:rsidRPr="00BC256B" w:rsidRDefault="00BC256B">
      <w:pPr>
        <w:spacing w:after="240" w:line="240" w:lineRule="auto"/>
        <w:jc w:val="center"/>
        <w:rPr>
          <w:rFonts w:ascii="Times New Roman" w:eastAsia="Times New Roman" w:hAnsi="Times New Roman" w:cs="Times New Roman"/>
          <w:b/>
          <w:sz w:val="24"/>
          <w:szCs w:val="20"/>
          <w:u w:val="single"/>
        </w:rPr>
      </w:pPr>
      <w:r w:rsidRPr="00BC256B">
        <w:rPr>
          <w:rFonts w:ascii="Times New Roman" w:hAnsi="Times New Roman"/>
          <w:b/>
          <w:sz w:val="24"/>
          <w:szCs w:val="20"/>
          <w:u w:val="single"/>
        </w:rPr>
        <w:t>ANNEXE II</w:t>
      </w:r>
      <w:bookmarkEnd w:id="0"/>
      <w:bookmarkEnd w:id="1"/>
    </w:p>
    <w:p w14:paraId="64102E93" w14:textId="77777777" w:rsidR="008C1FA5" w:rsidRPr="00BC256B" w:rsidRDefault="00BC256B">
      <w:pPr>
        <w:spacing w:after="240" w:line="240" w:lineRule="auto"/>
        <w:jc w:val="center"/>
        <w:rPr>
          <w:rFonts w:ascii="Times New Roman" w:eastAsia="Times New Roman" w:hAnsi="Times New Roman" w:cs="Times New Roman"/>
          <w:b/>
          <w:sz w:val="24"/>
          <w:szCs w:val="20"/>
        </w:rPr>
      </w:pPr>
      <w:r w:rsidRPr="00BC256B">
        <w:rPr>
          <w:rFonts w:ascii="Times New Roman" w:hAnsi="Times New Roman"/>
          <w:b/>
          <w:sz w:val="24"/>
          <w:szCs w:val="20"/>
        </w:rPr>
        <w:t>DÉCLARATION POUR LES ENTREPRISES D’INVESTISSEMENT AUTRES QUE LES PETITES ENTREPRISES D’INVESTISSEMENT NON INTERCONNECTÉES</w:t>
      </w:r>
    </w:p>
    <w:p w14:paraId="5BD7B61C" w14:textId="77777777" w:rsidR="008C1FA5" w:rsidRPr="00BC256B" w:rsidRDefault="00BC256B">
      <w:pPr>
        <w:spacing w:after="0" w:line="240" w:lineRule="auto"/>
        <w:rPr>
          <w:rFonts w:ascii="Times New Roman" w:eastAsia="Times New Roman" w:hAnsi="Times New Roman" w:cs="Times New Roman"/>
          <w:sz w:val="24"/>
          <w:szCs w:val="24"/>
        </w:rPr>
      </w:pPr>
      <w:r w:rsidRPr="00BC256B">
        <w:rPr>
          <w:rFonts w:ascii="Times New Roman" w:hAnsi="Times New Roman"/>
          <w:sz w:val="24"/>
          <w:szCs w:val="24"/>
        </w:rPr>
        <w:t>Table des matières</w:t>
      </w:r>
    </w:p>
    <w:p w14:paraId="7D7241E9"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PARTIE I: INSTRUCTIONS GÉNÉRALES</w:t>
      </w:r>
      <w:r w:rsidRPr="00BC256B">
        <w:rPr>
          <w:noProof/>
        </w:rPr>
        <w:tab/>
        <w:t>4</w:t>
      </w:r>
    </w:p>
    <w:p w14:paraId="23577D82"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1. Structure et conventions</w:t>
      </w:r>
      <w:r w:rsidRPr="00BC256B">
        <w:rPr>
          <w:noProof/>
        </w:rPr>
        <w:tab/>
        <w:t>4</w:t>
      </w:r>
    </w:p>
    <w:p w14:paraId="6E76B36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 xml:space="preserve">1.1 </w:t>
      </w:r>
      <w:r w:rsidRPr="00BC256B">
        <w:rPr>
          <w:rFonts w:ascii="Times New Roman" w:hAnsi="Times New Roman"/>
          <w:noProof/>
          <w:u w:val="single"/>
        </w:rPr>
        <w:t>Structure</w:t>
      </w:r>
      <w:r w:rsidRPr="00BC256B">
        <w:rPr>
          <w:noProof/>
        </w:rPr>
        <w:tab/>
        <w:t>4</w:t>
      </w:r>
    </w:p>
    <w:p w14:paraId="5ACE3636"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1.2 Convention de numérotation</w:t>
      </w:r>
      <w:r w:rsidRPr="00BC256B">
        <w:rPr>
          <w:noProof/>
        </w:rPr>
        <w:tab/>
        <w:t>4</w:t>
      </w:r>
    </w:p>
    <w:p w14:paraId="340298C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1.3 Convention de signe</w:t>
      </w:r>
      <w:r w:rsidRPr="00BC256B">
        <w:rPr>
          <w:noProof/>
        </w:rPr>
        <w:tab/>
        <w:t>4</w:t>
      </w:r>
    </w:p>
    <w:p w14:paraId="62AABD23"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1.4 Consolidation prudentielle</w:t>
      </w:r>
      <w:r w:rsidRPr="00BC256B">
        <w:rPr>
          <w:noProof/>
        </w:rPr>
        <w:tab/>
        <w:t>4</w:t>
      </w:r>
    </w:p>
    <w:p w14:paraId="4B26DB2E"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PARTIE II: INSTRUCTIONS CONCERNANT LES MODÈLES</w:t>
      </w:r>
      <w:r w:rsidRPr="00BC256B">
        <w:rPr>
          <w:noProof/>
        </w:rPr>
        <w:tab/>
        <w:t>5</w:t>
      </w:r>
    </w:p>
    <w:p w14:paraId="2CB34A08"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b/>
          <w:noProof/>
        </w:rPr>
        <w:t>1. FONDS PROPRES: NIVEAU, COMPOSITION, EXIGENCES ET CALCUL</w:t>
      </w:r>
      <w:r w:rsidRPr="00BC256B">
        <w:rPr>
          <w:noProof/>
        </w:rPr>
        <w:tab/>
        <w:t>5</w:t>
      </w:r>
    </w:p>
    <w:p w14:paraId="752BD1F8"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1.1 Remarques générales</w:t>
      </w:r>
      <w:r w:rsidRPr="00BC256B">
        <w:rPr>
          <w:noProof/>
        </w:rPr>
        <w:tab/>
        <w:t>5</w:t>
      </w:r>
    </w:p>
    <w:p w14:paraId="2D2318B9"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 xml:space="preserve">1.2. I </w:t>
      </w:r>
      <w:r w:rsidRPr="00BC256B">
        <w:rPr>
          <w:rFonts w:ascii="Times New Roman" w:hAnsi="Times New Roman"/>
          <w:noProof/>
        </w:rPr>
        <w:t>01.01 – COMPOSITION DES FONDS PROPRES (I 1)</w:t>
      </w:r>
      <w:r w:rsidRPr="00BC256B">
        <w:rPr>
          <w:noProof/>
        </w:rPr>
        <w:tab/>
        <w:t>5</w:t>
      </w:r>
    </w:p>
    <w:p w14:paraId="36782DFA"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1.2.1.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5</w:t>
      </w:r>
    </w:p>
    <w:p w14:paraId="3B888F36"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1.3. I 02.01 – EXIGENCES DE FONDS PROPRES (I 2.1)</w:t>
      </w:r>
      <w:r w:rsidRPr="00BC256B">
        <w:rPr>
          <w:noProof/>
        </w:rPr>
        <w:tab/>
        <w:t>12</w:t>
      </w:r>
    </w:p>
    <w:p w14:paraId="00EAD7B9"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1.3.1.</w:t>
      </w:r>
      <w:r w:rsidRPr="00BC256B">
        <w:rPr>
          <w:rFonts w:ascii="Times New Roman" w:hAnsi="Times New Roman"/>
          <w:noProof/>
        </w:rPr>
        <w:tab/>
      </w:r>
      <w:r w:rsidRPr="00BC256B">
        <w:rPr>
          <w:rFonts w:ascii="Times New Roman" w:hAnsi="Times New Roman"/>
          <w:noProof/>
          <w:u w:val="single"/>
        </w:rPr>
        <w:t>Instructions concernant certaines positions</w:t>
      </w:r>
      <w:r w:rsidRPr="00BC256B">
        <w:rPr>
          <w:noProof/>
        </w:rPr>
        <w:tab/>
        <w:t>12</w:t>
      </w:r>
    </w:p>
    <w:p w14:paraId="4C628429"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1.4. I 02.02 – RATIOS DE FONDS PROPRES (I 2.2)</w:t>
      </w:r>
      <w:r w:rsidRPr="00BC256B">
        <w:rPr>
          <w:noProof/>
        </w:rPr>
        <w:tab/>
      </w:r>
      <w:r w:rsidRPr="00BC256B">
        <w:rPr>
          <w:noProof/>
        </w:rPr>
        <w:t>14</w:t>
      </w:r>
    </w:p>
    <w:p w14:paraId="7A74FC53"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1.4.1.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14</w:t>
      </w:r>
    </w:p>
    <w:p w14:paraId="7500E2E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1.5. I 03.00 – CALCUL DE L’EXIGENCE BASÉE SUR LES FRAIS GÉNÉRAUX FIXES (I 3)</w:t>
      </w:r>
      <w:r w:rsidRPr="00BC256B">
        <w:rPr>
          <w:noProof/>
        </w:rPr>
        <w:tab/>
        <w:t>15</w:t>
      </w:r>
    </w:p>
    <w:p w14:paraId="3E0CACC7"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1.5.1.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15</w:t>
      </w:r>
    </w:p>
    <w:p w14:paraId="074D1C72"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1.6. I 04.00 – CALCUL DE L’EXIGENCE TOTALE BASÉE SUR LES FACTEURS</w:t>
      </w:r>
      <w:r w:rsidRPr="00BC256B">
        <w:rPr>
          <w:rFonts w:ascii="Times New Roman" w:hAnsi="Times New Roman"/>
          <w:noProof/>
          <w:u w:val="single"/>
        </w:rPr>
        <w:t xml:space="preserve"> K (I 4)</w:t>
      </w:r>
      <w:r w:rsidRPr="00BC256B">
        <w:rPr>
          <w:noProof/>
        </w:rPr>
        <w:tab/>
        <w:t>18</w:t>
      </w:r>
    </w:p>
    <w:p w14:paraId="34490633"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1.6.1.</w:t>
      </w:r>
      <w:r w:rsidRPr="00BC256B">
        <w:rPr>
          <w:rFonts w:ascii="Times New Roman" w:hAnsi="Times New Roman"/>
          <w:noProof/>
        </w:rPr>
        <w:tab/>
      </w:r>
      <w:r w:rsidRPr="00BC256B">
        <w:rPr>
          <w:rFonts w:ascii="Times New Roman" w:hAnsi="Times New Roman"/>
          <w:noProof/>
          <w:u w:val="single"/>
        </w:rPr>
        <w:t>Instructions concernant certaines positions</w:t>
      </w:r>
      <w:r w:rsidRPr="00BC256B">
        <w:rPr>
          <w:noProof/>
        </w:rPr>
        <w:tab/>
        <w:t>18</w:t>
      </w:r>
    </w:p>
    <w:p w14:paraId="707FA2A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b/>
          <w:noProof/>
        </w:rPr>
        <w:t>2. PETITES ENTREPRISES D’INVESTISSEMENT NON INTERCONNECTÉES</w:t>
      </w:r>
      <w:r w:rsidRPr="00BC256B">
        <w:rPr>
          <w:noProof/>
        </w:rPr>
        <w:tab/>
        <w:t>20</w:t>
      </w:r>
    </w:p>
    <w:p w14:paraId="6B8EB4A1"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2.1. I 05.00 – NIVEAU D’ACTIVITÉ – RÉVISION DES SEUILS (I 5)</w:t>
      </w:r>
      <w:r w:rsidRPr="00BC256B">
        <w:rPr>
          <w:noProof/>
        </w:rPr>
        <w:tab/>
        <w:t>20</w:t>
      </w:r>
    </w:p>
    <w:p w14:paraId="5CB482E4"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2.1.1.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20</w:t>
      </w:r>
    </w:p>
    <w:p w14:paraId="140E4F28"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b/>
          <w:noProof/>
        </w:rPr>
        <w:t>3. EXIGEN</w:t>
      </w:r>
      <w:r w:rsidRPr="00BC256B">
        <w:rPr>
          <w:rFonts w:ascii="Times New Roman" w:hAnsi="Times New Roman"/>
          <w:b/>
          <w:noProof/>
        </w:rPr>
        <w:t>CES BASÉES SUR LES FACTEURS K - DÉTAILS SUPPLÉMENTAIRES</w:t>
      </w:r>
      <w:r w:rsidRPr="00BC256B">
        <w:rPr>
          <w:noProof/>
        </w:rPr>
        <w:tab/>
        <w:t>23</w:t>
      </w:r>
    </w:p>
    <w:p w14:paraId="03FF5B58"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3.2. I 06.01 – ACTIFS SOUS GESTION – DÉTAILS SUPPLÉMENTAIRES (I 6.1)</w:t>
      </w:r>
      <w:r w:rsidRPr="00BC256B">
        <w:rPr>
          <w:noProof/>
        </w:rPr>
        <w:tab/>
        <w:t>24</w:t>
      </w:r>
    </w:p>
    <w:p w14:paraId="76600014"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3.2.1.</w:t>
      </w:r>
      <w:r w:rsidRPr="00BC256B">
        <w:rPr>
          <w:rFonts w:ascii="Times New Roman" w:hAnsi="Times New Roman"/>
          <w:noProof/>
        </w:rPr>
        <w:tab/>
      </w:r>
      <w:r w:rsidRPr="00BC256B">
        <w:rPr>
          <w:rFonts w:ascii="Times New Roman" w:hAnsi="Times New Roman"/>
          <w:noProof/>
          <w:u w:val="single"/>
        </w:rPr>
        <w:t>Instructions concernant certaines positions</w:t>
      </w:r>
      <w:r w:rsidRPr="00BC256B">
        <w:rPr>
          <w:noProof/>
        </w:rPr>
        <w:tab/>
        <w:t>24</w:t>
      </w:r>
    </w:p>
    <w:p w14:paraId="5BEFF98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3.3. I 06.02 – ACTIFS SOUS GESTION MENSUELS (I 6.2)</w:t>
      </w:r>
      <w:r w:rsidRPr="00BC256B">
        <w:rPr>
          <w:noProof/>
        </w:rPr>
        <w:tab/>
        <w:t>24</w:t>
      </w:r>
    </w:p>
    <w:p w14:paraId="20455A7C"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3.3.1.</w:t>
      </w:r>
      <w:r w:rsidRPr="00BC256B">
        <w:rPr>
          <w:rFonts w:eastAsiaTheme="minorEastAsia"/>
          <w:noProof/>
          <w:lang w:val="fr-BE"/>
        </w:rPr>
        <w:tab/>
      </w:r>
      <w:r w:rsidRPr="00BC256B">
        <w:rPr>
          <w:rFonts w:ascii="Times New Roman" w:hAnsi="Times New Roman"/>
          <w:noProof/>
          <w:u w:val="single"/>
        </w:rPr>
        <w:t>Instructi</w:t>
      </w:r>
      <w:r w:rsidRPr="00BC256B">
        <w:rPr>
          <w:rFonts w:ascii="Times New Roman" w:hAnsi="Times New Roman"/>
          <w:noProof/>
          <w:u w:val="single"/>
        </w:rPr>
        <w:t>ons concernant certaines positions</w:t>
      </w:r>
      <w:r w:rsidRPr="00BC256B">
        <w:rPr>
          <w:noProof/>
        </w:rPr>
        <w:tab/>
        <w:t>24</w:t>
      </w:r>
    </w:p>
    <w:p w14:paraId="1FAD0CB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3.4. I 06.03 – FONDS DE CLIENTS DÉTENUS (CMH) – DÉTAILS SUPPLÉMENTAIRES (I 6.3)</w:t>
      </w:r>
      <w:r w:rsidRPr="00BC256B">
        <w:rPr>
          <w:noProof/>
        </w:rPr>
        <w:tab/>
        <w:t>25</w:t>
      </w:r>
    </w:p>
    <w:p w14:paraId="4CCE38ED"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3.4.1.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25</w:t>
      </w:r>
    </w:p>
    <w:p w14:paraId="1E6AB185"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lastRenderedPageBreak/>
        <w:t xml:space="preserve">3.5. I 06.04 – VALEUR MOYENNE DES MONTANTS QUOTIDIENS TOTAUX DE FONDS DE CLIENTS </w:t>
      </w:r>
      <w:r w:rsidRPr="00BC256B">
        <w:rPr>
          <w:rFonts w:ascii="Times New Roman" w:hAnsi="Times New Roman"/>
          <w:noProof/>
          <w:u w:val="single"/>
        </w:rPr>
        <w:t>DÉTENUS (I 6.4)</w:t>
      </w:r>
      <w:r w:rsidRPr="00BC256B">
        <w:rPr>
          <w:noProof/>
        </w:rPr>
        <w:tab/>
        <w:t>26</w:t>
      </w:r>
    </w:p>
    <w:p w14:paraId="7E28F17C"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3.5.1.</w:t>
      </w:r>
      <w:r w:rsidRPr="00BC256B">
        <w:rPr>
          <w:rFonts w:ascii="Times New Roman" w:hAnsi="Times New Roman"/>
          <w:noProof/>
        </w:rPr>
        <w:tab/>
      </w:r>
      <w:r w:rsidRPr="00BC256B">
        <w:rPr>
          <w:rFonts w:ascii="Times New Roman" w:hAnsi="Times New Roman"/>
          <w:noProof/>
          <w:u w:val="single"/>
        </w:rPr>
        <w:t>Instructions concernant certaines positions</w:t>
      </w:r>
      <w:r w:rsidRPr="00BC256B">
        <w:rPr>
          <w:noProof/>
        </w:rPr>
        <w:tab/>
        <w:t>26</w:t>
      </w:r>
    </w:p>
    <w:p w14:paraId="03C52EC4"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3.6. I 06.05 – ACTIFS CONSERVÉS ET ADMINISTRÉS – DÉTAILS SUPPLÉMENTAIRES (I 6.5)</w:t>
      </w:r>
      <w:r w:rsidRPr="00BC256B">
        <w:rPr>
          <w:noProof/>
        </w:rPr>
        <w:tab/>
        <w:t>27</w:t>
      </w:r>
    </w:p>
    <w:p w14:paraId="3E9FCD7A"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3.6.1.</w:t>
      </w:r>
      <w:r w:rsidRPr="00BC256B">
        <w:rPr>
          <w:rFonts w:ascii="Times New Roman" w:hAnsi="Times New Roman"/>
          <w:noProof/>
        </w:rPr>
        <w:tab/>
        <w:t>Instructions concernant certaines positions</w:t>
      </w:r>
      <w:r w:rsidRPr="00BC256B">
        <w:rPr>
          <w:noProof/>
        </w:rPr>
        <w:tab/>
        <w:t>27</w:t>
      </w:r>
    </w:p>
    <w:p w14:paraId="139A849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 xml:space="preserve">3.7. I 06.06 – VALEUR MOYENNE DES </w:t>
      </w:r>
      <w:r w:rsidRPr="00BC256B">
        <w:rPr>
          <w:rFonts w:ascii="Times New Roman" w:hAnsi="Times New Roman"/>
          <w:noProof/>
          <w:u w:val="single"/>
        </w:rPr>
        <w:t>MONTANTS QUOTIDIENS TOTAUX D’ACTIFS CONSERVÉS ET ADMINISTRÉS (I 6.6)</w:t>
      </w:r>
      <w:r w:rsidRPr="00BC256B">
        <w:rPr>
          <w:noProof/>
        </w:rPr>
        <w:tab/>
        <w:t>28</w:t>
      </w:r>
    </w:p>
    <w:p w14:paraId="29DE0C7F"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3.7.1.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28</w:t>
      </w:r>
    </w:p>
    <w:p w14:paraId="469223FA"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3.8. I 06.07 – ORDRES DE CLIENTS TRAITÉS (COH) – DÉTAILS SUPPLÉMENTAIRES (I 6.7)</w:t>
      </w:r>
      <w:r w:rsidRPr="00BC256B">
        <w:rPr>
          <w:noProof/>
        </w:rPr>
        <w:tab/>
        <w:t>29</w:t>
      </w:r>
    </w:p>
    <w:p w14:paraId="6F7AFE5E"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3.8.1.</w:t>
      </w:r>
      <w:r w:rsidRPr="00BC256B">
        <w:rPr>
          <w:rFonts w:eastAsiaTheme="minorEastAsia"/>
          <w:noProof/>
          <w:lang w:val="fr-BE"/>
        </w:rPr>
        <w:tab/>
      </w:r>
      <w:r w:rsidRPr="00BC256B">
        <w:rPr>
          <w:rFonts w:ascii="Times New Roman" w:hAnsi="Times New Roman"/>
          <w:noProof/>
          <w:u w:val="single"/>
        </w:rPr>
        <w:t>Instructions concernant certaines posit</w:t>
      </w:r>
      <w:r w:rsidRPr="00BC256B">
        <w:rPr>
          <w:rFonts w:ascii="Times New Roman" w:hAnsi="Times New Roman"/>
          <w:noProof/>
          <w:u w:val="single"/>
        </w:rPr>
        <w:t>ions</w:t>
      </w:r>
      <w:r w:rsidRPr="00BC256B">
        <w:rPr>
          <w:noProof/>
        </w:rPr>
        <w:tab/>
        <w:t>29</w:t>
      </w:r>
    </w:p>
    <w:p w14:paraId="5C7D401A"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3.9. I 06.08 – VALEUR MOYENNE DES MONTANTS QUOTIDIENS TOTAUX D’ORDRES DE CLIENTS TRAITÉS (I 6.8)</w:t>
      </w:r>
      <w:r w:rsidRPr="00BC256B">
        <w:rPr>
          <w:noProof/>
        </w:rPr>
        <w:tab/>
        <w:t>31</w:t>
      </w:r>
    </w:p>
    <w:p w14:paraId="4C110B46"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3.9.1.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31</w:t>
      </w:r>
    </w:p>
    <w:p w14:paraId="44EA508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3.10. I 06.09 – K-RISQUE DE POSITION NETTE – DÉTAILS SUPPLÉMENTAIRES (I 6.9)</w:t>
      </w:r>
      <w:r w:rsidRPr="00BC256B">
        <w:rPr>
          <w:noProof/>
        </w:rPr>
        <w:tab/>
        <w:t>32</w:t>
      </w:r>
    </w:p>
    <w:p w14:paraId="6C1F10B2"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3.10.1.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32</w:t>
      </w:r>
    </w:p>
    <w:p w14:paraId="7ED06077"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3.11. I 06.10 – MARGE DE COMPENSATION FOURNIE (CMG) – DÉTAILS SUPPLÉMENTAIRES (I 6.10)</w:t>
      </w:r>
      <w:r w:rsidRPr="00BC256B">
        <w:rPr>
          <w:noProof/>
        </w:rPr>
        <w:tab/>
        <w:t>34</w:t>
      </w:r>
    </w:p>
    <w:p w14:paraId="1B11B356"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 xml:space="preserve">3.11.1. </w:t>
      </w:r>
      <w:r w:rsidRPr="00BC256B">
        <w:rPr>
          <w:rFonts w:ascii="Times New Roman" w:hAnsi="Times New Roman"/>
          <w:noProof/>
          <w:u w:val="single"/>
        </w:rPr>
        <w:t>Instructions concernant certaines positions</w:t>
      </w:r>
      <w:r w:rsidRPr="00BC256B">
        <w:rPr>
          <w:noProof/>
        </w:rPr>
        <w:tab/>
        <w:t>34</w:t>
      </w:r>
    </w:p>
    <w:p w14:paraId="1119B8B2"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3.12. I 06.11 – DÉFAUT DE CONTREPARTIE (TCD) – DÉTAILS SUPPLÉMEN</w:t>
      </w:r>
      <w:r w:rsidRPr="00BC256B">
        <w:rPr>
          <w:rFonts w:ascii="Times New Roman" w:hAnsi="Times New Roman"/>
          <w:noProof/>
          <w:u w:val="single"/>
        </w:rPr>
        <w:t>TAIRES (I 6.11)</w:t>
      </w:r>
      <w:r w:rsidRPr="00BC256B">
        <w:rPr>
          <w:noProof/>
        </w:rPr>
        <w:tab/>
        <w:t>35</w:t>
      </w:r>
    </w:p>
    <w:p w14:paraId="22CF3EF6"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3.12.1.</w:t>
      </w:r>
      <w:r w:rsidRPr="00BC256B">
        <w:rPr>
          <w:rFonts w:eastAsiaTheme="minorEastAsia"/>
          <w:noProof/>
          <w:lang w:val="fr-BE"/>
        </w:rPr>
        <w:tab/>
      </w:r>
      <w:r w:rsidRPr="00BC256B">
        <w:rPr>
          <w:rFonts w:ascii="Times New Roman" w:hAnsi="Times New Roman"/>
          <w:noProof/>
          <w:u w:val="single"/>
        </w:rPr>
        <w:t>Instructions concernant certaines positions</w:t>
      </w:r>
      <w:r w:rsidRPr="00BC256B">
        <w:rPr>
          <w:noProof/>
        </w:rPr>
        <w:tab/>
        <w:t>35</w:t>
      </w:r>
    </w:p>
    <w:p w14:paraId="03AF22F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3.13. I 06.12 – FLUX D’ÉCHANGES QUOTIDIENS (DTF) – DÉTAILS SUPPLÉMENTAIRES (I 6.12)</w:t>
      </w:r>
      <w:r w:rsidRPr="00BC256B">
        <w:rPr>
          <w:noProof/>
        </w:rPr>
        <w:tab/>
        <w:t>36</w:t>
      </w:r>
    </w:p>
    <w:p w14:paraId="70DDD930" w14:textId="77777777" w:rsidR="008C1FA5" w:rsidRPr="00BC256B" w:rsidRDefault="00BC256B">
      <w:pPr>
        <w:pStyle w:val="TOC2"/>
        <w:tabs>
          <w:tab w:val="left" w:pos="1320"/>
          <w:tab w:val="right" w:leader="dot" w:pos="9016"/>
        </w:tabs>
        <w:rPr>
          <w:rFonts w:eastAsiaTheme="minorEastAsia"/>
          <w:noProof/>
          <w:lang w:val="fr-BE"/>
        </w:rPr>
      </w:pPr>
      <w:r w:rsidRPr="00BC256B">
        <w:rPr>
          <w:rFonts w:ascii="Times New Roman" w:hAnsi="Times New Roman"/>
          <w:noProof/>
        </w:rPr>
        <w:t>3.13.1.</w:t>
      </w:r>
      <w:r w:rsidRPr="00BC256B">
        <w:rPr>
          <w:rFonts w:ascii="Times New Roman" w:hAnsi="Times New Roman"/>
          <w:noProof/>
        </w:rPr>
        <w:tab/>
        <w:t>Instructions concernant certaines positions</w:t>
      </w:r>
      <w:r w:rsidRPr="00BC256B">
        <w:rPr>
          <w:noProof/>
        </w:rPr>
        <w:tab/>
        <w:t>36</w:t>
      </w:r>
    </w:p>
    <w:p w14:paraId="09E1F6C2"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 xml:space="preserve">3.14. I 06.13 – VALEUR MOYENNE DES FLUX </w:t>
      </w:r>
      <w:r w:rsidRPr="00BC256B">
        <w:rPr>
          <w:rFonts w:ascii="Times New Roman" w:hAnsi="Times New Roman"/>
          <w:noProof/>
          <w:u w:val="single"/>
        </w:rPr>
        <w:t>D’ÉCHANGES QUOTIDIENS TOTAUX (I 6.13)</w:t>
      </w:r>
      <w:r w:rsidRPr="00BC256B">
        <w:rPr>
          <w:noProof/>
        </w:rPr>
        <w:tab/>
        <w:t>37</w:t>
      </w:r>
    </w:p>
    <w:p w14:paraId="3CC42EBE"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3.14.1. Instructions concernant certaines positions</w:t>
      </w:r>
      <w:r w:rsidRPr="00BC256B">
        <w:rPr>
          <w:noProof/>
        </w:rPr>
        <w:tab/>
        <w:t>37</w:t>
      </w:r>
    </w:p>
    <w:p w14:paraId="4D4206B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b/>
          <w:noProof/>
        </w:rPr>
        <w:t>4. DÉCLARATION DES RISQUES DE CONCENTRATION</w:t>
      </w:r>
      <w:r w:rsidRPr="00BC256B">
        <w:rPr>
          <w:noProof/>
        </w:rPr>
        <w:tab/>
        <w:t>38</w:t>
      </w:r>
    </w:p>
    <w:p w14:paraId="79077BB4"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4.1. Remarques générales</w:t>
      </w:r>
      <w:r w:rsidRPr="00BC256B">
        <w:rPr>
          <w:noProof/>
        </w:rPr>
        <w:tab/>
        <w:t>38</w:t>
      </w:r>
    </w:p>
    <w:p w14:paraId="2F21AC91"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4.2. I 07.00 – K-CON – DÉTAILS SUPPLÉMENTAIRES (I7)</w:t>
      </w:r>
      <w:r w:rsidRPr="00BC256B">
        <w:rPr>
          <w:noProof/>
        </w:rPr>
        <w:tab/>
        <w:t>39</w:t>
      </w:r>
    </w:p>
    <w:p w14:paraId="39E5FA09"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4.2.1.</w:t>
      </w:r>
      <w:r w:rsidRPr="00BC256B">
        <w:rPr>
          <w:rFonts w:ascii="Times New Roman" w:hAnsi="Times New Roman"/>
          <w:noProof/>
        </w:rPr>
        <w:tab/>
        <w:t>Instructions concernant</w:t>
      </w:r>
      <w:r w:rsidRPr="00BC256B">
        <w:rPr>
          <w:rFonts w:ascii="Times New Roman" w:hAnsi="Times New Roman"/>
          <w:noProof/>
        </w:rPr>
        <w:t xml:space="preserve"> certaines positions</w:t>
      </w:r>
      <w:r w:rsidRPr="00BC256B">
        <w:rPr>
          <w:noProof/>
        </w:rPr>
        <w:tab/>
        <w:t>39</w:t>
      </w:r>
    </w:p>
    <w:p w14:paraId="46B6106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4.3. I 08.01 – NIVEAU DE RISQUE DE CONCENTRATION – FONDS DE CLIENTS DÉTENUS (I 8.1)</w:t>
      </w:r>
      <w:r w:rsidRPr="00BC256B">
        <w:rPr>
          <w:noProof/>
        </w:rPr>
        <w:tab/>
        <w:t>40</w:t>
      </w:r>
    </w:p>
    <w:p w14:paraId="51A0E151"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4.3.1.</w:t>
      </w:r>
      <w:r w:rsidRPr="00BC256B">
        <w:rPr>
          <w:rFonts w:ascii="Times New Roman" w:hAnsi="Times New Roman"/>
          <w:noProof/>
        </w:rPr>
        <w:tab/>
        <w:t>Instructions par colonne</w:t>
      </w:r>
      <w:r w:rsidRPr="00BC256B">
        <w:rPr>
          <w:noProof/>
        </w:rPr>
        <w:tab/>
        <w:t>40</w:t>
      </w:r>
    </w:p>
    <w:p w14:paraId="23F0B15A"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4.4. I 08.02 – NIVEAU DE RISQUE DE CONCENTRATION – ACTIFS CONSERVÉS ET ADMINISTRÉS (I 8.2)</w:t>
      </w:r>
      <w:r w:rsidRPr="00BC256B">
        <w:rPr>
          <w:noProof/>
        </w:rPr>
        <w:tab/>
        <w:t>41</w:t>
      </w:r>
    </w:p>
    <w:p w14:paraId="63D083C3"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4.4.1.</w:t>
      </w:r>
      <w:r w:rsidRPr="00BC256B">
        <w:rPr>
          <w:rFonts w:ascii="Times New Roman" w:hAnsi="Times New Roman"/>
          <w:noProof/>
        </w:rPr>
        <w:tab/>
      </w:r>
      <w:r w:rsidRPr="00BC256B">
        <w:rPr>
          <w:rFonts w:ascii="Times New Roman" w:hAnsi="Times New Roman"/>
          <w:noProof/>
        </w:rPr>
        <w:t>Instructions par colonne</w:t>
      </w:r>
      <w:r w:rsidRPr="00BC256B">
        <w:rPr>
          <w:noProof/>
        </w:rPr>
        <w:tab/>
        <w:t>41</w:t>
      </w:r>
    </w:p>
    <w:p w14:paraId="515BC746"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lastRenderedPageBreak/>
        <w:t>4.5. I 08.03 – NIVEAU DE RISQUE DE CONCENTRATION – TOTAL DES PROPRES AVOIRS DÉPOSÉS (I 8.3)</w:t>
      </w:r>
      <w:r w:rsidRPr="00BC256B">
        <w:rPr>
          <w:noProof/>
        </w:rPr>
        <w:tab/>
        <w:t>42</w:t>
      </w:r>
    </w:p>
    <w:p w14:paraId="48F8B6CD"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4.5.1.</w:t>
      </w:r>
      <w:r w:rsidRPr="00BC256B">
        <w:rPr>
          <w:rFonts w:ascii="Times New Roman" w:hAnsi="Times New Roman"/>
          <w:noProof/>
        </w:rPr>
        <w:tab/>
        <w:t>Instructions par colonne</w:t>
      </w:r>
      <w:r w:rsidRPr="00BC256B">
        <w:rPr>
          <w:noProof/>
        </w:rPr>
        <w:tab/>
        <w:t>42</w:t>
      </w:r>
    </w:p>
    <w:p w14:paraId="08899F4F"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4.6. I 08.04 – NIVEAU DE RISQUE DE CONCENTRATION – TOTAL DES BÉNÉFICES (I 8.4)</w:t>
      </w:r>
      <w:r w:rsidRPr="00BC256B">
        <w:rPr>
          <w:noProof/>
        </w:rPr>
        <w:tab/>
        <w:t>43</w:t>
      </w:r>
    </w:p>
    <w:p w14:paraId="22B13C18"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4.6.1.</w:t>
      </w:r>
      <w:r w:rsidRPr="00BC256B">
        <w:rPr>
          <w:rFonts w:ascii="Times New Roman" w:hAnsi="Times New Roman"/>
          <w:noProof/>
        </w:rPr>
        <w:tab/>
        <w:t>Instructi</w:t>
      </w:r>
      <w:r w:rsidRPr="00BC256B">
        <w:rPr>
          <w:rFonts w:ascii="Times New Roman" w:hAnsi="Times New Roman"/>
          <w:noProof/>
        </w:rPr>
        <w:t>ons par colonne</w:t>
      </w:r>
      <w:r w:rsidRPr="00BC256B">
        <w:rPr>
          <w:noProof/>
        </w:rPr>
        <w:tab/>
        <w:t>43</w:t>
      </w:r>
    </w:p>
    <w:p w14:paraId="045B2682"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4.7. I 08.05 — EXPOSITIONS DU PORTEFEUILLE DE NÉGOCIATION (I 8.5)</w:t>
      </w:r>
      <w:r w:rsidRPr="00BC256B">
        <w:rPr>
          <w:noProof/>
        </w:rPr>
        <w:tab/>
        <w:t>44</w:t>
      </w:r>
    </w:p>
    <w:p w14:paraId="37E10F23"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4.7.1.</w:t>
      </w:r>
      <w:r w:rsidRPr="00BC256B">
        <w:rPr>
          <w:rFonts w:ascii="Times New Roman" w:hAnsi="Times New Roman"/>
          <w:noProof/>
        </w:rPr>
        <w:tab/>
        <w:t>Instructions par colonne</w:t>
      </w:r>
      <w:r w:rsidRPr="00BC256B">
        <w:rPr>
          <w:noProof/>
        </w:rPr>
        <w:tab/>
        <w:t>44</w:t>
      </w:r>
    </w:p>
    <w:p w14:paraId="500E773F"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rPr>
        <w:t>4.8. I 08.06 – ÉLÉMENTS DU PORTEFEUILLE HORS NÉGOCIATION ET ÉLÉMENTS DE HORS BILAN (I 8.6)</w:t>
      </w:r>
      <w:r w:rsidRPr="00BC256B">
        <w:rPr>
          <w:noProof/>
        </w:rPr>
        <w:tab/>
        <w:t>45</w:t>
      </w:r>
    </w:p>
    <w:p w14:paraId="56019B4E"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4.8.1.</w:t>
      </w:r>
      <w:r w:rsidRPr="00BC256B">
        <w:rPr>
          <w:rFonts w:ascii="Times New Roman" w:hAnsi="Times New Roman"/>
          <w:noProof/>
        </w:rPr>
        <w:tab/>
        <w:t>Instructions par colonne</w:t>
      </w:r>
      <w:r w:rsidRPr="00BC256B">
        <w:rPr>
          <w:noProof/>
        </w:rPr>
        <w:tab/>
        <w:t>45</w:t>
      </w:r>
    </w:p>
    <w:p w14:paraId="16AFDD00"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b/>
          <w:noProof/>
        </w:rPr>
        <w:t xml:space="preserve">5. </w:t>
      </w:r>
      <w:r w:rsidRPr="00BC256B">
        <w:rPr>
          <w:rFonts w:ascii="Times New Roman" w:hAnsi="Times New Roman"/>
          <w:b/>
          <w:noProof/>
        </w:rPr>
        <w:t>EXIGENCES DE LIQUIDITÉ</w:t>
      </w:r>
      <w:r w:rsidRPr="00BC256B">
        <w:rPr>
          <w:noProof/>
        </w:rPr>
        <w:tab/>
        <w:t>46</w:t>
      </w:r>
    </w:p>
    <w:p w14:paraId="73BDFE6C" w14:textId="77777777" w:rsidR="008C1FA5" w:rsidRPr="00BC256B" w:rsidRDefault="00BC256B">
      <w:pPr>
        <w:pStyle w:val="TOC2"/>
        <w:tabs>
          <w:tab w:val="right" w:leader="dot" w:pos="9016"/>
        </w:tabs>
        <w:rPr>
          <w:rFonts w:eastAsiaTheme="minorEastAsia"/>
          <w:noProof/>
          <w:lang w:val="fr-BE"/>
        </w:rPr>
      </w:pPr>
      <w:r w:rsidRPr="00BC256B">
        <w:rPr>
          <w:rFonts w:ascii="Times New Roman" w:hAnsi="Times New Roman"/>
          <w:noProof/>
          <w:u w:val="single"/>
        </w:rPr>
        <w:t>5.1 I 09.00 – EXIGENCES DE LIQUIDITÉ (I 9)</w:t>
      </w:r>
      <w:r w:rsidRPr="00BC256B">
        <w:rPr>
          <w:noProof/>
        </w:rPr>
        <w:tab/>
        <w:t>46</w:t>
      </w:r>
    </w:p>
    <w:p w14:paraId="5AD662A1" w14:textId="77777777" w:rsidR="008C1FA5" w:rsidRPr="00BC256B" w:rsidRDefault="00BC256B">
      <w:pPr>
        <w:pStyle w:val="TOC2"/>
        <w:tabs>
          <w:tab w:val="left" w:pos="1100"/>
          <w:tab w:val="right" w:leader="dot" w:pos="9016"/>
        </w:tabs>
        <w:rPr>
          <w:rFonts w:eastAsiaTheme="minorEastAsia"/>
          <w:noProof/>
          <w:lang w:val="fr-BE"/>
        </w:rPr>
      </w:pPr>
      <w:r w:rsidRPr="00BC256B">
        <w:rPr>
          <w:rFonts w:ascii="Times New Roman" w:hAnsi="Times New Roman"/>
          <w:noProof/>
        </w:rPr>
        <w:t>5.1.1.</w:t>
      </w:r>
      <w:r w:rsidRPr="00BC256B">
        <w:rPr>
          <w:rFonts w:ascii="Times New Roman" w:hAnsi="Times New Roman"/>
          <w:noProof/>
        </w:rPr>
        <w:tab/>
      </w:r>
      <w:r w:rsidRPr="00BC256B">
        <w:rPr>
          <w:rFonts w:ascii="Times New Roman" w:hAnsi="Times New Roman"/>
          <w:noProof/>
          <w:u w:val="single"/>
        </w:rPr>
        <w:t>Instructions concernant certaines positions</w:t>
      </w:r>
      <w:r w:rsidRPr="00BC256B">
        <w:rPr>
          <w:noProof/>
        </w:rPr>
        <w:tab/>
        <w:t>46</w:t>
      </w:r>
      <w:bookmarkStart w:id="6" w:name="_Toc360188322"/>
      <w:bookmarkStart w:id="7" w:name="_Toc473560870"/>
      <w:bookmarkStart w:id="8" w:name="_Toc7084155"/>
    </w:p>
    <w:p w14:paraId="6D929BD1" w14:textId="77777777" w:rsidR="008C1FA5" w:rsidRPr="00BC256B" w:rsidRDefault="008C1FA5">
      <w:pPr>
        <w:rPr>
          <w:lang w:val="fr-BE"/>
        </w:rPr>
      </w:pPr>
    </w:p>
    <w:p w14:paraId="2C709F42" w14:textId="77777777" w:rsidR="008C1FA5" w:rsidRPr="00BC256B" w:rsidRDefault="008C1FA5">
      <w:pPr>
        <w:rPr>
          <w:lang w:val="fr-BE"/>
        </w:rPr>
      </w:pPr>
    </w:p>
    <w:p w14:paraId="779A640A" w14:textId="77777777" w:rsidR="008C1FA5" w:rsidRPr="00BC256B" w:rsidRDefault="008C1FA5">
      <w:pPr>
        <w:rPr>
          <w:lang w:val="fr-BE"/>
        </w:rPr>
      </w:pPr>
    </w:p>
    <w:p w14:paraId="78FCD541" w14:textId="77777777" w:rsidR="008C1FA5" w:rsidRPr="00BC256B" w:rsidRDefault="00BC256B">
      <w:pPr>
        <w:pStyle w:val="Heading2"/>
        <w:rPr>
          <w:rFonts w:ascii="Times New Roman" w:hAnsi="Times New Roman"/>
        </w:rPr>
      </w:pPr>
      <w:bookmarkStart w:id="9" w:name="_Toc35795004"/>
      <w:bookmarkStart w:id="10" w:name="_Toc87024691"/>
      <w:r w:rsidRPr="00BC256B">
        <w:rPr>
          <w:rFonts w:ascii="Times New Roman" w:hAnsi="Times New Roman"/>
        </w:rPr>
        <w:t>PARTIE I: INSTRUCTIONS GÉNÉRALES</w:t>
      </w:r>
      <w:bookmarkEnd w:id="9"/>
      <w:bookmarkEnd w:id="10"/>
    </w:p>
    <w:p w14:paraId="168E281C" w14:textId="77777777" w:rsidR="008C1FA5" w:rsidRPr="00BC256B" w:rsidRDefault="00BC256B">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7024692"/>
      <w:r w:rsidRPr="00BC256B">
        <w:rPr>
          <w:rFonts w:ascii="Times New Roman" w:hAnsi="Times New Roman"/>
          <w:sz w:val="24"/>
          <w:szCs w:val="24"/>
        </w:rPr>
        <w:t>1. Structure et conventions</w:t>
      </w:r>
      <w:bookmarkEnd w:id="11"/>
      <w:bookmarkEnd w:id="12"/>
    </w:p>
    <w:p w14:paraId="66A579A2" w14:textId="77777777" w:rsidR="008C1FA5" w:rsidRPr="00BC256B" w:rsidRDefault="00BC256B">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7024693"/>
      <w:r w:rsidRPr="00BC256B">
        <w:rPr>
          <w:rFonts w:ascii="Times New Roman" w:hAnsi="Times New Roman"/>
          <w:sz w:val="24"/>
          <w:szCs w:val="24"/>
          <w:u w:val="single"/>
        </w:rPr>
        <w:t>1.1 Structure</w:t>
      </w:r>
      <w:bookmarkEnd w:id="13"/>
      <w:bookmarkEnd w:id="14"/>
    </w:p>
    <w:p w14:paraId="75383648" w14:textId="77777777" w:rsidR="008C1FA5" w:rsidRPr="00BC256B" w:rsidRDefault="00BC256B">
      <w:pPr>
        <w:spacing w:line="256" w:lineRule="auto"/>
        <w:ind w:left="284" w:hanging="284"/>
        <w:jc w:val="both"/>
        <w:rPr>
          <w:rFonts w:ascii="Times New Roman" w:hAnsi="Times New Roman" w:cs="Times New Roman"/>
        </w:rPr>
      </w:pPr>
      <w:r w:rsidRPr="00BC256B">
        <w:rPr>
          <w:rFonts w:ascii="Times New Roman" w:hAnsi="Times New Roman" w:cs="Times New Roman"/>
        </w:rPr>
        <w:t>1.</w:t>
      </w:r>
      <w:r w:rsidRPr="00BC256B">
        <w:rPr>
          <w:rFonts w:ascii="Times New Roman" w:hAnsi="Times New Roman" w:cs="Times New Roman"/>
        </w:rPr>
        <w:tab/>
      </w:r>
      <w:r w:rsidRPr="00BC256B">
        <w:rPr>
          <w:rFonts w:ascii="Times New Roman" w:hAnsi="Times New Roman"/>
        </w:rPr>
        <w:t xml:space="preserve">Globalement, le cadre s’articule autour des </w:t>
      </w:r>
      <w:r w:rsidRPr="00BC256B">
        <w:rPr>
          <w:rFonts w:ascii="Times New Roman" w:hAnsi="Times New Roman"/>
        </w:rPr>
        <w:t>cinq blocs d’informations suivants:</w:t>
      </w:r>
    </w:p>
    <w:p w14:paraId="088760B8"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a)</w:t>
      </w:r>
      <w:r w:rsidRPr="00BC256B">
        <w:rPr>
          <w:rFonts w:ascii="Times New Roman" w:hAnsi="Times New Roman" w:cs="Times New Roman"/>
        </w:rPr>
        <w:tab/>
      </w:r>
      <w:r w:rsidRPr="00BC256B">
        <w:rPr>
          <w:rFonts w:ascii="Times New Roman" w:hAnsi="Times New Roman"/>
        </w:rPr>
        <w:t>les fonds propres;</w:t>
      </w:r>
    </w:p>
    <w:p w14:paraId="4C96305C"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b)</w:t>
      </w:r>
      <w:r w:rsidRPr="00BC256B">
        <w:rPr>
          <w:rFonts w:ascii="Times New Roman" w:hAnsi="Times New Roman" w:cs="Times New Roman"/>
        </w:rPr>
        <w:tab/>
      </w:r>
      <w:r w:rsidRPr="00BC256B">
        <w:rPr>
          <w:rFonts w:ascii="Times New Roman" w:hAnsi="Times New Roman"/>
        </w:rPr>
        <w:t>le calcul des exigences de fonds propres;</w:t>
      </w:r>
    </w:p>
    <w:p w14:paraId="38CA1822"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c)</w:t>
      </w:r>
      <w:r w:rsidRPr="00BC256B">
        <w:rPr>
          <w:rFonts w:ascii="Times New Roman" w:hAnsi="Times New Roman" w:cs="Times New Roman"/>
        </w:rPr>
        <w:tab/>
      </w:r>
      <w:r w:rsidRPr="00BC256B">
        <w:rPr>
          <w:rFonts w:ascii="Times New Roman" w:hAnsi="Times New Roman"/>
        </w:rPr>
        <w:t>le calcul des exigences basées sur les frais généraux fixes;</w:t>
      </w:r>
    </w:p>
    <w:p w14:paraId="3C0C9A9B"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d)</w:t>
      </w:r>
      <w:r w:rsidRPr="00BC256B">
        <w:rPr>
          <w:rFonts w:ascii="Times New Roman" w:hAnsi="Times New Roman" w:cs="Times New Roman"/>
        </w:rPr>
        <w:tab/>
      </w:r>
      <w:r w:rsidRPr="00BC256B">
        <w:rPr>
          <w:rFonts w:ascii="Times New Roman" w:hAnsi="Times New Roman"/>
        </w:rPr>
        <w:t>le niveau d’activité au regard des conditions définies à l’article 12, paragraphe 1, d</w:t>
      </w:r>
      <w:r w:rsidRPr="00BC256B">
        <w:rPr>
          <w:rFonts w:ascii="Times New Roman" w:hAnsi="Times New Roman"/>
        </w:rPr>
        <w:t>u règlement (UE) 2019/2033;</w:t>
      </w:r>
    </w:p>
    <w:p w14:paraId="4A94065F"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e)</w:t>
      </w:r>
      <w:r w:rsidRPr="00BC256B">
        <w:rPr>
          <w:rFonts w:ascii="Times New Roman" w:hAnsi="Times New Roman" w:cs="Times New Roman"/>
        </w:rPr>
        <w:tab/>
      </w:r>
      <w:r w:rsidRPr="00BC256B">
        <w:rPr>
          <w:rFonts w:ascii="Times New Roman" w:hAnsi="Times New Roman"/>
        </w:rPr>
        <w:t>le calcul des exigences basées sur les facteurs K;</w:t>
      </w:r>
    </w:p>
    <w:p w14:paraId="2BC55117"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f)</w:t>
      </w:r>
      <w:r w:rsidRPr="00BC256B">
        <w:rPr>
          <w:rFonts w:ascii="Times New Roman" w:hAnsi="Times New Roman" w:cs="Times New Roman"/>
        </w:rPr>
        <w:tab/>
      </w:r>
      <w:r w:rsidRPr="00BC256B">
        <w:rPr>
          <w:rFonts w:ascii="Times New Roman" w:hAnsi="Times New Roman"/>
        </w:rPr>
        <w:t>les exigences basées sur le risque de concentration;</w:t>
      </w:r>
    </w:p>
    <w:p w14:paraId="4BC4AC62" w14:textId="77777777" w:rsidR="008C1FA5" w:rsidRPr="00BC256B" w:rsidRDefault="00BC256B">
      <w:pPr>
        <w:spacing w:line="256" w:lineRule="auto"/>
        <w:ind w:left="1728" w:hanging="648"/>
        <w:jc w:val="both"/>
        <w:rPr>
          <w:rFonts w:ascii="Times New Roman" w:hAnsi="Times New Roman" w:cs="Times New Roman"/>
        </w:rPr>
      </w:pPr>
      <w:r w:rsidRPr="00BC256B">
        <w:rPr>
          <w:rFonts w:ascii="Times New Roman" w:hAnsi="Times New Roman" w:cs="Times New Roman"/>
        </w:rPr>
        <w:t>g)</w:t>
      </w:r>
      <w:r w:rsidRPr="00BC256B">
        <w:rPr>
          <w:rFonts w:ascii="Times New Roman" w:hAnsi="Times New Roman" w:cs="Times New Roman"/>
        </w:rPr>
        <w:tab/>
      </w:r>
      <w:r w:rsidRPr="00BC256B">
        <w:rPr>
          <w:rFonts w:ascii="Times New Roman" w:hAnsi="Times New Roman"/>
        </w:rPr>
        <w:t>les exigences de liquidité.</w:t>
      </w:r>
    </w:p>
    <w:p w14:paraId="5315FAF3" w14:textId="77777777" w:rsidR="008C1FA5" w:rsidRPr="00BC256B" w:rsidRDefault="00BC256B">
      <w:pPr>
        <w:pStyle w:val="InstructionsText2"/>
        <w:numPr>
          <w:ilvl w:val="0"/>
          <w:numId w:val="0"/>
        </w:numPr>
        <w:ind w:left="360" w:hanging="360"/>
      </w:pPr>
      <w:r w:rsidRPr="00BC256B">
        <w:t>2.</w:t>
      </w:r>
      <w:r w:rsidRPr="00BC256B">
        <w:tab/>
        <w:t>Des références légales sont fournies pour chaque modèle. Cette partie du présent règ</w:t>
      </w:r>
      <w:r w:rsidRPr="00BC256B">
        <w:t>lement contient des informations détaillées sur quelques aspects plus généraux de la déclaration de chaque bloc de modèles, des instructions concernant certaines positions, ainsi que des règles de validation.</w:t>
      </w:r>
    </w:p>
    <w:p w14:paraId="0D4923D5" w14:textId="77777777" w:rsidR="008C1FA5" w:rsidRPr="00BC256B" w:rsidRDefault="00BC256B">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7024694"/>
      <w:r w:rsidRPr="00BC256B">
        <w:rPr>
          <w:rFonts w:ascii="Times New Roman" w:hAnsi="Times New Roman"/>
          <w:sz w:val="24"/>
          <w:szCs w:val="24"/>
          <w:u w:val="single"/>
        </w:rPr>
        <w:lastRenderedPageBreak/>
        <w:t>1.2 Convention de numérotation</w:t>
      </w:r>
      <w:bookmarkEnd w:id="15"/>
      <w:bookmarkEnd w:id="16"/>
    </w:p>
    <w:p w14:paraId="49F056E7" w14:textId="77777777" w:rsidR="008C1FA5" w:rsidRPr="00BC256B" w:rsidRDefault="00BC256B">
      <w:pPr>
        <w:pStyle w:val="InstructionsText2"/>
        <w:numPr>
          <w:ilvl w:val="0"/>
          <w:numId w:val="0"/>
        </w:numPr>
        <w:ind w:left="360" w:hanging="360"/>
      </w:pPr>
      <w:r w:rsidRPr="00BC256B">
        <w:t>3.</w:t>
      </w:r>
      <w:r w:rsidRPr="00BC256B">
        <w:tab/>
        <w:t>Lorsqu’il est</w:t>
      </w:r>
      <w:r w:rsidRPr="00BC256B">
        <w:t xml:space="preserve"> fait référence à des colonnes, des lignes ou des cellules du modèle, ce sont les conventions des points 4 à 7 qui s’appliquent. Ces codes numériques sont couramment utilisés dans les règles de validation.</w:t>
      </w:r>
    </w:p>
    <w:p w14:paraId="2442C26C" w14:textId="77777777" w:rsidR="008C1FA5" w:rsidRPr="00BC256B" w:rsidRDefault="00BC256B">
      <w:pPr>
        <w:pStyle w:val="InstructionsText2"/>
        <w:numPr>
          <w:ilvl w:val="0"/>
          <w:numId w:val="0"/>
        </w:numPr>
        <w:ind w:left="360" w:hanging="360"/>
      </w:pPr>
      <w:r w:rsidRPr="00BC256B">
        <w:t>4.</w:t>
      </w:r>
      <w:r w:rsidRPr="00BC256B">
        <w:tab/>
        <w:t xml:space="preserve">Les instructions appliquent le système </w:t>
      </w:r>
      <w:r w:rsidRPr="00BC256B">
        <w:t>général de notation suivant: {modèle; ligne; colonne}.</w:t>
      </w:r>
    </w:p>
    <w:p w14:paraId="30296F4B" w14:textId="77777777" w:rsidR="008C1FA5" w:rsidRPr="00BC256B" w:rsidRDefault="00BC256B">
      <w:pPr>
        <w:pStyle w:val="InstructionsText2"/>
        <w:numPr>
          <w:ilvl w:val="0"/>
          <w:numId w:val="0"/>
        </w:numPr>
        <w:ind w:left="360" w:hanging="360"/>
      </w:pPr>
      <w:r w:rsidRPr="00BC256B">
        <w:t>5.</w:t>
      </w:r>
      <w:r w:rsidRPr="00BC256B">
        <w:tab/>
        <w:t>En cas de validations à l’intérieur d’un modèle, pour lesquelles seuls les points de données de ce modèle sont utilisés, les notations ne mentionnent pas le modèle: {ligne; colonne}.</w:t>
      </w:r>
    </w:p>
    <w:p w14:paraId="409F63B7" w14:textId="77777777" w:rsidR="008C1FA5" w:rsidRPr="00BC256B" w:rsidRDefault="00BC256B">
      <w:pPr>
        <w:pStyle w:val="InstructionsText2"/>
        <w:numPr>
          <w:ilvl w:val="0"/>
          <w:numId w:val="0"/>
        </w:numPr>
        <w:ind w:left="360" w:hanging="360"/>
      </w:pPr>
      <w:r w:rsidRPr="00BC256B">
        <w:t>6.</w:t>
      </w:r>
      <w:r w:rsidRPr="00BC256B">
        <w:tab/>
        <w:t xml:space="preserve">Dans le cas </w:t>
      </w:r>
      <w:r w:rsidRPr="00BC256B">
        <w:t>des modèles constitués d’une colonne unique, il est fait référence aux seules lignes. {modèle; ligne}</w:t>
      </w:r>
    </w:p>
    <w:p w14:paraId="3DC14AA8" w14:textId="77777777" w:rsidR="008C1FA5" w:rsidRPr="00BC256B" w:rsidRDefault="00BC256B">
      <w:pPr>
        <w:pStyle w:val="InstructionsText2"/>
        <w:numPr>
          <w:ilvl w:val="0"/>
          <w:numId w:val="0"/>
        </w:numPr>
        <w:ind w:left="360" w:hanging="360"/>
      </w:pPr>
      <w:r w:rsidRPr="00BC256B">
        <w:t>7.</w:t>
      </w:r>
      <w:r w:rsidRPr="00BC256B">
        <w:tab/>
        <w:t>Un astérisque indique que la validation porte sur les lignes ou les colonnes mentionnées auparavant.</w:t>
      </w:r>
    </w:p>
    <w:p w14:paraId="3B59ED71" w14:textId="77777777" w:rsidR="008C1FA5" w:rsidRPr="00BC256B" w:rsidRDefault="00BC256B">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7024695"/>
      <w:r w:rsidRPr="00BC256B">
        <w:rPr>
          <w:rFonts w:ascii="Times New Roman" w:hAnsi="Times New Roman"/>
          <w:sz w:val="24"/>
          <w:szCs w:val="24"/>
          <w:u w:val="single"/>
        </w:rPr>
        <w:t>1.3 Convention de signe</w:t>
      </w:r>
      <w:bookmarkEnd w:id="17"/>
      <w:bookmarkEnd w:id="18"/>
    </w:p>
    <w:p w14:paraId="03F6DCCC" w14:textId="77777777" w:rsidR="008C1FA5" w:rsidRPr="00BC256B" w:rsidRDefault="00BC256B">
      <w:pPr>
        <w:pStyle w:val="InstructionsText2"/>
        <w:numPr>
          <w:ilvl w:val="0"/>
          <w:numId w:val="0"/>
        </w:numPr>
        <w:ind w:left="360" w:hanging="360"/>
      </w:pPr>
      <w:r w:rsidRPr="00BC256B">
        <w:t>8.</w:t>
      </w:r>
      <w:r w:rsidRPr="00BC256B">
        <w:tab/>
        <w:t>Tout montant augmentant</w:t>
      </w:r>
      <w:r w:rsidRPr="00BC256B">
        <w:t xml:space="preserve"> les fonds propres ou les exigences de fonds propres doit être déclaré en tant que valeur positive. Inversement, tout montant réduisant le total des fonds propres ou des exigences de fonds propres doit être déclaré en tant que valeur négative. Si l’intitul</w:t>
      </w:r>
      <w:r w:rsidRPr="00BC256B">
        <w:t>é d’un élément est précédé d’un signe négatif (-), aucune valeur positive n’est censée être déclarée pour cet élément.</w:t>
      </w:r>
    </w:p>
    <w:p w14:paraId="3081424C" w14:textId="77777777" w:rsidR="008C1FA5" w:rsidRPr="00BC256B" w:rsidRDefault="00BC256B">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7024696"/>
      <w:r w:rsidRPr="00BC256B">
        <w:rPr>
          <w:rFonts w:ascii="Times New Roman" w:hAnsi="Times New Roman"/>
          <w:sz w:val="24"/>
          <w:szCs w:val="24"/>
          <w:u w:val="single"/>
        </w:rPr>
        <w:t>1.4 Consolidation prudentielle</w:t>
      </w:r>
      <w:bookmarkEnd w:id="19"/>
      <w:bookmarkEnd w:id="20"/>
    </w:p>
    <w:p w14:paraId="69D91C52" w14:textId="77777777" w:rsidR="008C1FA5" w:rsidRPr="00BC256B" w:rsidRDefault="00BC256B">
      <w:pPr>
        <w:spacing w:line="256" w:lineRule="auto"/>
        <w:ind w:left="360" w:hanging="360"/>
        <w:jc w:val="both"/>
        <w:rPr>
          <w:rFonts w:ascii="Times New Roman" w:hAnsi="Times New Roman" w:cs="Times New Roman"/>
          <w:sz w:val="24"/>
        </w:rPr>
      </w:pPr>
      <w:r w:rsidRPr="00BC256B">
        <w:rPr>
          <w:rFonts w:ascii="Times New Roman" w:hAnsi="Times New Roman" w:cs="Times New Roman"/>
          <w:sz w:val="24"/>
        </w:rPr>
        <w:t>9.</w:t>
      </w:r>
      <w:r w:rsidRPr="00BC256B">
        <w:rPr>
          <w:rFonts w:ascii="Times New Roman" w:hAnsi="Times New Roman" w:cs="Times New Roman"/>
          <w:sz w:val="24"/>
        </w:rPr>
        <w:tab/>
      </w:r>
      <w:r w:rsidRPr="00BC256B">
        <w:rPr>
          <w:rFonts w:ascii="Times New Roman" w:hAnsi="Times New Roman"/>
          <w:sz w:val="24"/>
        </w:rPr>
        <w:t>À moins qu’une exemption n’ait été accordée, le règlement (UE) 2019/2033 et la directive (UE) 2019/2034</w:t>
      </w:r>
      <w:r w:rsidRPr="00BC256B">
        <w:rPr>
          <w:rFonts w:ascii="Times New Roman" w:hAnsi="Times New Roman"/>
          <w:sz w:val="24"/>
        </w:rPr>
        <w:t xml:space="preserve"> s’appliquent aux entreprises d’investissement sur base individuelle et sur base consolidée, y compris les exigences en matière de déclaration définies dans la septième partie du règlement (UE) 2019/2033. Selon la définition de l’article 4, paragraphe 1, p</w:t>
      </w:r>
      <w:r w:rsidRPr="00BC256B">
        <w:rPr>
          <w:rFonts w:ascii="Times New Roman" w:hAnsi="Times New Roman"/>
          <w:sz w:val="24"/>
        </w:rPr>
        <w:t>oint 11), du règlement (UE) 2019/2033, une situation consolidée est le résultat de l’application des exigences du règlement (UE) 2019/2033 à un groupe d’entreprises d’investissement comme si les entités du groupe formaient une seule et même entreprise d’in</w:t>
      </w:r>
      <w:r w:rsidRPr="00BC256B">
        <w:rPr>
          <w:rFonts w:ascii="Times New Roman" w:hAnsi="Times New Roman"/>
          <w:sz w:val="24"/>
        </w:rPr>
        <w:t>vestissement. Après application de l’article 7 du règlement (UE) 2019/2033, les groupes d’entreprises d’investissement doivent satisfaire aux exigences de déclaration dans tous les modèles, en fonction de leur périmètre de consolidation prudentielle (qui p</w:t>
      </w:r>
      <w:r w:rsidRPr="00BC256B">
        <w:rPr>
          <w:rFonts w:ascii="Times New Roman" w:hAnsi="Times New Roman"/>
          <w:sz w:val="24"/>
        </w:rPr>
        <w:t>eut être différent de leur périmètre de consolidation comptable).</w:t>
      </w:r>
    </w:p>
    <w:p w14:paraId="49207744" w14:textId="77777777" w:rsidR="008C1FA5" w:rsidRPr="00BC256B" w:rsidRDefault="00BC256B">
      <w:pPr>
        <w:pStyle w:val="Heading2"/>
        <w:rPr>
          <w:rFonts w:ascii="Times New Roman" w:hAnsi="Times New Roman"/>
        </w:rPr>
      </w:pPr>
      <w:bookmarkStart w:id="21" w:name="_Toc87024697"/>
      <w:r w:rsidRPr="00BC256B">
        <w:rPr>
          <w:rFonts w:ascii="Times New Roman" w:hAnsi="Times New Roman"/>
        </w:rPr>
        <w:t>PARTIE II: INSTRUCTIONS CONCERNANT LES MODÈLES</w:t>
      </w:r>
      <w:bookmarkEnd w:id="6"/>
      <w:bookmarkEnd w:id="7"/>
      <w:bookmarkEnd w:id="8"/>
      <w:bookmarkEnd w:id="21"/>
    </w:p>
    <w:p w14:paraId="7D8C40BE" w14:textId="77777777" w:rsidR="008C1FA5" w:rsidRPr="00BC256B" w:rsidRDefault="00BC256B">
      <w:pPr>
        <w:pStyle w:val="Instructionsberschrift2"/>
        <w:ind w:left="357" w:hanging="357"/>
        <w:rPr>
          <w:rFonts w:ascii="Times New Roman" w:hAnsi="Times New Roman" w:cs="Times New Roman"/>
          <w:b/>
          <w:sz w:val="24"/>
        </w:rPr>
      </w:pPr>
      <w:bookmarkStart w:id="22" w:name="_Toc35795012"/>
      <w:bookmarkStart w:id="23" w:name="_Toc87024698"/>
      <w:r w:rsidRPr="00BC256B">
        <w:rPr>
          <w:rFonts w:ascii="Times New Roman" w:hAnsi="Times New Roman"/>
          <w:b/>
          <w:sz w:val="24"/>
          <w:u w:val="none"/>
        </w:rPr>
        <w:t>1. FONDS PROPRES: NIVEAU, COMPOSITION, EXIGENCES ET CALCUL</w:t>
      </w:r>
      <w:bookmarkEnd w:id="22"/>
      <w:bookmarkEnd w:id="23"/>
    </w:p>
    <w:p w14:paraId="089CBF73" w14:textId="77777777" w:rsidR="008C1FA5" w:rsidRPr="00BC256B" w:rsidRDefault="00BC256B">
      <w:pPr>
        <w:pStyle w:val="Instructionsberschrift2"/>
        <w:ind w:left="357" w:hanging="357"/>
        <w:rPr>
          <w:rFonts w:ascii="Times New Roman" w:hAnsi="Times New Roman" w:cs="Times New Roman"/>
          <w:sz w:val="24"/>
        </w:rPr>
      </w:pPr>
      <w:bookmarkStart w:id="24" w:name="_Toc35795013"/>
      <w:bookmarkStart w:id="25" w:name="_Toc87024699"/>
      <w:r w:rsidRPr="00BC256B">
        <w:rPr>
          <w:rFonts w:ascii="Times New Roman" w:hAnsi="Times New Roman"/>
          <w:sz w:val="24"/>
          <w:u w:val="none"/>
        </w:rPr>
        <w:t>1.1 Remarques générales</w:t>
      </w:r>
      <w:bookmarkEnd w:id="24"/>
      <w:bookmarkEnd w:id="25"/>
    </w:p>
    <w:p w14:paraId="00694D2A"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10.</w:t>
      </w:r>
      <w:r w:rsidRPr="00BC256B">
        <w:rPr>
          <w:rFonts w:ascii="Times New Roman" w:hAnsi="Times New Roman" w:cs="Times New Roman"/>
          <w:sz w:val="24"/>
        </w:rPr>
        <w:tab/>
      </w:r>
      <w:r w:rsidRPr="00BC256B">
        <w:rPr>
          <w:rFonts w:ascii="Times New Roman" w:hAnsi="Times New Roman"/>
          <w:sz w:val="24"/>
        </w:rPr>
        <w:t xml:space="preserve">La section consacrée à la vue d’ensemble des fonds </w:t>
      </w:r>
      <w:r w:rsidRPr="00BC256B">
        <w:rPr>
          <w:rFonts w:ascii="Times New Roman" w:hAnsi="Times New Roman"/>
          <w:sz w:val="24"/>
        </w:rPr>
        <w:t>propres contient des informations sur les fonds propres que détient l’entreprise d’investissement et sur ses exigences de fonds propres. Elle comporte deux modèles:</w:t>
      </w:r>
    </w:p>
    <w:p w14:paraId="62C1E214" w14:textId="77777777" w:rsidR="008C1FA5" w:rsidRPr="00BC256B" w:rsidRDefault="00BC256B">
      <w:pPr>
        <w:spacing w:line="256" w:lineRule="auto"/>
        <w:ind w:left="1728" w:hanging="648"/>
        <w:jc w:val="both"/>
        <w:rPr>
          <w:rFonts w:ascii="Times New Roman" w:hAnsi="Times New Roman" w:cs="Times New Roman"/>
          <w:sz w:val="24"/>
        </w:rPr>
      </w:pPr>
      <w:r w:rsidRPr="00BC256B">
        <w:rPr>
          <w:rFonts w:ascii="Times New Roman" w:hAnsi="Times New Roman" w:cs="Times New Roman"/>
          <w:sz w:val="24"/>
        </w:rPr>
        <w:lastRenderedPageBreak/>
        <w:t>a)</w:t>
      </w:r>
      <w:r w:rsidRPr="00BC256B">
        <w:rPr>
          <w:rFonts w:ascii="Times New Roman" w:hAnsi="Times New Roman" w:cs="Times New Roman"/>
          <w:sz w:val="24"/>
        </w:rPr>
        <w:tab/>
      </w:r>
      <w:r w:rsidRPr="00BC256B">
        <w:rPr>
          <w:rFonts w:ascii="Times New Roman" w:hAnsi="Times New Roman"/>
          <w:sz w:val="24"/>
        </w:rPr>
        <w:t>le modèle I 01.01 concerne la composition des fonds propres détenus par l’entreprise d’i</w:t>
      </w:r>
      <w:r w:rsidRPr="00BC256B">
        <w:rPr>
          <w:rFonts w:ascii="Times New Roman" w:hAnsi="Times New Roman"/>
          <w:sz w:val="24"/>
        </w:rPr>
        <w:t>nvestissement: fonds propres de base de catégorie 1 (CET1), fonds propres additionnels de catégorie 1 (AT1) et fonds propres de catégorie 2 (T2);</w:t>
      </w:r>
    </w:p>
    <w:p w14:paraId="430AFE58" w14:textId="77777777" w:rsidR="008C1FA5" w:rsidRPr="00BC256B" w:rsidRDefault="00BC256B">
      <w:pPr>
        <w:spacing w:line="256" w:lineRule="auto"/>
        <w:ind w:left="1728" w:hanging="648"/>
        <w:jc w:val="both"/>
        <w:rPr>
          <w:rFonts w:ascii="Times New Roman" w:hAnsi="Times New Roman" w:cs="Times New Roman"/>
          <w:sz w:val="24"/>
        </w:rPr>
      </w:pPr>
      <w:r w:rsidRPr="00BC256B">
        <w:rPr>
          <w:rFonts w:ascii="Times New Roman" w:hAnsi="Times New Roman" w:cs="Times New Roman"/>
          <w:sz w:val="24"/>
        </w:rPr>
        <w:t>b)</w:t>
      </w:r>
      <w:r w:rsidRPr="00BC256B">
        <w:rPr>
          <w:rFonts w:ascii="Times New Roman" w:hAnsi="Times New Roman" w:cs="Times New Roman"/>
          <w:sz w:val="24"/>
        </w:rPr>
        <w:tab/>
      </w:r>
      <w:r w:rsidRPr="00BC256B">
        <w:rPr>
          <w:rFonts w:ascii="Times New Roman" w:hAnsi="Times New Roman"/>
          <w:sz w:val="24"/>
        </w:rPr>
        <w:t>les modèles I 02.01 et I 02.02 contiennent le total des exigences de fonds propres, l’exigence de capital m</w:t>
      </w:r>
      <w:r w:rsidRPr="00BC256B">
        <w:rPr>
          <w:rFonts w:ascii="Times New Roman" w:hAnsi="Times New Roman"/>
          <w:sz w:val="24"/>
        </w:rPr>
        <w:t>inimum permanent, l’exigence basée sur les frais généraux fixes et l’exigence totale basée sur les facteurs K, les éventuelles exigences de fonds propres supplémentaires et des orientations les concernant, ainsi que les exigences et ratios de fonds propres</w:t>
      </w:r>
      <w:r w:rsidRPr="00BC256B">
        <w:rPr>
          <w:rFonts w:ascii="Times New Roman" w:hAnsi="Times New Roman"/>
          <w:sz w:val="24"/>
        </w:rPr>
        <w:t xml:space="preserve"> transitoires;</w:t>
      </w:r>
    </w:p>
    <w:p w14:paraId="17CC5F78" w14:textId="77777777" w:rsidR="008C1FA5" w:rsidRPr="00BC256B" w:rsidRDefault="00BC256B">
      <w:pPr>
        <w:spacing w:line="256" w:lineRule="auto"/>
        <w:ind w:left="1728" w:hanging="648"/>
        <w:jc w:val="both"/>
        <w:rPr>
          <w:rFonts w:ascii="Times New Roman" w:hAnsi="Times New Roman" w:cs="Times New Roman"/>
          <w:sz w:val="24"/>
        </w:rPr>
      </w:pPr>
      <w:r w:rsidRPr="00BC256B">
        <w:rPr>
          <w:rFonts w:ascii="Times New Roman" w:hAnsi="Times New Roman" w:cs="Times New Roman"/>
          <w:sz w:val="24"/>
        </w:rPr>
        <w:t>c)</w:t>
      </w:r>
      <w:r w:rsidRPr="00BC256B">
        <w:rPr>
          <w:rFonts w:ascii="Times New Roman" w:hAnsi="Times New Roman" w:cs="Times New Roman"/>
          <w:sz w:val="24"/>
        </w:rPr>
        <w:tab/>
      </w:r>
      <w:r w:rsidRPr="00BC256B">
        <w:rPr>
          <w:rFonts w:ascii="Times New Roman" w:hAnsi="Times New Roman"/>
          <w:sz w:val="24"/>
        </w:rPr>
        <w:t>le modèle I 03.01 comprend des informations sur le calcul de l’exigence basée sur les frais généraux fixes;</w:t>
      </w:r>
    </w:p>
    <w:p w14:paraId="16774ED8" w14:textId="77777777" w:rsidR="008C1FA5" w:rsidRPr="00BC256B" w:rsidRDefault="00BC256B">
      <w:pPr>
        <w:spacing w:line="256" w:lineRule="auto"/>
        <w:ind w:left="1728" w:hanging="648"/>
        <w:jc w:val="both"/>
        <w:rPr>
          <w:rFonts w:ascii="Times New Roman" w:hAnsi="Times New Roman" w:cs="Times New Roman"/>
          <w:sz w:val="24"/>
        </w:rPr>
      </w:pPr>
      <w:r w:rsidRPr="00BC256B">
        <w:rPr>
          <w:rFonts w:ascii="Times New Roman" w:hAnsi="Times New Roman" w:cs="Times New Roman"/>
          <w:sz w:val="24"/>
        </w:rPr>
        <w:t>d)</w:t>
      </w:r>
      <w:r w:rsidRPr="00BC256B">
        <w:rPr>
          <w:rFonts w:ascii="Times New Roman" w:hAnsi="Times New Roman" w:cs="Times New Roman"/>
          <w:sz w:val="24"/>
        </w:rPr>
        <w:tab/>
      </w:r>
      <w:r w:rsidRPr="00BC256B">
        <w:rPr>
          <w:rFonts w:ascii="Times New Roman" w:hAnsi="Times New Roman"/>
          <w:sz w:val="24"/>
        </w:rPr>
        <w:t>le modèle I 04.00 contient les exigences relatives aux facteurs K et le montant des facteurs.</w:t>
      </w:r>
    </w:p>
    <w:p w14:paraId="7A187C8C"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11.</w:t>
      </w:r>
      <w:r w:rsidRPr="00BC256B">
        <w:rPr>
          <w:rFonts w:ascii="Times New Roman" w:hAnsi="Times New Roman" w:cs="Times New Roman"/>
          <w:sz w:val="24"/>
        </w:rPr>
        <w:tab/>
      </w:r>
      <w:r w:rsidRPr="00BC256B">
        <w:rPr>
          <w:rFonts w:ascii="Times New Roman" w:hAnsi="Times New Roman"/>
          <w:sz w:val="24"/>
        </w:rPr>
        <w:t>Les éléments à déclarer selon</w:t>
      </w:r>
      <w:r w:rsidRPr="00BC256B">
        <w:rPr>
          <w:rFonts w:ascii="Times New Roman" w:hAnsi="Times New Roman"/>
          <w:sz w:val="24"/>
        </w:rPr>
        <w:t xml:space="preserve"> ces modèles le sont sans ajustements transitoires. Cela signifie que ces chiffres (sauf lorsque l’exigence de fonds propres transitoire est expressément indiquée) sont calculés conformément aux dispositions finales (c’est-à-dire comme s’il n’existait pas </w:t>
      </w:r>
      <w:r w:rsidRPr="00BC256B">
        <w:rPr>
          <w:rFonts w:ascii="Times New Roman" w:hAnsi="Times New Roman"/>
          <w:sz w:val="24"/>
        </w:rPr>
        <w:t>de dispositions transitoires).</w:t>
      </w:r>
    </w:p>
    <w:p w14:paraId="186EFD06" w14:textId="77777777" w:rsidR="008C1FA5" w:rsidRPr="00BC256B" w:rsidRDefault="00BC256B">
      <w:pPr>
        <w:pStyle w:val="Instructionsberschrift2"/>
        <w:ind w:left="357" w:hanging="357"/>
        <w:rPr>
          <w:rFonts w:ascii="Times New Roman" w:hAnsi="Times New Roman" w:cs="Times New Roman"/>
          <w:sz w:val="24"/>
        </w:rPr>
      </w:pPr>
      <w:bookmarkStart w:id="26" w:name="_Toc35795014"/>
      <w:bookmarkStart w:id="27" w:name="_Toc87024700"/>
      <w:r w:rsidRPr="00BC256B">
        <w:rPr>
          <w:rFonts w:ascii="Times New Roman" w:hAnsi="Times New Roman"/>
          <w:sz w:val="24"/>
        </w:rPr>
        <w:t>1.2. I 01.01 – COMPOSITION DES FONDS PROPRES (I 1)</w:t>
      </w:r>
      <w:bookmarkEnd w:id="26"/>
      <w:bookmarkEnd w:id="27"/>
    </w:p>
    <w:p w14:paraId="74ED93E3"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7024701"/>
      <w:r w:rsidRPr="00BC256B">
        <w:rPr>
          <w:rFonts w:ascii="Times New Roman" w:hAnsi="Times New Roman"/>
          <w:sz w:val="24"/>
          <w:szCs w:val="24"/>
        </w:rPr>
        <w:t>1.2.1.</w:t>
      </w:r>
      <w:r w:rsidRPr="00BC256B">
        <w:tab/>
      </w:r>
      <w:r w:rsidRPr="00BC256B">
        <w:rPr>
          <w:rFonts w:ascii="Times New Roman" w:hAnsi="Times New Roman"/>
          <w:sz w:val="24"/>
          <w:szCs w:val="24"/>
          <w:u w:val="single"/>
        </w:rPr>
        <w:t>Instructions concernant certaines positions</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33EC1785" w14:textId="77777777">
        <w:tc>
          <w:tcPr>
            <w:tcW w:w="1129" w:type="dxa"/>
            <w:shd w:val="clear" w:color="auto" w:fill="D9D9D9"/>
          </w:tcPr>
          <w:p w14:paraId="594F5AF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rPr>
              <w:t>Ligne</w:t>
            </w:r>
          </w:p>
        </w:tc>
        <w:tc>
          <w:tcPr>
            <w:tcW w:w="7620" w:type="dxa"/>
            <w:shd w:val="clear" w:color="auto" w:fill="D9D9D9"/>
          </w:tcPr>
          <w:p w14:paraId="54614DA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rPr>
              <w:t>Références légales et instructions</w:t>
            </w:r>
          </w:p>
        </w:tc>
      </w:tr>
      <w:tr w:rsidR="008C1FA5" w:rsidRPr="00BC256B" w14:paraId="08F841DF" w14:textId="77777777">
        <w:tc>
          <w:tcPr>
            <w:tcW w:w="1129" w:type="dxa"/>
          </w:tcPr>
          <w:p w14:paraId="034F10B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0010</w:t>
            </w:r>
          </w:p>
        </w:tc>
        <w:tc>
          <w:tcPr>
            <w:tcW w:w="7620" w:type="dxa"/>
          </w:tcPr>
          <w:p w14:paraId="0B416705"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FONDS PROPRES</w:t>
            </w:r>
          </w:p>
          <w:p w14:paraId="6719EE2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 xml:space="preserve">Article 9, paragraphe 1, du règlement (UE) </w:t>
            </w:r>
            <w:r w:rsidRPr="00BC256B">
              <w:rPr>
                <w:rFonts w:ascii="Times New Roman" w:hAnsi="Times New Roman"/>
                <w:bCs/>
              </w:rPr>
              <w:t>2019/2033.</w:t>
            </w:r>
          </w:p>
          <w:p w14:paraId="68D3307E"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Les fonds propres d’une entreprise d’investissement correspondent à la somme</w:t>
            </w:r>
            <w:r w:rsidRPr="00BC256B">
              <w:rPr>
                <w:rStyle w:val="FormatvorlageInstructionsTabelleText"/>
                <w:rFonts w:ascii="Times New Roman" w:hAnsi="Times New Roman"/>
              </w:rPr>
              <w:t xml:space="preserve"> </w:t>
            </w:r>
            <w:r w:rsidRPr="00BC256B">
              <w:rPr>
                <w:rStyle w:val="FormatvorlageInstructionsTabelleText"/>
                <w:rFonts w:ascii="Times New Roman" w:hAnsi="Times New Roman"/>
                <w:sz w:val="24"/>
              </w:rPr>
              <w:t>de ses fonds propres de catégorie 1 et de ses fonds propres de catégorie 2.</w:t>
            </w:r>
          </w:p>
        </w:tc>
      </w:tr>
      <w:tr w:rsidR="008C1FA5" w:rsidRPr="00BC256B" w14:paraId="7735F176" w14:textId="77777777">
        <w:tc>
          <w:tcPr>
            <w:tcW w:w="1129" w:type="dxa"/>
          </w:tcPr>
          <w:p w14:paraId="3703B14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0020</w:t>
            </w:r>
          </w:p>
        </w:tc>
        <w:tc>
          <w:tcPr>
            <w:tcW w:w="7620" w:type="dxa"/>
          </w:tcPr>
          <w:p w14:paraId="23B58DA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FONDS PROPRES DE CATÉGORIE 1</w:t>
            </w:r>
          </w:p>
          <w:p w14:paraId="0708C9E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 xml:space="preserve">Les fonds propres de catégorie 1 d’un </w:t>
            </w:r>
            <w:r w:rsidRPr="00BC256B">
              <w:rPr>
                <w:rStyle w:val="FormatvorlageInstructionsTabelleText"/>
                <w:rFonts w:ascii="Times New Roman" w:hAnsi="Times New Roman"/>
                <w:sz w:val="22"/>
              </w:rPr>
              <w:t>établissement correspondent à la somme de ses fonds propres de base de catégorie 1 et de ses fonds propres additionnels de catégorie 1.</w:t>
            </w:r>
          </w:p>
        </w:tc>
      </w:tr>
      <w:tr w:rsidR="008C1FA5" w:rsidRPr="00BC256B" w14:paraId="7F42CB9F" w14:textId="77777777">
        <w:tc>
          <w:tcPr>
            <w:tcW w:w="1129" w:type="dxa"/>
          </w:tcPr>
          <w:p w14:paraId="6B7D4090"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0030</w:t>
            </w:r>
          </w:p>
        </w:tc>
        <w:tc>
          <w:tcPr>
            <w:tcW w:w="7620" w:type="dxa"/>
          </w:tcPr>
          <w:p w14:paraId="3F22C88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InstructionsTabelleberschrift"/>
                <w:rFonts w:ascii="Times New Roman" w:hAnsi="Times New Roman"/>
                <w:sz w:val="22"/>
              </w:rPr>
              <w:t>FONDS PROPRES DE BASE DE CATÉGORIE 1 (CET1)</w:t>
            </w:r>
          </w:p>
          <w:p w14:paraId="3473B26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du règlement (UE) 2019/2033.</w:t>
            </w:r>
          </w:p>
          <w:p w14:paraId="558F8DE1" w14:textId="77777777" w:rsidR="008C1FA5" w:rsidRPr="00BC256B" w:rsidRDefault="00BC256B">
            <w:pPr>
              <w:spacing w:after="120" w:line="240" w:lineRule="auto"/>
              <w:jc w:val="both"/>
            </w:pPr>
            <w:r w:rsidRPr="00BC256B">
              <w:rPr>
                <w:rStyle w:val="FormatvorlageInstructionsTabelleText"/>
                <w:rFonts w:ascii="Times New Roman" w:hAnsi="Times New Roman"/>
                <w:sz w:val="22"/>
              </w:rPr>
              <w:t>Article 50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00847C8C" w14:textId="77777777">
        <w:tc>
          <w:tcPr>
            <w:tcW w:w="1129" w:type="dxa"/>
          </w:tcPr>
          <w:p w14:paraId="408A9FA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0040</w:t>
            </w:r>
          </w:p>
        </w:tc>
        <w:tc>
          <w:tcPr>
            <w:tcW w:w="7620" w:type="dxa"/>
          </w:tcPr>
          <w:p w14:paraId="211AA98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Instruments de capital entièrement libérés</w:t>
            </w:r>
          </w:p>
          <w:p w14:paraId="16E7335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3EA904B1"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Article 26, paragraphe 1, point a), et articles 27 à 31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7525D8B5"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Les instrument</w:t>
            </w:r>
            <w:r w:rsidRPr="00BC256B">
              <w:rPr>
                <w:rStyle w:val="FormatvorlageInstructionsTabelleText"/>
                <w:rFonts w:ascii="Times New Roman" w:hAnsi="Times New Roman"/>
                <w:sz w:val="22"/>
                <w:szCs w:val="22"/>
              </w:rPr>
              <w:t>s de capital de sociétés mutuelles ou coopératives ou d’établissements analogues (articles 27 et 29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 sont à inclure.</w:t>
            </w:r>
          </w:p>
          <w:p w14:paraId="47F792DC"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Ne pas inclure la prime d’émission liée à ces instruments.</w:t>
            </w:r>
          </w:p>
          <w:p w14:paraId="7FC9EC8B" w14:textId="77777777" w:rsidR="008C1FA5" w:rsidRPr="00BC256B" w:rsidRDefault="00BC256B">
            <w:pPr>
              <w:pStyle w:val="InstructionsText"/>
            </w:pPr>
            <w:r w:rsidRPr="00BC256B">
              <w:rPr>
                <w:rStyle w:val="FormatvorlageInstructionsTabelleText"/>
                <w:rFonts w:ascii="Times New Roman" w:hAnsi="Times New Roman"/>
                <w:sz w:val="22"/>
                <w:szCs w:val="22"/>
              </w:rPr>
              <w:t>Les instruments de capital souscrits par les autor</w:t>
            </w:r>
            <w:r w:rsidRPr="00BC256B">
              <w:rPr>
                <w:rStyle w:val="FormatvorlageInstructionsTabelleText"/>
                <w:rFonts w:ascii="Times New Roman" w:hAnsi="Times New Roman"/>
                <w:sz w:val="22"/>
                <w:szCs w:val="22"/>
              </w:rPr>
              <w:t>ités publiques dans des situations d’urgence sont inclus si toutes les conditions de l’article 31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 sont remplies.</w:t>
            </w:r>
          </w:p>
        </w:tc>
      </w:tr>
      <w:tr w:rsidR="008C1FA5" w:rsidRPr="00BC256B" w14:paraId="41F677B1" w14:textId="77777777">
        <w:tc>
          <w:tcPr>
            <w:tcW w:w="1129" w:type="dxa"/>
          </w:tcPr>
          <w:p w14:paraId="75AAB7A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0050</w:t>
            </w:r>
          </w:p>
        </w:tc>
        <w:tc>
          <w:tcPr>
            <w:tcW w:w="7620" w:type="dxa"/>
          </w:tcPr>
          <w:p w14:paraId="3153CB9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Prime d’émission</w:t>
            </w:r>
          </w:p>
          <w:p w14:paraId="76B57FDF"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2BF77411"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 xml:space="preserve">Article 26, </w:t>
            </w:r>
            <w:r w:rsidRPr="00BC256B">
              <w:rPr>
                <w:rStyle w:val="FormatvorlageInstructionsTabelleText"/>
                <w:rFonts w:ascii="Times New Roman" w:hAnsi="Times New Roman"/>
                <w:sz w:val="22"/>
              </w:rPr>
              <w:t>paragraphe 1, point b),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p w14:paraId="4F2C72F0"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Le terme «prime d’émission» a la même signification que dans la norme comptable applicable.</w:t>
            </w:r>
          </w:p>
          <w:p w14:paraId="774234F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 montant à déclarer à ce poste est la part liée aux «Instruments de capital versés».</w:t>
            </w:r>
          </w:p>
        </w:tc>
      </w:tr>
      <w:tr w:rsidR="008C1FA5" w:rsidRPr="00BC256B" w14:paraId="749ED65B" w14:textId="77777777">
        <w:tc>
          <w:tcPr>
            <w:tcW w:w="1129" w:type="dxa"/>
          </w:tcPr>
          <w:p w14:paraId="275A8F4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0060</w:t>
            </w:r>
          </w:p>
        </w:tc>
        <w:tc>
          <w:tcPr>
            <w:tcW w:w="7620" w:type="dxa"/>
          </w:tcPr>
          <w:p w14:paraId="58385A2F"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Résultats non </w:t>
            </w:r>
            <w:r w:rsidRPr="00BC256B">
              <w:rPr>
                <w:rFonts w:ascii="Times New Roman" w:hAnsi="Times New Roman"/>
                <w:b/>
                <w:bCs/>
                <w:u w:val="single"/>
              </w:rPr>
              <w:t>distribués</w:t>
            </w:r>
          </w:p>
          <w:p w14:paraId="04E8956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69B8E344" w14:textId="77777777" w:rsidR="008C1FA5" w:rsidRPr="00BC256B" w:rsidRDefault="00BC256B">
            <w:pPr>
              <w:spacing w:after="120" w:line="240" w:lineRule="auto"/>
              <w:jc w:val="both"/>
              <w:rPr>
                <w:rFonts w:ascii="Times New Roman" w:eastAsia="Times New Roman" w:hAnsi="Times New Roman" w:cs="Times New Roman"/>
                <w:bCs/>
              </w:rPr>
            </w:pPr>
            <w:r w:rsidRPr="00BC256B">
              <w:rPr>
                <w:rStyle w:val="FormatvorlageInstructionsTabelleText"/>
                <w:rFonts w:ascii="Times New Roman" w:hAnsi="Times New Roman"/>
                <w:sz w:val="22"/>
              </w:rPr>
              <w:t>Article 26, paragraphe 1, point c),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p w14:paraId="74F386C9"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Les résultats non distribués incluent les bénéfices non distribués de l’exercice précédent et les bénéfices interm</w:t>
            </w:r>
            <w:r w:rsidRPr="00BC256B">
              <w:rPr>
                <w:rStyle w:val="FormatvorlageInstructionsTabelleText"/>
                <w:rFonts w:ascii="Times New Roman" w:hAnsi="Times New Roman"/>
                <w:sz w:val="22"/>
              </w:rPr>
              <w:t>édiaires ou de fin d’exercice éligibles.</w:t>
            </w:r>
          </w:p>
          <w:p w14:paraId="3D86BA1E"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La valeur à déclarer est la somme totale des lignes 0070 et 0080.</w:t>
            </w:r>
          </w:p>
        </w:tc>
      </w:tr>
      <w:tr w:rsidR="008C1FA5" w:rsidRPr="00BC256B" w14:paraId="2C459BD5" w14:textId="77777777">
        <w:tc>
          <w:tcPr>
            <w:tcW w:w="1129" w:type="dxa"/>
          </w:tcPr>
          <w:p w14:paraId="0C92498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0070</w:t>
            </w:r>
          </w:p>
        </w:tc>
        <w:tc>
          <w:tcPr>
            <w:tcW w:w="7620" w:type="dxa"/>
          </w:tcPr>
          <w:p w14:paraId="631AE22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Résultats non distribués des exercices précédents</w:t>
            </w:r>
          </w:p>
          <w:p w14:paraId="196301E2" w14:textId="77777777" w:rsidR="008C1FA5" w:rsidRPr="00BC256B" w:rsidRDefault="00BC256B">
            <w:pPr>
              <w:spacing w:after="120" w:line="240" w:lineRule="auto"/>
              <w:jc w:val="both"/>
              <w:rPr>
                <w:rFonts w:ascii="Times New Roman" w:eastAsia="Times New Roman" w:hAnsi="Times New Roman"/>
              </w:rPr>
            </w:pPr>
            <w:r w:rsidRPr="00BC256B">
              <w:rPr>
                <w:rFonts w:ascii="Times New Roman" w:hAnsi="Times New Roman"/>
              </w:rPr>
              <w:t>Article 4, paragraphe 1, point 123), et article 26, paragraphe 1, point c), du règlement (UE)</w:t>
            </w:r>
            <w:r w:rsidRPr="00BC256B">
              <w:rPr>
                <w:rFonts w:ascii="Times New Roman" w:hAnsi="Times New Roman"/>
              </w:rPr>
              <w:t xml:space="preserve"> n</w:t>
            </w:r>
            <w:r w:rsidRPr="00BC256B">
              <w:rPr>
                <w:rFonts w:ascii="Times New Roman" w:hAnsi="Times New Roman"/>
                <w:vertAlign w:val="superscript"/>
              </w:rPr>
              <w:t>o</w:t>
            </w:r>
            <w:r w:rsidRPr="00BC256B">
              <w:rPr>
                <w:rFonts w:ascii="Times New Roman" w:hAnsi="Times New Roman"/>
              </w:rPr>
              <w:t> 575/2013.</w:t>
            </w:r>
          </w:p>
          <w:p w14:paraId="064BFD6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L’article 4, paragraphe 1, point 123),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 définit les résultats non distribués comme «les profits et les pertes reportés par affectation du résultat final au sens du référentiel comptable applicable».</w:t>
            </w:r>
          </w:p>
        </w:tc>
      </w:tr>
      <w:tr w:rsidR="008C1FA5" w:rsidRPr="00BC256B" w14:paraId="10063349" w14:textId="77777777">
        <w:tc>
          <w:tcPr>
            <w:tcW w:w="1129" w:type="dxa"/>
          </w:tcPr>
          <w:p w14:paraId="0578096F"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0080</w:t>
            </w:r>
          </w:p>
        </w:tc>
        <w:tc>
          <w:tcPr>
            <w:tcW w:w="7620" w:type="dxa"/>
          </w:tcPr>
          <w:p w14:paraId="690E8CA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Bénéfice éligible</w:t>
            </w:r>
          </w:p>
          <w:p w14:paraId="6E363496" w14:textId="77777777" w:rsidR="008C1FA5" w:rsidRPr="00BC256B" w:rsidRDefault="00BC256B">
            <w:pPr>
              <w:spacing w:after="120" w:line="240" w:lineRule="auto"/>
              <w:jc w:val="both"/>
              <w:rPr>
                <w:rFonts w:ascii="Times New Roman" w:eastAsia="Times New Roman" w:hAnsi="Times New Roman"/>
              </w:rPr>
            </w:pPr>
            <w:r w:rsidRPr="00BC256B">
              <w:rPr>
                <w:rFonts w:ascii="Times New Roman" w:hAnsi="Times New Roman"/>
              </w:rPr>
              <w:t>Article 4, paragraphe 1, point 121), et article 26, paragraphe 2, du règlement (UE) n</w:t>
            </w:r>
            <w:r w:rsidRPr="00BC256B">
              <w:rPr>
                <w:rFonts w:ascii="Times New Roman" w:hAnsi="Times New Roman"/>
                <w:vertAlign w:val="superscript"/>
              </w:rPr>
              <w:t>o</w:t>
            </w:r>
            <w:r w:rsidRPr="00BC256B">
              <w:rPr>
                <w:rFonts w:ascii="Times New Roman" w:hAnsi="Times New Roman"/>
              </w:rPr>
              <w:t> 575/2013.</w:t>
            </w:r>
          </w:p>
          <w:p w14:paraId="308C437F"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rPr>
              <w:t>L’article 26, paragraphe 2, du règlement (UE) n</w:t>
            </w:r>
            <w:r w:rsidRPr="00BC256B">
              <w:rPr>
                <w:rFonts w:ascii="Times New Roman" w:hAnsi="Times New Roman"/>
                <w:vertAlign w:val="superscript"/>
              </w:rPr>
              <w:t>o</w:t>
            </w:r>
            <w:r w:rsidRPr="00BC256B">
              <w:rPr>
                <w:rFonts w:ascii="Times New Roman" w:hAnsi="Times New Roman"/>
              </w:rPr>
              <w:t xml:space="preserve"> 575/2013 permet d’inclure dans les résultats non distribués les bénéfices intermédiaires ou </w:t>
            </w:r>
            <w:r w:rsidRPr="00BC256B">
              <w:rPr>
                <w:rFonts w:ascii="Times New Roman" w:hAnsi="Times New Roman"/>
              </w:rPr>
              <w:t xml:space="preserve">de fin d’exercice, sous réserve de l’autorisation préalable de l’autorité compétente et pour autant que certaines conditions soient remplies. </w:t>
            </w:r>
          </w:p>
        </w:tc>
      </w:tr>
      <w:tr w:rsidR="008C1FA5" w:rsidRPr="00BC256B" w14:paraId="7A866F8F" w14:textId="77777777">
        <w:tc>
          <w:tcPr>
            <w:tcW w:w="1129" w:type="dxa"/>
          </w:tcPr>
          <w:p w14:paraId="58EA2A5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0090</w:t>
            </w:r>
          </w:p>
        </w:tc>
        <w:tc>
          <w:tcPr>
            <w:tcW w:w="7620" w:type="dxa"/>
          </w:tcPr>
          <w:p w14:paraId="2A666B7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Autres éléments du résultat global accumulés</w:t>
            </w:r>
          </w:p>
          <w:p w14:paraId="3635D91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r w:rsidRPr="00BC256B">
              <w:rPr>
                <w:rFonts w:ascii="Times New Roman" w:hAnsi="Times New Roman"/>
                <w:bCs/>
              </w:rPr>
              <w:t>.</w:t>
            </w:r>
          </w:p>
          <w:p w14:paraId="4AD578C1" w14:textId="77777777" w:rsidR="008C1FA5" w:rsidRPr="00BC256B" w:rsidRDefault="00BC256B">
            <w:pPr>
              <w:spacing w:after="120" w:line="240" w:lineRule="auto"/>
              <w:jc w:val="both"/>
              <w:rPr>
                <w:rFonts w:ascii="Times New Roman" w:hAnsi="Times New Roman" w:cs="Times New Roman"/>
                <w:bCs/>
              </w:rPr>
            </w:pPr>
            <w:r w:rsidRPr="00BC256B">
              <w:rPr>
                <w:rStyle w:val="FormatvorlageInstructionsTabelleText"/>
                <w:rFonts w:ascii="Times New Roman" w:hAnsi="Times New Roman"/>
                <w:sz w:val="22"/>
              </w:rPr>
              <w:t>Article 26, paragraphe 1, point d),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11B9B0BE" w14:textId="77777777">
        <w:tc>
          <w:tcPr>
            <w:tcW w:w="1129" w:type="dxa"/>
          </w:tcPr>
          <w:p w14:paraId="1272ACE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0100</w:t>
            </w:r>
          </w:p>
        </w:tc>
        <w:tc>
          <w:tcPr>
            <w:tcW w:w="7620" w:type="dxa"/>
          </w:tcPr>
          <w:p w14:paraId="5460A9D5"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Autres réserves</w:t>
            </w:r>
          </w:p>
          <w:p w14:paraId="1B6030E4"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54404C81"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Article 4, paragraphe 1, point 117), et article 26, paragraphe 1, point e),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p w14:paraId="41C3DB1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 montant à déclarer doit être net de toute charge d’impôt prévisible au moment du calcul.</w:t>
            </w:r>
          </w:p>
        </w:tc>
      </w:tr>
      <w:tr w:rsidR="008C1FA5" w:rsidRPr="00BC256B" w14:paraId="36E875A7" w14:textId="77777777">
        <w:tc>
          <w:tcPr>
            <w:tcW w:w="1129" w:type="dxa"/>
          </w:tcPr>
          <w:p w14:paraId="1BBE2E4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0110</w:t>
            </w:r>
          </w:p>
        </w:tc>
        <w:tc>
          <w:tcPr>
            <w:tcW w:w="7620" w:type="dxa"/>
            <w:shd w:val="clear" w:color="auto" w:fill="auto"/>
          </w:tcPr>
          <w:p w14:paraId="6A016D85"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Intérêts minoritaires pris en compte dans les fonds propres CET1</w:t>
            </w:r>
          </w:p>
          <w:p w14:paraId="53D37576"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Article 84, paragraphe 1, article 85, paragraphe 1, et article 87, paragraphe 1, d</w:t>
            </w:r>
            <w:r w:rsidRPr="00BC256B">
              <w:rPr>
                <w:rStyle w:val="FormatvorlageInstructionsTabelleText"/>
                <w:rFonts w:ascii="Times New Roman" w:hAnsi="Times New Roman"/>
                <w:sz w:val="22"/>
              </w:rPr>
              <w:t>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p w14:paraId="724E0A2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Somme de tous les montants d’intérêts minoritaires de filiales inclus dans les fonds propres de base de catégorie 1 consolidés.</w:t>
            </w:r>
          </w:p>
        </w:tc>
      </w:tr>
      <w:tr w:rsidR="008C1FA5" w:rsidRPr="00BC256B" w14:paraId="66DA8BD9" w14:textId="77777777">
        <w:tc>
          <w:tcPr>
            <w:tcW w:w="1129" w:type="dxa"/>
          </w:tcPr>
          <w:p w14:paraId="0EF6485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0120</w:t>
            </w:r>
          </w:p>
        </w:tc>
        <w:tc>
          <w:tcPr>
            <w:tcW w:w="7620" w:type="dxa"/>
            <w:shd w:val="clear" w:color="auto" w:fill="auto"/>
          </w:tcPr>
          <w:p w14:paraId="1941B55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Ajustements des CET1 découlant de filtres prudentiels</w:t>
            </w:r>
          </w:p>
          <w:p w14:paraId="08D71AAF"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 xml:space="preserve">Article 9, paragraphe 1, </w:t>
            </w:r>
            <w:r w:rsidRPr="00BC256B">
              <w:rPr>
                <w:rStyle w:val="FormatvorlageInstructionsTabelleText"/>
                <w:rFonts w:ascii="Times New Roman" w:hAnsi="Times New Roman"/>
                <w:sz w:val="22"/>
              </w:rPr>
              <w:t>point i), du règlement (UE) 2019/2033</w:t>
            </w:r>
          </w:p>
          <w:p w14:paraId="3F276F0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lastRenderedPageBreak/>
              <w:t>Articles 32 à 35 du règlement (CE)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63882B1C" w14:textId="77777777">
        <w:tc>
          <w:tcPr>
            <w:tcW w:w="1129" w:type="dxa"/>
          </w:tcPr>
          <w:p w14:paraId="6933E1C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0130</w:t>
            </w:r>
          </w:p>
        </w:tc>
        <w:tc>
          <w:tcPr>
            <w:tcW w:w="7620" w:type="dxa"/>
          </w:tcPr>
          <w:p w14:paraId="0669FA0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Autres fonds</w:t>
            </w:r>
          </w:p>
          <w:p w14:paraId="2AAA54E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9, paragraphe 4, du règlement (UE) 2019/2033</w:t>
            </w:r>
          </w:p>
        </w:tc>
      </w:tr>
      <w:tr w:rsidR="008C1FA5" w:rsidRPr="00BC256B" w14:paraId="7EFA7727" w14:textId="77777777">
        <w:tc>
          <w:tcPr>
            <w:tcW w:w="1129" w:type="dxa"/>
          </w:tcPr>
          <w:p w14:paraId="79EAC16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0140</w:t>
            </w:r>
          </w:p>
        </w:tc>
        <w:tc>
          <w:tcPr>
            <w:tcW w:w="7620" w:type="dxa"/>
          </w:tcPr>
          <w:p w14:paraId="3E0ADD1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TOTAL DES DÉDUCTIONS SUR LES FONDS PROPRES DE BASE DE CATÉGORIE 1</w:t>
            </w:r>
          </w:p>
          <w:p w14:paraId="41D0B69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 xml:space="preserve">La valeur à </w:t>
            </w:r>
            <w:r w:rsidRPr="00BC256B">
              <w:rPr>
                <w:rFonts w:ascii="Times New Roman" w:hAnsi="Times New Roman"/>
                <w:bCs/>
              </w:rPr>
              <w:t>déclarer est la somme totale des lignes 0150 et 0190 à 0280.</w:t>
            </w:r>
          </w:p>
        </w:tc>
      </w:tr>
      <w:tr w:rsidR="008C1FA5" w:rsidRPr="00BC256B" w14:paraId="4303B015" w14:textId="77777777">
        <w:tc>
          <w:tcPr>
            <w:tcW w:w="1129" w:type="dxa"/>
          </w:tcPr>
          <w:p w14:paraId="69BA165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0150</w:t>
            </w:r>
          </w:p>
        </w:tc>
        <w:tc>
          <w:tcPr>
            <w:tcW w:w="7620" w:type="dxa"/>
            <w:shd w:val="clear" w:color="auto" w:fill="auto"/>
          </w:tcPr>
          <w:p w14:paraId="22F8F01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Propres instruments CET1</w:t>
            </w:r>
          </w:p>
          <w:p w14:paraId="431F50F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2371C676"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Article 36, paragraphe 1, point f), et article 42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5ED74F38"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Propres instrum</w:t>
            </w:r>
            <w:r w:rsidRPr="00BC256B">
              <w:rPr>
                <w:rStyle w:val="FormatvorlageInstructionsTabelleText"/>
                <w:rFonts w:ascii="Times New Roman" w:hAnsi="Times New Roman"/>
                <w:sz w:val="22"/>
                <w:szCs w:val="22"/>
              </w:rPr>
              <w:t>ents de fonds propres de base de catégorie 1 détenus par l’établissement ou le groupe à la date de déclaration. Poste soumis aux exceptions de l’article 42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0506F396"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 xml:space="preserve">La détention d’actions intégrées aux «Instruments de capital non </w:t>
            </w:r>
            <w:r w:rsidRPr="00BC256B">
              <w:rPr>
                <w:rStyle w:val="FormatvorlageInstructionsTabelleText"/>
                <w:rFonts w:ascii="Times New Roman" w:hAnsi="Times New Roman"/>
                <w:sz w:val="22"/>
                <w:szCs w:val="22"/>
              </w:rPr>
              <w:t>éligibles» n’est pas déclarée sur cette ligne.</w:t>
            </w:r>
          </w:p>
          <w:p w14:paraId="76BB659B"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Le montant à déclarer intègre la prime d’émission liée aux actions propres.</w:t>
            </w:r>
          </w:p>
          <w:p w14:paraId="0E35DA48" w14:textId="77777777" w:rsidR="008C1FA5" w:rsidRPr="00BC256B" w:rsidRDefault="008C1FA5">
            <w:pPr>
              <w:pStyle w:val="InstructionsText"/>
            </w:pPr>
          </w:p>
        </w:tc>
      </w:tr>
      <w:tr w:rsidR="008C1FA5" w:rsidRPr="00BC256B" w14:paraId="7A051290" w14:textId="77777777">
        <w:tc>
          <w:tcPr>
            <w:tcW w:w="1129" w:type="dxa"/>
          </w:tcPr>
          <w:p w14:paraId="7F86EAB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0160</w:t>
            </w:r>
          </w:p>
        </w:tc>
        <w:tc>
          <w:tcPr>
            <w:tcW w:w="7620" w:type="dxa"/>
            <w:shd w:val="clear" w:color="auto" w:fill="auto"/>
          </w:tcPr>
          <w:p w14:paraId="75E8886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directes d’instruments CET1</w:t>
            </w:r>
          </w:p>
          <w:p w14:paraId="74C61B0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6F08CC1D" w14:textId="77777777" w:rsidR="008C1FA5" w:rsidRPr="00BC256B" w:rsidRDefault="00BC256B">
            <w:pPr>
              <w:pStyle w:val="InstructionsText"/>
              <w:rPr>
                <w:rStyle w:val="FormatvorlageInstructionsTabelleText"/>
                <w:rFonts w:ascii="Times New Roman" w:eastAsiaTheme="minorHAnsi" w:hAnsi="Times New Roman"/>
                <w:bCs/>
                <w:sz w:val="22"/>
                <w:szCs w:val="22"/>
              </w:rPr>
            </w:pPr>
            <w:r w:rsidRPr="00BC256B">
              <w:rPr>
                <w:rStyle w:val="FormatvorlageInstructionsTabelleText"/>
                <w:rFonts w:ascii="Times New Roman" w:hAnsi="Times New Roman"/>
                <w:sz w:val="22"/>
                <w:szCs w:val="22"/>
              </w:rPr>
              <w:t>Article 36, paragraphe 1, point f), et article 42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3F8B6142"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Instruments de fonds propres de base de catégorie 1 détenus par l’entreprise d’investissement</w:t>
            </w:r>
          </w:p>
          <w:p w14:paraId="611EEA08" w14:textId="77777777" w:rsidR="008C1FA5" w:rsidRPr="00BC256B" w:rsidRDefault="008C1FA5">
            <w:pPr>
              <w:spacing w:after="120" w:line="240" w:lineRule="auto"/>
              <w:jc w:val="both"/>
              <w:rPr>
                <w:rFonts w:ascii="Times New Roman" w:eastAsia="Times New Roman" w:hAnsi="Times New Roman" w:cs="Times New Roman"/>
                <w:b/>
                <w:bCs/>
                <w:u w:val="single"/>
                <w:lang w:eastAsia="de-DE"/>
              </w:rPr>
            </w:pPr>
          </w:p>
        </w:tc>
      </w:tr>
      <w:tr w:rsidR="008C1FA5" w:rsidRPr="00BC256B" w14:paraId="1B4DA804" w14:textId="77777777">
        <w:tc>
          <w:tcPr>
            <w:tcW w:w="1129" w:type="dxa"/>
          </w:tcPr>
          <w:p w14:paraId="2FA62077"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383C5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indirectes d’instruments CET1</w:t>
            </w:r>
          </w:p>
          <w:p w14:paraId="6F6F978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w:t>
            </w:r>
            <w:r w:rsidRPr="00BC256B">
              <w:rPr>
                <w:rFonts w:ascii="Times New Roman" w:hAnsi="Times New Roman"/>
                <w:bCs/>
              </w:rPr>
              <w:t>t i), du règlement (UE) 2019/2033.</w:t>
            </w:r>
          </w:p>
          <w:p w14:paraId="27158358" w14:textId="77777777" w:rsidR="008C1FA5" w:rsidRPr="00BC256B" w:rsidRDefault="00BC256B">
            <w:pPr>
              <w:spacing w:after="120" w:line="240" w:lineRule="auto"/>
              <w:jc w:val="both"/>
              <w:rPr>
                <w:rFonts w:ascii="Times New Roman" w:eastAsia="Times New Roman" w:hAnsi="Times New Roman"/>
              </w:rPr>
            </w:pPr>
            <w:r w:rsidRPr="00BC256B">
              <w:rPr>
                <w:rFonts w:ascii="Times New Roman" w:hAnsi="Times New Roman"/>
              </w:rPr>
              <w:t>Article 36, paragraphe 1, point f), et article 42 du règlement (UE) n</w:t>
            </w:r>
            <w:r w:rsidRPr="00BC256B">
              <w:rPr>
                <w:rFonts w:ascii="Times New Roman" w:hAnsi="Times New Roman"/>
                <w:vertAlign w:val="superscript"/>
              </w:rPr>
              <w:t>o</w:t>
            </w:r>
            <w:r w:rsidRPr="00BC256B">
              <w:rPr>
                <w:rFonts w:ascii="Times New Roman" w:hAnsi="Times New Roman"/>
              </w:rPr>
              <w:t> 575/2013.</w:t>
            </w:r>
          </w:p>
          <w:p w14:paraId="7F5C8455" w14:textId="77777777" w:rsidR="008C1FA5" w:rsidRPr="00BC256B" w:rsidRDefault="00BC256B">
            <w:pPr>
              <w:spacing w:after="120" w:line="240" w:lineRule="auto"/>
              <w:jc w:val="both"/>
              <w:rPr>
                <w:rFonts w:ascii="Times New Roman" w:eastAsia="Times New Roman" w:hAnsi="Times New Roman"/>
              </w:rPr>
            </w:pPr>
            <w:r w:rsidRPr="00BC256B">
              <w:rPr>
                <w:rFonts w:ascii="Times New Roman" w:hAnsi="Times New Roman"/>
              </w:rPr>
              <w:t xml:space="preserve">Instruments de fonds propres de base de catégorie 1 détenus par l’entreprise d’investissement </w:t>
            </w:r>
          </w:p>
        </w:tc>
      </w:tr>
      <w:tr w:rsidR="008C1FA5" w:rsidRPr="00BC256B" w14:paraId="38866081" w14:textId="77777777">
        <w:tc>
          <w:tcPr>
            <w:tcW w:w="1129" w:type="dxa"/>
          </w:tcPr>
          <w:p w14:paraId="0D33741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F9CA5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Détentions synthétiques </w:t>
            </w:r>
            <w:r w:rsidRPr="00BC256B">
              <w:rPr>
                <w:rFonts w:ascii="Times New Roman" w:hAnsi="Times New Roman"/>
                <w:b/>
                <w:bCs/>
                <w:u w:val="single"/>
              </w:rPr>
              <w:t>d’instruments CET1</w:t>
            </w:r>
          </w:p>
          <w:p w14:paraId="4ED4044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36B4289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Article 4, paragraphe 1, point 114), article 36, paragraphe 1, point f), et article 42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7AAF69FF" w14:textId="77777777">
        <w:tc>
          <w:tcPr>
            <w:tcW w:w="1129" w:type="dxa"/>
          </w:tcPr>
          <w:p w14:paraId="1631166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35F3B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Résultats négatifs de l’exercice en </w:t>
            </w:r>
            <w:r w:rsidRPr="00BC256B">
              <w:rPr>
                <w:rFonts w:ascii="Times New Roman" w:hAnsi="Times New Roman"/>
                <w:b/>
                <w:bCs/>
                <w:u w:val="single"/>
              </w:rPr>
              <w:t>cours</w:t>
            </w:r>
          </w:p>
          <w:p w14:paraId="54D496F0"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rPr>
              <w:t>Article 36, paragraphe 1, point a), du règlement (UE) n</w:t>
            </w:r>
            <w:r w:rsidRPr="00BC256B">
              <w:rPr>
                <w:rFonts w:ascii="Times New Roman" w:hAnsi="Times New Roman"/>
                <w:vertAlign w:val="superscript"/>
              </w:rPr>
              <w:t>o</w:t>
            </w:r>
            <w:r w:rsidRPr="00BC256B">
              <w:rPr>
                <w:rFonts w:ascii="Times New Roman" w:hAnsi="Times New Roman"/>
              </w:rPr>
              <w:t> 575/2013</w:t>
            </w:r>
          </w:p>
        </w:tc>
      </w:tr>
      <w:tr w:rsidR="008C1FA5" w:rsidRPr="00BC256B" w14:paraId="03D9F937" w14:textId="77777777">
        <w:tc>
          <w:tcPr>
            <w:tcW w:w="1129" w:type="dxa"/>
          </w:tcPr>
          <w:p w14:paraId="368262A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0FAD2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Goodwill</w:t>
            </w:r>
          </w:p>
          <w:p w14:paraId="4B72C77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0D5B550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 xml:space="preserve">Article 4, paragraphe 1, point 113), article 36, paragraphe 1, point b), et article 37 du </w:t>
            </w:r>
            <w:r w:rsidRPr="00BC256B">
              <w:rPr>
                <w:rStyle w:val="FormatvorlageInstructionsTabelleText"/>
                <w:rFonts w:ascii="Times New Roman" w:hAnsi="Times New Roman"/>
                <w:sz w:val="22"/>
              </w:rPr>
              <w:t>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64E84787" w14:textId="77777777">
        <w:tc>
          <w:tcPr>
            <w:tcW w:w="1129" w:type="dxa"/>
          </w:tcPr>
          <w:p w14:paraId="5C3A564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0C841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Autres immobilisations incorporelles</w:t>
            </w:r>
          </w:p>
          <w:p w14:paraId="0C35075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6967F816" w14:textId="77777777" w:rsidR="008C1FA5" w:rsidRPr="00BC256B" w:rsidRDefault="00BC256B">
            <w:pPr>
              <w:pStyle w:val="InstructionsText"/>
              <w:rPr>
                <w:rStyle w:val="FormatvorlageInstructionsTabelleText"/>
                <w:rFonts w:ascii="Times New Roman" w:eastAsiaTheme="minorHAnsi" w:hAnsi="Times New Roman"/>
                <w:bCs/>
                <w:sz w:val="22"/>
                <w:szCs w:val="22"/>
              </w:rPr>
            </w:pPr>
            <w:r w:rsidRPr="00BC256B">
              <w:rPr>
                <w:rStyle w:val="FormatvorlageInstructionsTabelleText"/>
                <w:rFonts w:ascii="Times New Roman" w:hAnsi="Times New Roman"/>
                <w:sz w:val="22"/>
                <w:szCs w:val="22"/>
              </w:rPr>
              <w:t xml:space="preserve">Article 4, paragraphe 1, point 115), article 36, paragraphe 1, point b), et article 37, point a), du </w:t>
            </w:r>
            <w:r w:rsidRPr="00BC256B">
              <w:rPr>
                <w:rStyle w:val="FormatvorlageInstructionsTabelleText"/>
                <w:rFonts w:ascii="Times New Roman" w:hAnsi="Times New Roman"/>
                <w:sz w:val="22"/>
                <w:szCs w:val="22"/>
              </w:rPr>
              <w:t>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54A54F8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lastRenderedPageBreak/>
              <w:t>Les autres immobilisations incorporelles représentent les immobilisations incorporelles au sens du référentiel comptable applicable, moins le goodwill, au sens lui aussi du référentiel comptable applicable.</w:t>
            </w:r>
          </w:p>
        </w:tc>
      </w:tr>
      <w:tr w:rsidR="008C1FA5" w:rsidRPr="00BC256B" w14:paraId="04FD46A7" w14:textId="77777777">
        <w:tc>
          <w:tcPr>
            <w:tcW w:w="1129" w:type="dxa"/>
          </w:tcPr>
          <w:p w14:paraId="3E0CF84F"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9EC89E"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Actifs d’im</w:t>
            </w:r>
            <w:r w:rsidRPr="00BC256B">
              <w:rPr>
                <w:rFonts w:ascii="Times New Roman" w:hAnsi="Times New Roman"/>
                <w:b/>
                <w:bCs/>
                <w:u w:val="single"/>
              </w:rPr>
              <w:t>pôt différé dépendant de bénéfices futurs et ne résultant pas de différences temporelles après déduction des passifs d’impôt associés</w:t>
            </w:r>
          </w:p>
          <w:p w14:paraId="708307A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a), du règlement (UE) 2019/2033.</w:t>
            </w:r>
          </w:p>
          <w:p w14:paraId="6DCA4D1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36, paragraphe 1, point c), du règlement (UE) n</w:t>
            </w:r>
            <w:r w:rsidRPr="00BC256B">
              <w:rPr>
                <w:rFonts w:ascii="Times New Roman" w:hAnsi="Times New Roman"/>
                <w:bCs/>
                <w:vertAlign w:val="superscript"/>
              </w:rPr>
              <w:t>o</w:t>
            </w:r>
            <w:r w:rsidRPr="00BC256B">
              <w:rPr>
                <w:rFonts w:ascii="Times New Roman" w:hAnsi="Times New Roman"/>
                <w:bCs/>
              </w:rPr>
              <w:t> 5</w:t>
            </w:r>
            <w:r w:rsidRPr="00BC256B">
              <w:rPr>
                <w:rFonts w:ascii="Times New Roman" w:hAnsi="Times New Roman"/>
                <w:bCs/>
              </w:rPr>
              <w:t>75/2013.</w:t>
            </w:r>
          </w:p>
        </w:tc>
      </w:tr>
      <w:tr w:rsidR="008C1FA5" w:rsidRPr="00BC256B" w14:paraId="1B76E298" w14:textId="77777777">
        <w:tc>
          <w:tcPr>
            <w:tcW w:w="1129" w:type="dxa"/>
          </w:tcPr>
          <w:p w14:paraId="038C248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62EB5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Participation qualifiée détenue hors du secteur financier et dépassant 15 % des fonds propres</w:t>
            </w:r>
          </w:p>
          <w:p w14:paraId="17EA882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10, paragraphe 1, point a), du règlement (UE) 2019/2033.</w:t>
            </w:r>
          </w:p>
        </w:tc>
      </w:tr>
      <w:tr w:rsidR="008C1FA5" w:rsidRPr="00BC256B" w14:paraId="51627722" w14:textId="77777777">
        <w:tc>
          <w:tcPr>
            <w:tcW w:w="1129" w:type="dxa"/>
          </w:tcPr>
          <w:p w14:paraId="3ADF963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91BFC0"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Total des participations qualifiées dans des entreprises </w:t>
            </w:r>
            <w:r w:rsidRPr="00BC256B">
              <w:rPr>
                <w:rFonts w:ascii="Times New Roman" w:hAnsi="Times New Roman"/>
                <w:b/>
                <w:bCs/>
                <w:u w:val="single"/>
              </w:rPr>
              <w:t>autres que des entités du secteur financier dépassant 60 % des fonds propres</w:t>
            </w:r>
          </w:p>
          <w:p w14:paraId="2875FC7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10, paragraphe 1, point b), du règlement (UE) 2019/2033.</w:t>
            </w:r>
          </w:p>
        </w:tc>
      </w:tr>
      <w:tr w:rsidR="008C1FA5" w:rsidRPr="00BC256B" w14:paraId="41444C32" w14:textId="77777777">
        <w:tc>
          <w:tcPr>
            <w:tcW w:w="1129" w:type="dxa"/>
          </w:tcPr>
          <w:p w14:paraId="4981256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848FE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Instruments CET1 d’entités du secteur financier dans lesquelles l’entreprise d’investissement ne détient</w:t>
            </w:r>
            <w:r w:rsidRPr="00BC256B">
              <w:rPr>
                <w:rFonts w:ascii="Times New Roman" w:hAnsi="Times New Roman"/>
                <w:b/>
                <w:bCs/>
                <w:u w:val="single"/>
              </w:rPr>
              <w:t xml:space="preserve"> pas d’investissement important</w:t>
            </w:r>
          </w:p>
          <w:p w14:paraId="4A9230B8"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6563D08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36, paragraphe 1, point h),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4A380018" w14:textId="77777777">
        <w:tc>
          <w:tcPr>
            <w:tcW w:w="1129" w:type="dxa"/>
          </w:tcPr>
          <w:p w14:paraId="742C02F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7B822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Instruments CET1 d’entités du secteur financier dans lesquelles </w:t>
            </w:r>
            <w:r w:rsidRPr="00BC256B">
              <w:rPr>
                <w:rFonts w:ascii="Times New Roman" w:hAnsi="Times New Roman"/>
                <w:b/>
                <w:bCs/>
                <w:u w:val="single"/>
              </w:rPr>
              <w:t>l’entreprise d’investissement détient un investissement important</w:t>
            </w:r>
          </w:p>
          <w:p w14:paraId="383D98F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d), du règlement (UE) 2019/2033.</w:t>
            </w:r>
          </w:p>
          <w:p w14:paraId="2E212FE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36, paragraphe 1, point i),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5017387A" w14:textId="77777777">
        <w:tc>
          <w:tcPr>
            <w:tcW w:w="1129" w:type="dxa"/>
          </w:tcPr>
          <w:p w14:paraId="61687B9F"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5B79F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Actifs de fonds de pension à prestations définies</w:t>
            </w:r>
          </w:p>
          <w:p w14:paraId="50631EE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b), du règlement (UE) 2019/2033.</w:t>
            </w:r>
          </w:p>
          <w:p w14:paraId="05A618EF"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36, paragraphe 1, point e),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72A49CBD" w14:textId="77777777">
        <w:tc>
          <w:tcPr>
            <w:tcW w:w="1129" w:type="dxa"/>
          </w:tcPr>
          <w:p w14:paraId="25DE8E3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03A5E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Autres déductions</w:t>
            </w:r>
          </w:p>
          <w:p w14:paraId="350096C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rPr>
              <w:t>Indiquer ici la somme de toutes les autres déductions prévues par l’article 36, paragraphe 1, du</w:t>
            </w:r>
            <w:r w:rsidRPr="00BC256B">
              <w:rPr>
                <w:rFonts w:ascii="Times New Roman" w:hAnsi="Times New Roman"/>
              </w:rPr>
              <w:t xml:space="preserve"> règlement (UE) n</w:t>
            </w:r>
            <w:r w:rsidRPr="00BC256B">
              <w:rPr>
                <w:rFonts w:ascii="Times New Roman" w:hAnsi="Times New Roman"/>
                <w:vertAlign w:val="superscript"/>
              </w:rPr>
              <w:t>o</w:t>
            </w:r>
            <w:r w:rsidRPr="00BC256B">
              <w:rPr>
                <w:rFonts w:ascii="Times New Roman" w:hAnsi="Times New Roman"/>
              </w:rPr>
              <w:t> 575/2013 qui ne sont indiquées sur aucune des lignes 0150 à 0270 ci-dessus.</w:t>
            </w:r>
          </w:p>
        </w:tc>
      </w:tr>
      <w:tr w:rsidR="008C1FA5" w:rsidRPr="00BC256B" w14:paraId="2EA58F1A" w14:textId="77777777">
        <w:tc>
          <w:tcPr>
            <w:tcW w:w="1129" w:type="dxa"/>
          </w:tcPr>
          <w:p w14:paraId="301E0010"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9F533F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CET1: Autres éléments de fonds propres, déductions et ajustements</w:t>
            </w:r>
          </w:p>
          <w:p w14:paraId="1ED74F84"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Cette ligne comprend la somme des éléments suivants:</w:t>
            </w:r>
          </w:p>
          <w:p w14:paraId="45124B0D"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 xml:space="preserve">Ajustements </w:t>
            </w:r>
            <w:r w:rsidRPr="00BC256B">
              <w:rPr>
                <w:rFonts w:ascii="Times New Roman" w:hAnsi="Times New Roman"/>
                <w:bCs/>
              </w:rPr>
              <w:t>transitoires découlant d’instruments de capital CET1 qui bénéficient d’une clause d’antériorité [article 483, paragraphes 1, 2 et 3, et articles 484 à 487 du règlement (UE) n</w:t>
            </w:r>
            <w:r w:rsidRPr="00BC256B">
              <w:rPr>
                <w:rFonts w:ascii="Times New Roman" w:hAnsi="Times New Roman"/>
                <w:bCs/>
                <w:vertAlign w:val="superscript"/>
              </w:rPr>
              <w:t>o</w:t>
            </w:r>
            <w:r w:rsidRPr="00BC256B">
              <w:rPr>
                <w:rFonts w:ascii="Times New Roman" w:hAnsi="Times New Roman"/>
                <w:bCs/>
              </w:rPr>
              <w:t> 575/2013]</w:t>
            </w:r>
          </w:p>
          <w:p w14:paraId="69D6123A"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Ajustements transitoires découlant d’intérêts minoritaires supplémen</w:t>
            </w:r>
            <w:r w:rsidRPr="00BC256B">
              <w:rPr>
                <w:rFonts w:ascii="Times New Roman" w:hAnsi="Times New Roman"/>
                <w:bCs/>
              </w:rPr>
              <w:t>taires [articles 479 et 480 du règlement (UE) n</w:t>
            </w:r>
            <w:r w:rsidRPr="00BC256B">
              <w:rPr>
                <w:rFonts w:ascii="Times New Roman" w:hAnsi="Times New Roman"/>
                <w:bCs/>
                <w:vertAlign w:val="superscript"/>
              </w:rPr>
              <w:t>o</w:t>
            </w:r>
            <w:r w:rsidRPr="00BC256B">
              <w:rPr>
                <w:rFonts w:ascii="Times New Roman" w:hAnsi="Times New Roman"/>
                <w:bCs/>
              </w:rPr>
              <w:t> 575/2013]</w:t>
            </w:r>
          </w:p>
          <w:p w14:paraId="54863979"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Autres ajustements transitoires des fonds propres CET1 [articles 469 à 478 et 481 du règlement (UE) n</w:t>
            </w:r>
            <w:r w:rsidRPr="00BC256B">
              <w:rPr>
                <w:rFonts w:ascii="Times New Roman" w:hAnsi="Times New Roman"/>
                <w:bCs/>
                <w:vertAlign w:val="superscript"/>
              </w:rPr>
              <w:t>o</w:t>
            </w:r>
            <w:r w:rsidRPr="00BC256B">
              <w:rPr>
                <w:rFonts w:ascii="Times New Roman" w:hAnsi="Times New Roman"/>
                <w:bCs/>
              </w:rPr>
              <w:t xml:space="preserve"> 575/2013]: ajustements des déductions sur les fonds propres CET1 découlant de </w:t>
            </w:r>
            <w:r w:rsidRPr="00BC256B">
              <w:rPr>
                <w:rFonts w:ascii="Times New Roman" w:hAnsi="Times New Roman"/>
                <w:bCs/>
              </w:rPr>
              <w:t>dispositions transitoires</w:t>
            </w:r>
          </w:p>
          <w:p w14:paraId="3C57C135" w14:textId="77777777" w:rsidR="008C1FA5" w:rsidRPr="00BC256B" w:rsidRDefault="00BC256B">
            <w:pPr>
              <w:spacing w:after="120" w:line="240" w:lineRule="auto"/>
              <w:ind w:left="360" w:hanging="360"/>
              <w:jc w:val="both"/>
              <w:rPr>
                <w:rFonts w:ascii="Times New Roman" w:eastAsia="Times New Roman" w:hAnsi="Times New Roman" w:cs="Times New Roman"/>
                <w:b/>
                <w:bCs/>
                <w:u w:val="single"/>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Autres éléments de capital CET1 ou déductions sur un élément de fonds propres CET1 qui ne correspondent à aucune des lignes 0040 à 0280.</w:t>
            </w:r>
          </w:p>
          <w:p w14:paraId="0D9BD77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lastRenderedPageBreak/>
              <w:t xml:space="preserve">Cette ligne ne peut servir à inclure dans le calcul des ratios de solvabilité des éléments </w:t>
            </w:r>
            <w:r w:rsidRPr="00BC256B">
              <w:rPr>
                <w:rFonts w:ascii="Times New Roman" w:hAnsi="Times New Roman"/>
                <w:bCs/>
              </w:rPr>
              <w:t>de capital ou des déductions qui ne sont pas prévus par le règlement (UE) 2019/2033 ou le règlement (UE) n</w:t>
            </w:r>
            <w:r w:rsidRPr="00BC256B">
              <w:rPr>
                <w:rFonts w:ascii="Times New Roman" w:hAnsi="Times New Roman"/>
                <w:bCs/>
                <w:vertAlign w:val="superscript"/>
              </w:rPr>
              <w:t>o</w:t>
            </w:r>
            <w:r w:rsidRPr="00BC256B">
              <w:rPr>
                <w:rFonts w:ascii="Times New Roman" w:hAnsi="Times New Roman"/>
                <w:bCs/>
              </w:rPr>
              <w:t> 575/2013.</w:t>
            </w:r>
            <w:r w:rsidRPr="00BC256B">
              <w:rPr>
                <w:rFonts w:ascii="Times New Roman" w:hAnsi="Times New Roman"/>
                <w:b/>
                <w:bCs/>
                <w:u w:val="single"/>
              </w:rPr>
              <w:t xml:space="preserve"> </w:t>
            </w:r>
          </w:p>
        </w:tc>
      </w:tr>
      <w:tr w:rsidR="008C1FA5" w:rsidRPr="00BC256B" w14:paraId="4F081456" w14:textId="77777777">
        <w:tc>
          <w:tcPr>
            <w:tcW w:w="1129" w:type="dxa"/>
          </w:tcPr>
          <w:p w14:paraId="206FABF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725F70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FONDS PROPRES ADDITIONNELS DE CATÉGORIE 1</w:t>
            </w:r>
          </w:p>
          <w:p w14:paraId="0683AE6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du règlement (UE) 2019/2033</w:t>
            </w:r>
          </w:p>
          <w:p w14:paraId="04C56E13"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t>Article 61 du règlement (UE) n</w:t>
            </w:r>
            <w:r w:rsidRPr="00BC256B">
              <w:rPr>
                <w:rFonts w:ascii="Times New Roman" w:hAnsi="Times New Roman"/>
                <w:vertAlign w:val="superscript"/>
              </w:rPr>
              <w:t>o</w:t>
            </w:r>
            <w:r w:rsidRPr="00BC256B">
              <w:rPr>
                <w:rFonts w:ascii="Times New Roman" w:hAnsi="Times New Roman"/>
              </w:rPr>
              <w:t> 575/</w:t>
            </w:r>
            <w:r w:rsidRPr="00BC256B">
              <w:rPr>
                <w:rFonts w:ascii="Times New Roman" w:hAnsi="Times New Roman"/>
              </w:rPr>
              <w:t>2013.</w:t>
            </w:r>
          </w:p>
          <w:p w14:paraId="251C702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La valeur à déclarer est la somme totale des lignes 0310-0330 et 0410.</w:t>
            </w:r>
          </w:p>
        </w:tc>
      </w:tr>
      <w:tr w:rsidR="008C1FA5" w:rsidRPr="00BC256B" w14:paraId="2B21AA0D" w14:textId="77777777">
        <w:tc>
          <w:tcPr>
            <w:tcW w:w="1129" w:type="dxa"/>
          </w:tcPr>
          <w:p w14:paraId="0401049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1A6E3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Instruments de capital directement émis entièrement libérés</w:t>
            </w:r>
          </w:p>
          <w:p w14:paraId="2F03583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2E5C628B"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 xml:space="preserve">Article 51, point a), et articles 52, 53 et 54 </w:t>
            </w:r>
            <w:r w:rsidRPr="00BC256B">
              <w:rPr>
                <w:rStyle w:val="FormatvorlageInstructionsTabelleText"/>
                <w:rFonts w:ascii="Times New Roman" w:hAnsi="Times New Roman"/>
                <w:sz w:val="22"/>
                <w:szCs w:val="22"/>
              </w:rPr>
              <w:t>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293D2E30"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 montant à déclarer n’intègre pas la prime d’émission liée à ces instruments.</w:t>
            </w:r>
          </w:p>
        </w:tc>
      </w:tr>
      <w:tr w:rsidR="008C1FA5" w:rsidRPr="00BC256B" w14:paraId="6BDE8B11" w14:textId="77777777">
        <w:tc>
          <w:tcPr>
            <w:tcW w:w="1129" w:type="dxa"/>
          </w:tcPr>
          <w:p w14:paraId="45857A8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BB7E8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Prime d’émission</w:t>
            </w:r>
          </w:p>
          <w:p w14:paraId="2FF15B2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5941DE46"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Article 51, point b),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4EF902BD"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Le terme «prime d’émission» a la même signification que dans la norme comptable applicable.</w:t>
            </w:r>
          </w:p>
          <w:p w14:paraId="41EAE84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 montant à déclarer à ce poste est la part liée aux «Instruments de capital versés».</w:t>
            </w:r>
          </w:p>
        </w:tc>
      </w:tr>
      <w:tr w:rsidR="008C1FA5" w:rsidRPr="00BC256B" w14:paraId="44C9DEA8" w14:textId="77777777">
        <w:tc>
          <w:tcPr>
            <w:tcW w:w="1129" w:type="dxa"/>
          </w:tcPr>
          <w:p w14:paraId="5389F4C0"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7F410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TOTAL DES DÉDUCTIONS SUR LES FONDS PROPRES </w:t>
            </w:r>
            <w:r w:rsidRPr="00BC256B">
              <w:rPr>
                <w:rFonts w:ascii="Times New Roman" w:hAnsi="Times New Roman"/>
                <w:b/>
                <w:bCs/>
                <w:u w:val="single"/>
              </w:rPr>
              <w:t>ADDITIONNELS DE CATÉGORIE 1</w:t>
            </w:r>
          </w:p>
          <w:p w14:paraId="22EF0DED" w14:textId="77777777" w:rsidR="008C1FA5" w:rsidRPr="00BC256B" w:rsidRDefault="00BC256B">
            <w:pPr>
              <w:spacing w:before="60" w:after="60"/>
              <w:rPr>
                <w:rFonts w:ascii="Times New Roman" w:hAnsi="Times New Roman" w:cs="Times New Roman"/>
              </w:rPr>
            </w:pPr>
            <w:r w:rsidRPr="00BC256B">
              <w:rPr>
                <w:rFonts w:ascii="Times New Roman" w:hAnsi="Times New Roman"/>
              </w:rPr>
              <w:t>Article 56 du règlement (UE) n</w:t>
            </w:r>
            <w:r w:rsidRPr="00BC256B">
              <w:rPr>
                <w:rFonts w:ascii="Times New Roman" w:hAnsi="Times New Roman"/>
                <w:vertAlign w:val="superscript"/>
              </w:rPr>
              <w:t>o</w:t>
            </w:r>
            <w:r w:rsidRPr="00BC256B">
              <w:rPr>
                <w:rFonts w:ascii="Times New Roman" w:hAnsi="Times New Roman"/>
              </w:rPr>
              <w:t> 575/2013.</w:t>
            </w:r>
          </w:p>
          <w:p w14:paraId="47F6092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La valeur à déclarer est la somme totale des lignes 0340 et 0380-0400.</w:t>
            </w:r>
          </w:p>
        </w:tc>
      </w:tr>
      <w:tr w:rsidR="008C1FA5" w:rsidRPr="00BC256B" w14:paraId="36615A58" w14:textId="77777777">
        <w:tc>
          <w:tcPr>
            <w:tcW w:w="1129" w:type="dxa"/>
          </w:tcPr>
          <w:p w14:paraId="0F6FA36F"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DD88F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Propres instruments AT1</w:t>
            </w:r>
          </w:p>
          <w:p w14:paraId="75DCCCB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32A75A68" w14:textId="77777777" w:rsidR="008C1FA5" w:rsidRPr="00BC256B" w:rsidRDefault="00BC256B">
            <w:pPr>
              <w:pStyle w:val="InstructionsText"/>
              <w:rPr>
                <w:rStyle w:val="FormatvorlageInstructionsTabelleText"/>
                <w:rFonts w:ascii="Times New Roman" w:eastAsiaTheme="minorHAnsi" w:hAnsi="Times New Roman"/>
                <w:bCs/>
                <w:sz w:val="22"/>
                <w:szCs w:val="22"/>
              </w:rPr>
            </w:pPr>
            <w:r w:rsidRPr="00BC256B">
              <w:rPr>
                <w:rStyle w:val="FormatvorlageInstructionsTabelleText"/>
                <w:rFonts w:ascii="Times New Roman" w:hAnsi="Times New Roman"/>
                <w:sz w:val="22"/>
                <w:szCs w:val="22"/>
              </w:rPr>
              <w:t>Article 52, paragraphe 1, point b), article 56, point a), et article 57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59442969"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Propres instruments de fonds propres additionnels de catégorie 1 détenus par l’entreprise d’investissement à la date de déclaration. Poste soumis aux exc</w:t>
            </w:r>
            <w:r w:rsidRPr="00BC256B">
              <w:rPr>
                <w:rStyle w:val="FormatvorlageInstructionsTabelleText"/>
                <w:rFonts w:ascii="Times New Roman" w:hAnsi="Times New Roman"/>
                <w:sz w:val="22"/>
                <w:szCs w:val="22"/>
              </w:rPr>
              <w:t>eptions de l’article 57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26F594FC" w14:textId="77777777" w:rsidR="008C1FA5" w:rsidRPr="00BC256B" w:rsidRDefault="00BC256B">
            <w:pPr>
              <w:pStyle w:val="InstructionsText"/>
            </w:pPr>
            <w:r w:rsidRPr="00BC256B">
              <w:rPr>
                <w:rStyle w:val="FormatvorlageInstructionsTabelleText"/>
                <w:rFonts w:ascii="Times New Roman" w:hAnsi="Times New Roman"/>
                <w:sz w:val="22"/>
                <w:szCs w:val="22"/>
              </w:rPr>
              <w:t>Le montant à déclarer intègre la prime d’émission liée aux actions propres.</w:t>
            </w:r>
          </w:p>
        </w:tc>
      </w:tr>
      <w:tr w:rsidR="008C1FA5" w:rsidRPr="00BC256B" w14:paraId="77C54073" w14:textId="77777777">
        <w:tc>
          <w:tcPr>
            <w:tcW w:w="1129" w:type="dxa"/>
          </w:tcPr>
          <w:p w14:paraId="4FD3B0C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3238E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directes d’instruments AT1</w:t>
            </w:r>
          </w:p>
          <w:p w14:paraId="2CBD077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6AD490D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56, p</w:t>
            </w:r>
            <w:r w:rsidRPr="00BC256B">
              <w:rPr>
                <w:rFonts w:ascii="Times New Roman" w:hAnsi="Times New Roman"/>
                <w:bCs/>
              </w:rPr>
              <w:t>oint a),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503ED711" w14:textId="77777777">
        <w:tc>
          <w:tcPr>
            <w:tcW w:w="1129" w:type="dxa"/>
          </w:tcPr>
          <w:p w14:paraId="65466C6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B938D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indirectes d’instruments AT1</w:t>
            </w:r>
          </w:p>
          <w:p w14:paraId="31C60A90"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158FFF3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56, point a),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23F5A926" w14:textId="77777777">
        <w:tc>
          <w:tcPr>
            <w:tcW w:w="1129" w:type="dxa"/>
          </w:tcPr>
          <w:p w14:paraId="15CD8B3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62368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Détentions synthétiques </w:t>
            </w:r>
            <w:r w:rsidRPr="00BC256B">
              <w:rPr>
                <w:rFonts w:ascii="Times New Roman" w:hAnsi="Times New Roman"/>
                <w:b/>
                <w:bCs/>
                <w:u w:val="single"/>
              </w:rPr>
              <w:t>d’instruments AT1</w:t>
            </w:r>
          </w:p>
          <w:p w14:paraId="17D30E2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16D27C4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56, point a),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1701544A" w14:textId="77777777">
        <w:tc>
          <w:tcPr>
            <w:tcW w:w="1129" w:type="dxa"/>
          </w:tcPr>
          <w:p w14:paraId="2266E0F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D1F6A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Instruments AT1 d’entités du secteur financier dans lesquelles l’entreprise d’investissement ne détient pas d’i</w:t>
            </w:r>
            <w:r w:rsidRPr="00BC256B">
              <w:rPr>
                <w:rFonts w:ascii="Times New Roman" w:hAnsi="Times New Roman"/>
                <w:b/>
                <w:bCs/>
                <w:u w:val="single"/>
              </w:rPr>
              <w:t>nvestissement important</w:t>
            </w:r>
          </w:p>
          <w:p w14:paraId="14EFDC47"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50E25C7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lastRenderedPageBreak/>
              <w:t>Article 56, point c),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62A8DDE1" w14:textId="77777777">
        <w:tc>
          <w:tcPr>
            <w:tcW w:w="1129" w:type="dxa"/>
          </w:tcPr>
          <w:p w14:paraId="290B4A50"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2EB81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Instruments AT1 d’entités du secteur financier dans lesquelles l’entreprise d’investissement détient un i</w:t>
            </w:r>
            <w:r w:rsidRPr="00BC256B">
              <w:rPr>
                <w:rFonts w:ascii="Times New Roman" w:hAnsi="Times New Roman"/>
                <w:b/>
                <w:bCs/>
                <w:u w:val="single"/>
              </w:rPr>
              <w:t>nvestissement important</w:t>
            </w:r>
          </w:p>
          <w:p w14:paraId="6858A90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2C58B87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56, point d),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06A84A48" w14:textId="77777777">
        <w:tc>
          <w:tcPr>
            <w:tcW w:w="1129" w:type="dxa"/>
          </w:tcPr>
          <w:p w14:paraId="0354F33C"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03E6E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Autres déductions</w:t>
            </w:r>
          </w:p>
          <w:p w14:paraId="49BD851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 xml:space="preserve">Indiquer ici la somme de toutes les autres déductions prévues par </w:t>
            </w:r>
            <w:r w:rsidRPr="00BC256B">
              <w:rPr>
                <w:rFonts w:ascii="Times New Roman" w:hAnsi="Times New Roman"/>
                <w:bCs/>
              </w:rPr>
              <w:t>l’article 56, du règlement (UE) n</w:t>
            </w:r>
            <w:r w:rsidRPr="00BC256B">
              <w:rPr>
                <w:rFonts w:ascii="Times New Roman" w:hAnsi="Times New Roman"/>
                <w:bCs/>
                <w:vertAlign w:val="superscript"/>
              </w:rPr>
              <w:t>o</w:t>
            </w:r>
            <w:r w:rsidRPr="00BC256B">
              <w:rPr>
                <w:rFonts w:ascii="Times New Roman" w:hAnsi="Times New Roman"/>
                <w:bCs/>
              </w:rPr>
              <w:t> 575/2013 qui ne sont indiquées sur aucune des lignes 0340 à 0390 ci-dessus.</w:t>
            </w:r>
          </w:p>
        </w:tc>
      </w:tr>
      <w:tr w:rsidR="008C1FA5" w:rsidRPr="00BC256B" w14:paraId="3A5072B6" w14:textId="77777777">
        <w:tc>
          <w:tcPr>
            <w:tcW w:w="1129" w:type="dxa"/>
          </w:tcPr>
          <w:p w14:paraId="01366E1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2A6291"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Fonds propres additionnels de catégorie 1 (AT1): Autres éléments de fonds propres, déductions et ajustements</w:t>
            </w:r>
          </w:p>
          <w:p w14:paraId="151411F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 xml:space="preserve">Cette ligne comprend la somme </w:t>
            </w:r>
            <w:r w:rsidRPr="00BC256B">
              <w:rPr>
                <w:rFonts w:ascii="Times New Roman" w:hAnsi="Times New Roman"/>
                <w:bCs/>
              </w:rPr>
              <w:t>des éléments suivants:</w:t>
            </w:r>
          </w:p>
          <w:p w14:paraId="3E022C66"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Ajustements transitoires découlant d’instruments de capital AT1 qui bénéficient d’une clause d’antériorité [article 483, paragraphes 4 et 5, articles 484 à 487 et articles 489 à 491 du règlement (UE) n</w:t>
            </w:r>
            <w:r w:rsidRPr="00BC256B">
              <w:rPr>
                <w:rFonts w:ascii="Times New Roman" w:hAnsi="Times New Roman"/>
                <w:bCs/>
                <w:vertAlign w:val="superscript"/>
              </w:rPr>
              <w:t>o</w:t>
            </w:r>
            <w:r w:rsidRPr="00BC256B">
              <w:rPr>
                <w:rFonts w:ascii="Times New Roman" w:hAnsi="Times New Roman"/>
                <w:bCs/>
              </w:rPr>
              <w:t> 575/2013]</w:t>
            </w:r>
          </w:p>
          <w:p w14:paraId="746E2A51"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Instruments émis</w:t>
            </w:r>
            <w:r w:rsidRPr="00BC256B">
              <w:rPr>
                <w:rFonts w:ascii="Times New Roman" w:hAnsi="Times New Roman"/>
                <w:bCs/>
              </w:rPr>
              <w:t xml:space="preserve"> par des filiales qui sont pris en compte dans les fonds propres AT1 [articles 83, 85 et 86 du règlement (UE) n</w:t>
            </w:r>
            <w:r w:rsidRPr="00BC256B">
              <w:rPr>
                <w:rFonts w:ascii="Times New Roman" w:hAnsi="Times New Roman"/>
                <w:bCs/>
                <w:vertAlign w:val="superscript"/>
              </w:rPr>
              <w:t>o</w:t>
            </w:r>
            <w:r w:rsidRPr="00BC256B">
              <w:rPr>
                <w:rFonts w:ascii="Times New Roman" w:hAnsi="Times New Roman"/>
                <w:bCs/>
              </w:rPr>
              <w:t> 575/2013]: Somme de tous les instruments de capital T1 éligibles de filiales qui sont inclus dans les fonds propres additionnels de catégorie 1</w:t>
            </w:r>
            <w:r w:rsidRPr="00BC256B">
              <w:rPr>
                <w:rFonts w:ascii="Times New Roman" w:hAnsi="Times New Roman"/>
                <w:bCs/>
              </w:rPr>
              <w:t xml:space="preserve"> consolidés, y compris les instruments de capital émis par une entité ad hoc [article 83 du règlement (UE) n</w:t>
            </w:r>
            <w:r w:rsidRPr="00BC256B">
              <w:rPr>
                <w:rFonts w:ascii="Times New Roman" w:hAnsi="Times New Roman"/>
                <w:bCs/>
                <w:vertAlign w:val="superscript"/>
              </w:rPr>
              <w:t>o</w:t>
            </w:r>
            <w:r w:rsidRPr="00BC256B">
              <w:rPr>
                <w:rFonts w:ascii="Times New Roman" w:hAnsi="Times New Roman"/>
                <w:bCs/>
              </w:rPr>
              <w:t> 575/2013]</w:t>
            </w:r>
          </w:p>
          <w:p w14:paraId="415A651B"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Ajustements transitoires dus à la comptabilisation supplémentaire, dans les fonds propres AT1, d’instruments émis par des filiales [ar</w:t>
            </w:r>
            <w:r w:rsidRPr="00BC256B">
              <w:rPr>
                <w:rFonts w:ascii="Times New Roman" w:hAnsi="Times New Roman"/>
                <w:bCs/>
              </w:rPr>
              <w:t>ticle 480 du règlement (UE) n</w:t>
            </w:r>
            <w:r w:rsidRPr="00BC256B">
              <w:rPr>
                <w:rFonts w:ascii="Times New Roman" w:hAnsi="Times New Roman"/>
                <w:bCs/>
                <w:vertAlign w:val="superscript"/>
              </w:rPr>
              <w:t>o</w:t>
            </w:r>
            <w:r w:rsidRPr="00BC256B">
              <w:rPr>
                <w:rFonts w:ascii="Times New Roman" w:hAnsi="Times New Roman"/>
                <w:bCs/>
              </w:rPr>
              <w:t> 575/2013] et ajustements de fonds propres de catégorie 1 éligibles inclus dans les fonds propres AT1 consolidés en application de dispositions transitoires</w:t>
            </w:r>
          </w:p>
          <w:p w14:paraId="43E58411"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 xml:space="preserve">Autres ajustements transitoires des fonds propres AT1 </w:t>
            </w:r>
            <w:r w:rsidRPr="00BC256B">
              <w:rPr>
                <w:rFonts w:ascii="Times New Roman" w:hAnsi="Times New Roman"/>
                <w:bCs/>
              </w:rPr>
              <w:t>[articles 472, 473 </w:t>
            </w:r>
            <w:r w:rsidRPr="00BC256B">
              <w:rPr>
                <w:rFonts w:ascii="Times New Roman" w:hAnsi="Times New Roman"/>
                <w:bCs/>
                <w:i/>
              </w:rPr>
              <w:t>bis</w:t>
            </w:r>
            <w:r w:rsidRPr="00BC256B">
              <w:rPr>
                <w:rFonts w:ascii="Times New Roman" w:hAnsi="Times New Roman"/>
                <w:bCs/>
              </w:rPr>
              <w:t>, 474, 475, 478 et 481 du règlement (UE) n</w:t>
            </w:r>
            <w:r w:rsidRPr="00BC256B">
              <w:rPr>
                <w:rFonts w:ascii="Times New Roman" w:hAnsi="Times New Roman"/>
                <w:bCs/>
                <w:vertAlign w:val="superscript"/>
              </w:rPr>
              <w:t>o</w:t>
            </w:r>
            <w:r w:rsidRPr="00BC256B">
              <w:rPr>
                <w:rFonts w:ascii="Times New Roman" w:hAnsi="Times New Roman"/>
                <w:bCs/>
              </w:rPr>
              <w:t> 575/2013]: ajustements des déductions découlant de dispositions transitoires.</w:t>
            </w:r>
          </w:p>
          <w:p w14:paraId="5708500C"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Montant déduit des éléments AT1 qui excède le montant des fonds propres AT1 et est déduit des fonds propres CE</w:t>
            </w:r>
            <w:r w:rsidRPr="00BC256B">
              <w:rPr>
                <w:rFonts w:ascii="Times New Roman" w:hAnsi="Times New Roman"/>
                <w:bCs/>
              </w:rPr>
              <w:t>T1 conformément à l’article 36, paragraphe 1, point j), du règlement (UE) n</w:t>
            </w:r>
            <w:r w:rsidRPr="00BC256B">
              <w:rPr>
                <w:rFonts w:ascii="Times New Roman" w:hAnsi="Times New Roman"/>
                <w:bCs/>
                <w:vertAlign w:val="superscript"/>
              </w:rPr>
              <w:t>o</w:t>
            </w:r>
            <w:r w:rsidRPr="00BC256B">
              <w:rPr>
                <w:rFonts w:ascii="Times New Roman" w:hAnsi="Times New Roman"/>
                <w:bCs/>
              </w:rPr>
              <w:t> 575/2013: Le montant des éléments de fonds propres AT1 ne peut être négatif, mais il peut arriver que le montant à déduire de ces éléments dépasse le montant des éléments AT1 disp</w:t>
            </w:r>
            <w:r w:rsidRPr="00BC256B">
              <w:rPr>
                <w:rFonts w:ascii="Times New Roman" w:hAnsi="Times New Roman"/>
                <w:bCs/>
              </w:rPr>
              <w:t>onibles. Dans ce cas, cet élément correspond au montant nécessaire pour porter à zéro le montant déclaré à la ligne 0300 et est égal à l’inverse du montant déduit des éléments AT1 qui excède le montant de fonds propres AT1 et a été déclaré, entre autres dé</w:t>
            </w:r>
            <w:r w:rsidRPr="00BC256B">
              <w:rPr>
                <w:rFonts w:ascii="Times New Roman" w:hAnsi="Times New Roman"/>
                <w:bCs/>
              </w:rPr>
              <w:t>ductions, à la ligne 0280.</w:t>
            </w:r>
          </w:p>
          <w:p w14:paraId="74F3CE53"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Autres éléments de fonds propres AT1 ou déductions sur un élément de fonds propres AT1 qui ne correspondent à aucune des lignes 0310 à 0400.</w:t>
            </w:r>
          </w:p>
          <w:p w14:paraId="483F2A8E"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 xml:space="preserve">Cette ligne ne peut servir à inclure dans le calcul des ratios de </w:t>
            </w:r>
            <w:r w:rsidRPr="00BC256B">
              <w:rPr>
                <w:rFonts w:ascii="Times New Roman" w:hAnsi="Times New Roman"/>
                <w:bCs/>
              </w:rPr>
              <w:t>solvabilité des éléments de fonds propres ou des déductions qui ne sont pas prévus par le règlement (UE) 2019/2033 ou le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46A24D45" w14:textId="77777777">
        <w:tc>
          <w:tcPr>
            <w:tcW w:w="1129" w:type="dxa"/>
          </w:tcPr>
          <w:p w14:paraId="3B4D83E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7C9782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FONDS PROPRES DE CATÉGORIE 2</w:t>
            </w:r>
          </w:p>
          <w:p w14:paraId="77133E17"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du règlement (UE) 2019/2033</w:t>
            </w:r>
          </w:p>
          <w:p w14:paraId="3841F4F6" w14:textId="77777777" w:rsidR="008C1FA5" w:rsidRPr="00BC256B" w:rsidRDefault="00BC256B">
            <w:pPr>
              <w:spacing w:after="120" w:line="240" w:lineRule="auto"/>
              <w:jc w:val="both"/>
              <w:rPr>
                <w:rStyle w:val="FormatvorlageInstructionsTabelleText"/>
                <w:rFonts w:ascii="Times New Roman" w:hAnsi="Times New Roman"/>
                <w:sz w:val="22"/>
              </w:rPr>
            </w:pPr>
            <w:r w:rsidRPr="00BC256B">
              <w:rPr>
                <w:rStyle w:val="FormatvorlageInstructionsTabelleText"/>
                <w:rFonts w:ascii="Times New Roman" w:hAnsi="Times New Roman"/>
                <w:sz w:val="22"/>
              </w:rPr>
              <w:t>Article 71 du règle</w:t>
            </w:r>
            <w:r w:rsidRPr="00BC256B">
              <w:rPr>
                <w:rStyle w:val="FormatvorlageInstructionsTabelleText"/>
                <w:rFonts w:ascii="Times New Roman" w:hAnsi="Times New Roman"/>
                <w:sz w:val="22"/>
              </w:rPr>
              <w:t>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p w14:paraId="555F5DE7" w14:textId="77777777" w:rsidR="008C1FA5" w:rsidRPr="00BC256B" w:rsidRDefault="00BC256B">
            <w:pPr>
              <w:pStyle w:val="CommentText"/>
            </w:pPr>
            <w:r w:rsidRPr="00BC256B">
              <w:rPr>
                <w:rFonts w:ascii="Times New Roman" w:hAnsi="Times New Roman"/>
                <w:bCs/>
                <w:sz w:val="22"/>
              </w:rPr>
              <w:t>La valeur à déclarer est la somme totale des lignes 0430-0450 et 0520.</w:t>
            </w:r>
          </w:p>
        </w:tc>
      </w:tr>
      <w:tr w:rsidR="008C1FA5" w:rsidRPr="00BC256B" w14:paraId="6D9C54FC" w14:textId="77777777">
        <w:tc>
          <w:tcPr>
            <w:tcW w:w="1129" w:type="dxa"/>
          </w:tcPr>
          <w:p w14:paraId="5B7B2E8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B5B2F0"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Instruments de capital directement émis entièrement libérés</w:t>
            </w:r>
          </w:p>
          <w:p w14:paraId="189E614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0F05B9B5" w14:textId="77777777" w:rsidR="008C1FA5" w:rsidRPr="00BC256B" w:rsidRDefault="00BC256B">
            <w:pPr>
              <w:pStyle w:val="InstructionsText"/>
              <w:rPr>
                <w:rStyle w:val="FormatvorlageInstructionsTabelleText"/>
                <w:rFonts w:ascii="Times New Roman" w:eastAsiaTheme="minorHAnsi" w:hAnsi="Times New Roman"/>
                <w:bCs/>
                <w:sz w:val="22"/>
                <w:szCs w:val="22"/>
              </w:rPr>
            </w:pPr>
            <w:r w:rsidRPr="00BC256B">
              <w:rPr>
                <w:rStyle w:val="FormatvorlageInstructionsTabelleText"/>
                <w:rFonts w:ascii="Times New Roman" w:hAnsi="Times New Roman"/>
                <w:sz w:val="22"/>
                <w:szCs w:val="22"/>
              </w:rPr>
              <w:t xml:space="preserve">Article 62, point a), et </w:t>
            </w:r>
            <w:r w:rsidRPr="00BC256B">
              <w:rPr>
                <w:rStyle w:val="FormatvorlageInstructionsTabelleText"/>
                <w:rFonts w:ascii="Times New Roman" w:hAnsi="Times New Roman"/>
                <w:sz w:val="22"/>
                <w:szCs w:val="22"/>
              </w:rPr>
              <w:t>articles 63 et 65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69B205F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 montant à déclarer n’intègre pas la prime d’émission liée à ces instruments.</w:t>
            </w:r>
          </w:p>
        </w:tc>
      </w:tr>
      <w:tr w:rsidR="008C1FA5" w:rsidRPr="00BC256B" w14:paraId="7B435842" w14:textId="77777777">
        <w:tc>
          <w:tcPr>
            <w:tcW w:w="1129" w:type="dxa"/>
          </w:tcPr>
          <w:p w14:paraId="2175297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C516BF"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Prime d’émission</w:t>
            </w:r>
          </w:p>
          <w:p w14:paraId="720666A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7A9D7A52"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 xml:space="preserve">Article 62, point b), et </w:t>
            </w:r>
            <w:r w:rsidRPr="00BC256B">
              <w:rPr>
                <w:rStyle w:val="FormatvorlageInstructionsTabelleText"/>
                <w:rFonts w:ascii="Times New Roman" w:hAnsi="Times New Roman"/>
                <w:sz w:val="22"/>
                <w:szCs w:val="22"/>
              </w:rPr>
              <w:t>article 65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066A91A8"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Le terme «prime d’émission» a la même signification que dans la norme comptable applicable.</w:t>
            </w:r>
          </w:p>
          <w:p w14:paraId="416282DE" w14:textId="77777777" w:rsidR="008C1FA5" w:rsidRPr="00BC256B" w:rsidRDefault="00BC256B">
            <w:pPr>
              <w:pStyle w:val="InstructionsText"/>
            </w:pPr>
            <w:r w:rsidRPr="00BC256B">
              <w:rPr>
                <w:rStyle w:val="FormatvorlageInstructionsTabelleText"/>
                <w:rFonts w:ascii="Times New Roman" w:hAnsi="Times New Roman"/>
                <w:sz w:val="22"/>
                <w:szCs w:val="22"/>
              </w:rPr>
              <w:t>Le montant à déclarer à ce poste est la part liée aux «Instruments de capital versés».</w:t>
            </w:r>
          </w:p>
        </w:tc>
      </w:tr>
      <w:tr w:rsidR="008C1FA5" w:rsidRPr="00BC256B" w14:paraId="3B6DBB89" w14:textId="77777777">
        <w:tc>
          <w:tcPr>
            <w:tcW w:w="1129" w:type="dxa"/>
          </w:tcPr>
          <w:p w14:paraId="619DE578"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79126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TOTAL DES DÉDUCTIONS SUR </w:t>
            </w:r>
            <w:r w:rsidRPr="00BC256B">
              <w:rPr>
                <w:rFonts w:ascii="Times New Roman" w:hAnsi="Times New Roman"/>
                <w:b/>
                <w:bCs/>
                <w:u w:val="single"/>
              </w:rPr>
              <w:t>LES FONDS PROPRES DE CATÉGORIE 2</w:t>
            </w:r>
          </w:p>
          <w:p w14:paraId="1CC48D4E"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rPr>
              <w:t>Article 66 du règlement (UE) n</w:t>
            </w:r>
            <w:r w:rsidRPr="00BC256B">
              <w:rPr>
                <w:rFonts w:ascii="Times New Roman" w:hAnsi="Times New Roman"/>
                <w:vertAlign w:val="superscript"/>
              </w:rPr>
              <w:t>o</w:t>
            </w:r>
            <w:r w:rsidRPr="00BC256B">
              <w:rPr>
                <w:rFonts w:ascii="Times New Roman" w:hAnsi="Times New Roman"/>
              </w:rPr>
              <w:t> 575/2013.</w:t>
            </w:r>
          </w:p>
        </w:tc>
      </w:tr>
      <w:tr w:rsidR="008C1FA5" w:rsidRPr="00BC256B" w14:paraId="188A41C8" w14:textId="77777777">
        <w:tc>
          <w:tcPr>
            <w:tcW w:w="1129" w:type="dxa"/>
          </w:tcPr>
          <w:p w14:paraId="7BC03FB5"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590F7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Propres instruments T2</w:t>
            </w:r>
          </w:p>
          <w:p w14:paraId="08B34D3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i), du règlement (UE) 2019/2033.</w:t>
            </w:r>
          </w:p>
          <w:p w14:paraId="61A693B8"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Article 63, point b) i), article 66, point a), et article 67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4E7DD807"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Propres instruments de fonds propres de catégorie 2 détenus par l’établissement ou le groupe déclarant à la date de déclaration. Poste soumis aux exceptions de l’article 67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4CD56ABF"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La détention d’actions intégrées aux «Ins</w:t>
            </w:r>
            <w:r w:rsidRPr="00BC256B">
              <w:rPr>
                <w:rStyle w:val="FormatvorlageInstructionsTabelleText"/>
                <w:rFonts w:ascii="Times New Roman" w:hAnsi="Times New Roman"/>
                <w:sz w:val="22"/>
                <w:szCs w:val="22"/>
              </w:rPr>
              <w:t>truments de capital non éligibles» n’est pas déclarée sur cette ligne.</w:t>
            </w:r>
          </w:p>
          <w:p w14:paraId="326CF1F0" w14:textId="77777777" w:rsidR="008C1FA5" w:rsidRPr="00BC256B" w:rsidRDefault="00BC256B">
            <w:pPr>
              <w:pStyle w:val="InstructionsText"/>
            </w:pPr>
            <w:r w:rsidRPr="00BC256B">
              <w:rPr>
                <w:rStyle w:val="FormatvorlageInstructionsTabelleText"/>
                <w:rFonts w:ascii="Times New Roman" w:hAnsi="Times New Roman"/>
                <w:sz w:val="22"/>
                <w:szCs w:val="22"/>
              </w:rPr>
              <w:t>Le montant à déclarer intègre la prime d’émission liée aux actions propres.</w:t>
            </w:r>
          </w:p>
        </w:tc>
      </w:tr>
      <w:tr w:rsidR="008C1FA5" w:rsidRPr="00BC256B" w14:paraId="7EA2B94C" w14:textId="77777777">
        <w:tc>
          <w:tcPr>
            <w:tcW w:w="1129" w:type="dxa"/>
          </w:tcPr>
          <w:p w14:paraId="0B0A54F9"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6A9A9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directes d’instruments T2</w:t>
            </w:r>
          </w:p>
          <w:p w14:paraId="62B96D4B" w14:textId="77777777" w:rsidR="008C1FA5" w:rsidRPr="00BC256B" w:rsidRDefault="00BC256B">
            <w:pPr>
              <w:pStyle w:val="InstructionsText"/>
            </w:pPr>
            <w:r w:rsidRPr="00BC256B">
              <w:rPr>
                <w:rStyle w:val="FormatvorlageInstructionsTabelleText"/>
                <w:rFonts w:ascii="Times New Roman" w:hAnsi="Times New Roman"/>
                <w:sz w:val="22"/>
              </w:rPr>
              <w:t>Article 63, point b), article 66, point a), et article 67 du r</w:t>
            </w:r>
            <w:r w:rsidRPr="00BC256B">
              <w:rPr>
                <w:rStyle w:val="FormatvorlageInstructionsTabelleText"/>
                <w:rFonts w:ascii="Times New Roman" w:hAnsi="Times New Roman"/>
                <w:sz w:val="22"/>
              </w:rPr>
              <w:t>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334CCEF0" w14:textId="77777777">
        <w:tc>
          <w:tcPr>
            <w:tcW w:w="1129" w:type="dxa"/>
          </w:tcPr>
          <w:p w14:paraId="43AB9DC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CFECC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Détentions indirectes d’instruments T2</w:t>
            </w:r>
          </w:p>
          <w:p w14:paraId="28BB44D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Article 4, paragraphe 1, point 114), article 63, point b), article 66, point a), et article 67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684B3B8C" w14:textId="77777777">
        <w:tc>
          <w:tcPr>
            <w:tcW w:w="1129" w:type="dxa"/>
          </w:tcPr>
          <w:p w14:paraId="24AB9712"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CF44C2"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Détentions synthétiques </w:t>
            </w:r>
            <w:r w:rsidRPr="00BC256B">
              <w:rPr>
                <w:rFonts w:ascii="Times New Roman" w:hAnsi="Times New Roman"/>
                <w:b/>
                <w:bCs/>
                <w:u w:val="single"/>
              </w:rPr>
              <w:t>d’instruments T2</w:t>
            </w:r>
          </w:p>
          <w:p w14:paraId="5B8DC1A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Article 4, paragraphe 1, point 126), article 63, point b), article 66, point a), et article 67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w:t>
            </w:r>
          </w:p>
        </w:tc>
      </w:tr>
      <w:tr w:rsidR="008C1FA5" w:rsidRPr="00BC256B" w14:paraId="781084E3" w14:textId="77777777">
        <w:tc>
          <w:tcPr>
            <w:tcW w:w="1129" w:type="dxa"/>
            <w:tcBorders>
              <w:bottom w:val="single" w:sz="4" w:space="0" w:color="auto"/>
            </w:tcBorders>
          </w:tcPr>
          <w:p w14:paraId="29384AD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9B0F69"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Instruments T2 d’entités du secteur financier dans lesquelles l’entreprise </w:t>
            </w:r>
            <w:r w:rsidRPr="00BC256B">
              <w:rPr>
                <w:rFonts w:ascii="Times New Roman" w:hAnsi="Times New Roman"/>
                <w:b/>
                <w:bCs/>
                <w:u w:val="single"/>
              </w:rPr>
              <w:t>d’investissement ne détient pas d’investissement important</w:t>
            </w:r>
          </w:p>
          <w:p w14:paraId="2AAB2708"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2, point c), du règlement (UE) 2019/2033.</w:t>
            </w:r>
          </w:p>
          <w:p w14:paraId="0305295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Article 66, point c),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03CFBA92" w14:textId="77777777">
        <w:tc>
          <w:tcPr>
            <w:tcW w:w="1129" w:type="dxa"/>
            <w:tcBorders>
              <w:top w:val="single" w:sz="4" w:space="0" w:color="auto"/>
              <w:bottom w:val="single" w:sz="4" w:space="0" w:color="auto"/>
            </w:tcBorders>
          </w:tcPr>
          <w:p w14:paraId="2CC6E9D6"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6057A6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 Instruments T2 d’entités du secteur financier dans </w:t>
            </w:r>
            <w:r w:rsidRPr="00BC256B">
              <w:rPr>
                <w:rFonts w:ascii="Times New Roman" w:hAnsi="Times New Roman"/>
                <w:b/>
                <w:bCs/>
                <w:u w:val="single"/>
              </w:rPr>
              <w:t>lesquelles l’entreprise d’investissement détient un investissement important</w:t>
            </w:r>
          </w:p>
          <w:p w14:paraId="7B359C14" w14:textId="77777777" w:rsidR="008C1FA5" w:rsidRPr="00BC256B" w:rsidRDefault="00BC256B">
            <w:pPr>
              <w:pStyle w:val="InstructionsText"/>
              <w:rPr>
                <w:rStyle w:val="FormatvorlageInstructionsTabelleText"/>
                <w:rFonts w:ascii="Times New Roman" w:hAnsi="Times New Roman"/>
                <w:sz w:val="22"/>
                <w:szCs w:val="22"/>
              </w:rPr>
            </w:pPr>
            <w:r w:rsidRPr="00BC256B">
              <w:rPr>
                <w:rStyle w:val="FormatvorlageInstructionsTabelleText"/>
                <w:rFonts w:ascii="Times New Roman" w:hAnsi="Times New Roman"/>
                <w:sz w:val="22"/>
                <w:szCs w:val="22"/>
              </w:rPr>
              <w:t>Article 4, paragraphe 1, point 27), article 66, point d), et articles 68, 69 et 79 du règlement (UE) n</w:t>
            </w:r>
            <w:r w:rsidRPr="00BC256B">
              <w:rPr>
                <w:rStyle w:val="FormatvorlageInstructionsTabelleText"/>
                <w:rFonts w:ascii="Times New Roman" w:hAnsi="Times New Roman"/>
                <w:sz w:val="22"/>
                <w:szCs w:val="22"/>
                <w:vertAlign w:val="superscript"/>
              </w:rPr>
              <w:t>o</w:t>
            </w:r>
            <w:r w:rsidRPr="00BC256B">
              <w:rPr>
                <w:rStyle w:val="FormatvorlageInstructionsTabelleText"/>
                <w:rFonts w:ascii="Times New Roman" w:hAnsi="Times New Roman"/>
                <w:sz w:val="22"/>
                <w:szCs w:val="22"/>
              </w:rPr>
              <w:t> 575/2013.</w:t>
            </w:r>
          </w:p>
          <w:p w14:paraId="52B1A33A"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Style w:val="FormatvorlageInstructionsTabelleText"/>
                <w:rFonts w:ascii="Times New Roman" w:hAnsi="Times New Roman"/>
                <w:sz w:val="22"/>
              </w:rPr>
              <w:t>Les détentions de l’entreprise d’investissement en instruments de</w:t>
            </w:r>
            <w:r w:rsidRPr="00BC256B">
              <w:rPr>
                <w:rStyle w:val="FormatvorlageInstructionsTabelleText"/>
                <w:rFonts w:ascii="Times New Roman" w:hAnsi="Times New Roman"/>
                <w:sz w:val="22"/>
              </w:rPr>
              <w:t xml:space="preserve"> fonds propres de catégorie 2 d’entités du secteur financier (telles que définies à l’article 4, paragraphe 1, point 27), du règlement (UE) n</w:t>
            </w:r>
            <w:r w:rsidRPr="00BC256B">
              <w:rPr>
                <w:rStyle w:val="FormatvorlageInstructionsTabelleText"/>
                <w:rFonts w:ascii="Times New Roman" w:hAnsi="Times New Roman"/>
                <w:sz w:val="22"/>
                <w:vertAlign w:val="superscript"/>
              </w:rPr>
              <w:t>o</w:t>
            </w:r>
            <w:r w:rsidRPr="00BC256B">
              <w:rPr>
                <w:rStyle w:val="FormatvorlageInstructionsTabelleText"/>
                <w:rFonts w:ascii="Times New Roman" w:hAnsi="Times New Roman"/>
                <w:sz w:val="22"/>
              </w:rPr>
              <w:t> 575/2013) dans lesquelles elle détient un investissement important sont à déduire intégralement.</w:t>
            </w:r>
          </w:p>
        </w:tc>
      </w:tr>
      <w:tr w:rsidR="008C1FA5" w:rsidRPr="00BC256B" w14:paraId="18F7F3F0" w14:textId="77777777">
        <w:tc>
          <w:tcPr>
            <w:tcW w:w="1129" w:type="dxa"/>
            <w:tcBorders>
              <w:top w:val="single" w:sz="4" w:space="0" w:color="auto"/>
              <w:bottom w:val="single" w:sz="4" w:space="0" w:color="auto"/>
            </w:tcBorders>
          </w:tcPr>
          <w:p w14:paraId="533525F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8FF488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 xml:space="preserve">Fonds </w:t>
            </w:r>
            <w:r w:rsidRPr="00BC256B">
              <w:rPr>
                <w:rFonts w:ascii="Times New Roman" w:hAnsi="Times New Roman"/>
                <w:b/>
                <w:bCs/>
                <w:u w:val="single"/>
              </w:rPr>
              <w:t>propres de catégorie 2 (T2): Autres éléments de fonds propres, déductions et ajustements</w:t>
            </w:r>
          </w:p>
          <w:p w14:paraId="348E5948"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lastRenderedPageBreak/>
              <w:t>Cette ligne comprend la somme des éléments suivants:</w:t>
            </w:r>
          </w:p>
          <w:p w14:paraId="5403EAC2"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Ajustements transitoires découlant d’instruments de capital T2 qui bénéficient d’une clause d’antériorité [artic</w:t>
            </w:r>
            <w:r w:rsidRPr="00BC256B">
              <w:rPr>
                <w:rFonts w:ascii="Times New Roman" w:hAnsi="Times New Roman"/>
                <w:bCs/>
              </w:rPr>
              <w:t>le 483, paragraphes 6 et 7, articles 484, 486, 488, 490 et 491 du règlement (UE) n</w:t>
            </w:r>
            <w:r w:rsidRPr="00BC256B">
              <w:rPr>
                <w:rFonts w:ascii="Times New Roman" w:hAnsi="Times New Roman"/>
                <w:bCs/>
                <w:vertAlign w:val="superscript"/>
              </w:rPr>
              <w:t>o</w:t>
            </w:r>
            <w:r w:rsidRPr="00BC256B">
              <w:rPr>
                <w:rFonts w:ascii="Times New Roman" w:hAnsi="Times New Roman"/>
                <w:bCs/>
              </w:rPr>
              <w:t> 575/2013]</w:t>
            </w:r>
          </w:p>
          <w:p w14:paraId="3551F8E2"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Instruments émis par des filiales qui sont pris en compte dans les fonds propres T2 [articles 83, 87 et 88 du règlement (UE) n</w:t>
            </w:r>
            <w:r w:rsidRPr="00BC256B">
              <w:rPr>
                <w:rFonts w:ascii="Times New Roman" w:hAnsi="Times New Roman"/>
                <w:bCs/>
                <w:vertAlign w:val="superscript"/>
              </w:rPr>
              <w:t>o</w:t>
            </w:r>
            <w:r w:rsidRPr="00BC256B">
              <w:rPr>
                <w:rFonts w:ascii="Times New Roman" w:hAnsi="Times New Roman"/>
                <w:bCs/>
              </w:rPr>
              <w:t xml:space="preserve"> 575/2013]: Somme de tous les </w:t>
            </w:r>
            <w:r w:rsidRPr="00BC256B">
              <w:rPr>
                <w:rFonts w:ascii="Times New Roman" w:hAnsi="Times New Roman"/>
                <w:bCs/>
              </w:rPr>
              <w:t>fonds propres éligibles de filiales qui sont inclus dans les fonds propres de catégorie 2 consolidés, y compris les instruments de fonds propres T2 éligibles émis par une entité ad hoc [article 83 du règlement (UE) n</w:t>
            </w:r>
            <w:r w:rsidRPr="00BC256B">
              <w:rPr>
                <w:rFonts w:ascii="Times New Roman" w:hAnsi="Times New Roman"/>
                <w:bCs/>
                <w:vertAlign w:val="superscript"/>
              </w:rPr>
              <w:t>o</w:t>
            </w:r>
            <w:r w:rsidRPr="00BC256B">
              <w:rPr>
                <w:rFonts w:ascii="Times New Roman" w:hAnsi="Times New Roman"/>
                <w:bCs/>
              </w:rPr>
              <w:t> 575/2013]</w:t>
            </w:r>
          </w:p>
          <w:p w14:paraId="24C5B8DD"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Ajustements transitoires d</w:t>
            </w:r>
            <w:r w:rsidRPr="00BC256B">
              <w:rPr>
                <w:rFonts w:ascii="Times New Roman" w:hAnsi="Times New Roman"/>
                <w:bCs/>
              </w:rPr>
              <w:t>us à la comptabilisation supplémentaire en fonds propres T2 d’instruments émis par des filiales [article 480 du règlement (UE) n</w:t>
            </w:r>
            <w:r w:rsidRPr="00BC256B">
              <w:rPr>
                <w:rFonts w:ascii="Times New Roman" w:hAnsi="Times New Roman"/>
                <w:bCs/>
                <w:vertAlign w:val="superscript"/>
              </w:rPr>
              <w:t>o</w:t>
            </w:r>
            <w:r w:rsidRPr="00BC256B">
              <w:rPr>
                <w:rFonts w:ascii="Times New Roman" w:hAnsi="Times New Roman"/>
                <w:bCs/>
              </w:rPr>
              <w:t> 575/2013]: Ajustement des fonds propres reconnaissables inclus dans les fonds propres de catégorie 2 consolidés en raison de d</w:t>
            </w:r>
            <w:r w:rsidRPr="00BC256B">
              <w:rPr>
                <w:rFonts w:ascii="Times New Roman" w:hAnsi="Times New Roman"/>
                <w:bCs/>
              </w:rPr>
              <w:t>ispositions transitoires.</w:t>
            </w:r>
          </w:p>
          <w:p w14:paraId="5051CA0E"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Autres ajustements transitoires des fonds propres T2 [articles 472, 473 </w:t>
            </w:r>
            <w:r w:rsidRPr="00BC256B">
              <w:rPr>
                <w:rFonts w:ascii="Times New Roman" w:hAnsi="Times New Roman"/>
                <w:bCs/>
                <w:i/>
              </w:rPr>
              <w:t>bis</w:t>
            </w:r>
            <w:r w:rsidRPr="00BC256B">
              <w:rPr>
                <w:rFonts w:ascii="Times New Roman" w:hAnsi="Times New Roman"/>
                <w:bCs/>
              </w:rPr>
              <w:t>, 476, 477, 478 et 481 du règlement (UE) n</w:t>
            </w:r>
            <w:r w:rsidRPr="00BC256B">
              <w:rPr>
                <w:rFonts w:ascii="Times New Roman" w:hAnsi="Times New Roman"/>
                <w:bCs/>
                <w:vertAlign w:val="superscript"/>
              </w:rPr>
              <w:t>o</w:t>
            </w:r>
            <w:r w:rsidRPr="00BC256B">
              <w:rPr>
                <w:rFonts w:ascii="Times New Roman" w:hAnsi="Times New Roman"/>
                <w:bCs/>
              </w:rPr>
              <w:t> 575/2013]: ajustements des déductions sur les fonds propres T2 découlant de dispositions transitoires</w:t>
            </w:r>
          </w:p>
          <w:p w14:paraId="6CC157C5"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Monta</w:t>
            </w:r>
            <w:r w:rsidRPr="00BC256B">
              <w:rPr>
                <w:rFonts w:ascii="Times New Roman" w:hAnsi="Times New Roman"/>
                <w:bCs/>
              </w:rPr>
              <w:t>nt déduit des éléments T2 qui excède le montant des fonds propres T2 et est déduit des fonds propres AT1 conformément à l’article 56, point e), du règlement (UE) n</w:t>
            </w:r>
            <w:r w:rsidRPr="00BC256B">
              <w:rPr>
                <w:rFonts w:ascii="Times New Roman" w:hAnsi="Times New Roman"/>
                <w:bCs/>
                <w:vertAlign w:val="superscript"/>
              </w:rPr>
              <w:t>o</w:t>
            </w:r>
            <w:r w:rsidRPr="00BC256B">
              <w:rPr>
                <w:rFonts w:ascii="Times New Roman" w:hAnsi="Times New Roman"/>
                <w:bCs/>
              </w:rPr>
              <w:t> 575/2013: le montant des éléments de fonds propres T2 ne peut être négatif, mais il peut ar</w:t>
            </w:r>
            <w:r w:rsidRPr="00BC256B">
              <w:rPr>
                <w:rFonts w:ascii="Times New Roman" w:hAnsi="Times New Roman"/>
                <w:bCs/>
              </w:rPr>
              <w:t>river que le montant à déduire de ces éléments dépasse le montant des éléments T2 disponibles. Dans ce cas, cet élément représente le montant nécessaire pour porter à zéro le montant déclaré à la ligne 0420.</w:t>
            </w:r>
          </w:p>
          <w:p w14:paraId="505114DB" w14:textId="77777777" w:rsidR="008C1FA5" w:rsidRPr="00BC256B" w:rsidRDefault="00BC256B">
            <w:pPr>
              <w:spacing w:after="120" w:line="240" w:lineRule="auto"/>
              <w:ind w:left="360" w:hanging="360"/>
              <w:jc w:val="both"/>
              <w:rPr>
                <w:rFonts w:ascii="Times New Roman" w:eastAsia="Times New Roman" w:hAnsi="Times New Roman" w:cs="Times New Roman"/>
                <w:bCs/>
              </w:rPr>
            </w:pPr>
            <w:r w:rsidRPr="00BC256B">
              <w:rPr>
                <w:rFonts w:ascii="Times New Roman" w:eastAsia="Times New Roman" w:hAnsi="Times New Roman" w:cs="Times New Roman"/>
                <w:bCs/>
              </w:rPr>
              <w:t>—</w:t>
            </w:r>
            <w:r w:rsidRPr="00BC256B">
              <w:rPr>
                <w:rFonts w:ascii="Times New Roman" w:eastAsia="Times New Roman" w:hAnsi="Times New Roman" w:cs="Times New Roman"/>
                <w:bCs/>
              </w:rPr>
              <w:tab/>
            </w:r>
            <w:r w:rsidRPr="00BC256B">
              <w:rPr>
                <w:rFonts w:ascii="Times New Roman" w:hAnsi="Times New Roman"/>
                <w:bCs/>
              </w:rPr>
              <w:t>Autres éléments de fonds propres T2 ou déducti</w:t>
            </w:r>
            <w:r w:rsidRPr="00BC256B">
              <w:rPr>
                <w:rFonts w:ascii="Times New Roman" w:hAnsi="Times New Roman"/>
                <w:bCs/>
              </w:rPr>
              <w:t>ons sur un élément de fonds propres T2 qui ne correspondent à aucune des lignes 0430 à 0510.</w:t>
            </w:r>
          </w:p>
          <w:p w14:paraId="5199EBC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Cette ligne ne peut servir à inclure dans le calcul des ratios de solvabilité des éléments de fonds propres ou des déductions qui ne sont pas prévus par le règleme</w:t>
            </w:r>
            <w:r w:rsidRPr="00BC256B">
              <w:rPr>
                <w:rFonts w:ascii="Times New Roman" w:hAnsi="Times New Roman"/>
                <w:bCs/>
              </w:rPr>
              <w:t>nt (UE) 2019/2033 ou le règlement (UE) n</w:t>
            </w:r>
            <w:r w:rsidRPr="00BC256B">
              <w:rPr>
                <w:rFonts w:ascii="Times New Roman" w:hAnsi="Times New Roman"/>
                <w:bCs/>
                <w:vertAlign w:val="superscript"/>
              </w:rPr>
              <w:t>o</w:t>
            </w:r>
            <w:r w:rsidRPr="00BC256B">
              <w:rPr>
                <w:rFonts w:ascii="Times New Roman" w:hAnsi="Times New Roman"/>
                <w:bCs/>
              </w:rPr>
              <w:t> 575/2013.</w:t>
            </w:r>
          </w:p>
        </w:tc>
      </w:tr>
    </w:tbl>
    <w:p w14:paraId="7B55F734" w14:textId="77777777" w:rsidR="008C1FA5" w:rsidRPr="00BC256B" w:rsidRDefault="008C1FA5">
      <w:pPr>
        <w:keepNext/>
        <w:spacing w:before="240" w:after="240" w:line="240" w:lineRule="auto"/>
        <w:jc w:val="both"/>
        <w:outlineLvl w:val="1"/>
        <w:rPr>
          <w:rFonts w:ascii="Times New Roman" w:eastAsia="Arial" w:hAnsi="Times New Roman" w:cs="Times New Roman"/>
          <w:sz w:val="24"/>
          <w:szCs w:val="24"/>
        </w:rPr>
      </w:pPr>
    </w:p>
    <w:p w14:paraId="2BF98EDC"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7024702"/>
      <w:r w:rsidRPr="00BC256B">
        <w:rPr>
          <w:rFonts w:ascii="Times New Roman" w:hAnsi="Times New Roman"/>
          <w:sz w:val="24"/>
          <w:szCs w:val="24"/>
          <w:u w:val="single"/>
        </w:rPr>
        <w:t>1.3. I 02.01 – EXIGENCES DE FONDS PROPRES (I 2.1)</w:t>
      </w:r>
      <w:bookmarkEnd w:id="29"/>
    </w:p>
    <w:p w14:paraId="1FEA6943"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7024703"/>
      <w:r w:rsidRPr="00BC256B">
        <w:rPr>
          <w:rFonts w:ascii="Times New Roman" w:hAnsi="Times New Roman"/>
          <w:sz w:val="24"/>
          <w:szCs w:val="24"/>
        </w:rPr>
        <w:t>1.3.1.</w:t>
      </w:r>
      <w:r w:rsidRPr="00BC256B">
        <w:rPr>
          <w:rFonts w:ascii="Times New Roman" w:hAnsi="Times New Roman"/>
          <w:sz w:val="24"/>
          <w:szCs w:val="24"/>
        </w:rPr>
        <w:tab/>
      </w:r>
      <w:r w:rsidRPr="00BC256B">
        <w:rPr>
          <w:rFonts w:ascii="Times New Roman" w:hAnsi="Times New Roman"/>
          <w:sz w:val="24"/>
          <w:szCs w:val="24"/>
          <w:u w:val="single"/>
        </w:rPr>
        <w:t>Instructions concernant certaines positions</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280DE8B" w14:textId="77777777">
        <w:tc>
          <w:tcPr>
            <w:tcW w:w="1129" w:type="dxa"/>
            <w:shd w:val="clear" w:color="auto" w:fill="D9D9D9"/>
          </w:tcPr>
          <w:p w14:paraId="7ED4F2EC"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color w:val="000000" w:themeColor="text1"/>
              </w:rPr>
              <w:t>Ligne</w:t>
            </w:r>
          </w:p>
        </w:tc>
        <w:tc>
          <w:tcPr>
            <w:tcW w:w="7620" w:type="dxa"/>
            <w:shd w:val="clear" w:color="auto" w:fill="D9D9D9"/>
          </w:tcPr>
          <w:p w14:paraId="4A7841C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color w:val="000000" w:themeColor="text1"/>
              </w:rPr>
              <w:t>Références légales et instructions</w:t>
            </w:r>
          </w:p>
        </w:tc>
      </w:tr>
      <w:tr w:rsidR="008C1FA5" w:rsidRPr="00BC256B" w14:paraId="6094AECD" w14:textId="77777777">
        <w:tc>
          <w:tcPr>
            <w:tcW w:w="1129" w:type="dxa"/>
          </w:tcPr>
          <w:p w14:paraId="24E62D26"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0010</w:t>
            </w:r>
          </w:p>
        </w:tc>
        <w:tc>
          <w:tcPr>
            <w:tcW w:w="7620" w:type="dxa"/>
          </w:tcPr>
          <w:p w14:paraId="2D5EDC8E"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Exigences de fonds propres</w:t>
            </w:r>
          </w:p>
          <w:p w14:paraId="2B400496"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 xml:space="preserve">Article 11, </w:t>
            </w:r>
            <w:r w:rsidRPr="00BC256B">
              <w:rPr>
                <w:rFonts w:ascii="Times New Roman" w:hAnsi="Times New Roman"/>
                <w:bCs/>
                <w:color w:val="000000" w:themeColor="text1"/>
              </w:rPr>
              <w:t>paragraphe 1, du règlement (UE) 2019/2033</w:t>
            </w:r>
          </w:p>
          <w:p w14:paraId="51FCAF87" w14:textId="77777777" w:rsidR="008C1FA5" w:rsidRPr="00BC256B" w:rsidRDefault="00BC256B">
            <w:pPr>
              <w:spacing w:after="120" w:line="240" w:lineRule="auto"/>
              <w:jc w:val="both"/>
              <w:rPr>
                <w:rFonts w:ascii="Times New Roman" w:eastAsia="Times New Roman" w:hAnsi="Times New Roman" w:cs="Times New Roman"/>
                <w:bCs/>
                <w:i/>
                <w:color w:val="000000" w:themeColor="text1"/>
              </w:rPr>
            </w:pPr>
            <w:r w:rsidRPr="00BC256B">
              <w:rPr>
                <w:rFonts w:ascii="Times New Roman" w:hAnsi="Times New Roman"/>
                <w:bCs/>
                <w:color w:val="000000" w:themeColor="text1"/>
              </w:rPr>
              <w:t>Le montant à indiquer est le montant sans application de l’article 57, paragraphe 3, 4 ou 6 du règlement (UE) 2019/2033.</w:t>
            </w:r>
          </w:p>
          <w:p w14:paraId="65E6C15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Le montant à déclarer sur cette ligne est le montant maximal parmi ceux déclarés aux lignes 0</w:t>
            </w:r>
            <w:r w:rsidRPr="00BC256B">
              <w:rPr>
                <w:rFonts w:ascii="Times New Roman" w:hAnsi="Times New Roman"/>
                <w:bCs/>
                <w:color w:val="000000" w:themeColor="text1"/>
              </w:rPr>
              <w:t>020, 0030 et 0040.</w:t>
            </w:r>
          </w:p>
        </w:tc>
      </w:tr>
      <w:tr w:rsidR="008C1FA5" w:rsidRPr="00BC256B" w14:paraId="4FBA41D5" w14:textId="77777777">
        <w:tc>
          <w:tcPr>
            <w:tcW w:w="1129" w:type="dxa"/>
          </w:tcPr>
          <w:p w14:paraId="4302DA25"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0020</w:t>
            </w:r>
          </w:p>
        </w:tc>
        <w:tc>
          <w:tcPr>
            <w:tcW w:w="7620" w:type="dxa"/>
          </w:tcPr>
          <w:p w14:paraId="5F7797F4"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de capital minimum permanent</w:t>
            </w:r>
          </w:p>
          <w:p w14:paraId="0A0D55A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14 du règlement (UE) 2019/2033.</w:t>
            </w:r>
          </w:p>
          <w:p w14:paraId="3C9C356C"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Le montant à indiquer est le montant sans application de l’article 57, paragraphe 3, 4 ou 6 du règlement (UE) 2019/2033.</w:t>
            </w:r>
          </w:p>
        </w:tc>
      </w:tr>
      <w:tr w:rsidR="008C1FA5" w:rsidRPr="00BC256B" w14:paraId="0B31BCF7" w14:textId="77777777">
        <w:tc>
          <w:tcPr>
            <w:tcW w:w="1129" w:type="dxa"/>
          </w:tcPr>
          <w:p w14:paraId="377C5ACD"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lastRenderedPageBreak/>
              <w:t>0030</w:t>
            </w:r>
          </w:p>
        </w:tc>
        <w:tc>
          <w:tcPr>
            <w:tcW w:w="7620" w:type="dxa"/>
          </w:tcPr>
          <w:p w14:paraId="38B43CD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Exigence basée sur les </w:t>
            </w:r>
            <w:r w:rsidRPr="00BC256B">
              <w:rPr>
                <w:rFonts w:ascii="Times New Roman" w:hAnsi="Times New Roman"/>
                <w:b/>
                <w:bCs/>
                <w:color w:val="000000" w:themeColor="text1"/>
                <w:u w:val="single"/>
              </w:rPr>
              <w:t>frais généraux fixes</w:t>
            </w:r>
          </w:p>
          <w:p w14:paraId="758E0FAA"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du règlement (UE) 2019/2033.</w:t>
            </w:r>
          </w:p>
          <w:p w14:paraId="65FBE29E"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Le montant à indiquer est le montant sans application de l’article 57, paragraphe 3, 4 ou 6 du règlement (UE) 2019/2033.</w:t>
            </w:r>
          </w:p>
        </w:tc>
      </w:tr>
      <w:tr w:rsidR="008C1FA5" w:rsidRPr="00BC256B" w14:paraId="64F9B9DC" w14:textId="77777777">
        <w:tc>
          <w:tcPr>
            <w:tcW w:w="1129" w:type="dxa"/>
          </w:tcPr>
          <w:p w14:paraId="0E2B02FC"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0040</w:t>
            </w:r>
          </w:p>
        </w:tc>
        <w:tc>
          <w:tcPr>
            <w:tcW w:w="7620" w:type="dxa"/>
          </w:tcPr>
          <w:p w14:paraId="231E3A51"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totale basée sur les facteurs K</w:t>
            </w:r>
          </w:p>
          <w:p w14:paraId="59AFF4D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15 du règlement (UE</w:t>
            </w:r>
            <w:r w:rsidRPr="00BC256B">
              <w:rPr>
                <w:rFonts w:ascii="Times New Roman" w:hAnsi="Times New Roman"/>
                <w:bCs/>
                <w:color w:val="000000" w:themeColor="text1"/>
              </w:rPr>
              <w:t>) 2019/2033.</w:t>
            </w:r>
          </w:p>
          <w:p w14:paraId="4E4FC307"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Le montant à indiquer est le montant sans application de l’article 57, paragraphe 3, 4 ou 6 du règlement (UE) 2019/2033.</w:t>
            </w:r>
          </w:p>
        </w:tc>
      </w:tr>
      <w:tr w:rsidR="008C1FA5" w:rsidRPr="00BC256B" w14:paraId="7FC5C4FB" w14:textId="77777777">
        <w:tc>
          <w:tcPr>
            <w:tcW w:w="1129" w:type="dxa"/>
          </w:tcPr>
          <w:p w14:paraId="5B5C105A"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0050 – 0100</w:t>
            </w:r>
          </w:p>
        </w:tc>
        <w:tc>
          <w:tcPr>
            <w:tcW w:w="7620" w:type="dxa"/>
          </w:tcPr>
          <w:p w14:paraId="75EC27F4"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Exigences transitoires de fonds propres</w:t>
            </w:r>
          </w:p>
        </w:tc>
      </w:tr>
      <w:tr w:rsidR="008C1FA5" w:rsidRPr="00BC256B" w14:paraId="408FEF27" w14:textId="77777777">
        <w:tc>
          <w:tcPr>
            <w:tcW w:w="1129" w:type="dxa"/>
          </w:tcPr>
          <w:p w14:paraId="6122CF7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0050</w:t>
            </w:r>
          </w:p>
        </w:tc>
        <w:tc>
          <w:tcPr>
            <w:tcW w:w="7620" w:type="dxa"/>
          </w:tcPr>
          <w:p w14:paraId="0F7CD814"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Exigence transitoire basée sur les exigences de fonds </w:t>
            </w:r>
            <w:r w:rsidRPr="00BC256B">
              <w:rPr>
                <w:rFonts w:ascii="Times New Roman" w:hAnsi="Times New Roman"/>
                <w:b/>
                <w:bCs/>
                <w:color w:val="000000" w:themeColor="text1"/>
                <w:u w:val="single"/>
              </w:rPr>
              <w:t>propres du règlement (UE) n</w:t>
            </w:r>
            <w:r w:rsidRPr="00BC256B">
              <w:rPr>
                <w:rFonts w:ascii="Times New Roman" w:hAnsi="Times New Roman"/>
                <w:b/>
                <w:bCs/>
                <w:color w:val="000000" w:themeColor="text1"/>
                <w:u w:val="single"/>
                <w:vertAlign w:val="superscript"/>
              </w:rPr>
              <w:t>o</w:t>
            </w:r>
            <w:r w:rsidRPr="00BC256B">
              <w:rPr>
                <w:rFonts w:ascii="Times New Roman" w:hAnsi="Times New Roman"/>
                <w:b/>
                <w:bCs/>
                <w:color w:val="000000" w:themeColor="text1"/>
                <w:u w:val="single"/>
              </w:rPr>
              <w:t> 575/2013</w:t>
            </w:r>
          </w:p>
          <w:p w14:paraId="437A2951"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Article 57, paragraphe 3, point a), du règlement (UE) 2019/2033.</w:t>
            </w:r>
          </w:p>
        </w:tc>
      </w:tr>
      <w:tr w:rsidR="008C1FA5" w:rsidRPr="00BC256B" w14:paraId="7868F7A0" w14:textId="77777777">
        <w:tc>
          <w:tcPr>
            <w:tcW w:w="1129" w:type="dxa"/>
          </w:tcPr>
          <w:p w14:paraId="6CD68621"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0060</w:t>
            </w:r>
          </w:p>
        </w:tc>
        <w:tc>
          <w:tcPr>
            <w:tcW w:w="7620" w:type="dxa"/>
          </w:tcPr>
          <w:p w14:paraId="7CE48D75"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transitoire basée sur l’exigence basée sur les frais généraux fixes</w:t>
            </w:r>
          </w:p>
          <w:p w14:paraId="6713A9E1"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 xml:space="preserve">Article 57, paragraphe 3, point b), du règlement (UE) </w:t>
            </w:r>
            <w:r w:rsidRPr="00BC256B">
              <w:rPr>
                <w:rFonts w:ascii="Times New Roman" w:hAnsi="Times New Roman"/>
                <w:bCs/>
                <w:color w:val="000000" w:themeColor="text1"/>
              </w:rPr>
              <w:t>2019/2033.</w:t>
            </w:r>
          </w:p>
        </w:tc>
      </w:tr>
      <w:tr w:rsidR="008C1FA5" w:rsidRPr="00BC256B" w14:paraId="0289D091" w14:textId="77777777">
        <w:tc>
          <w:tcPr>
            <w:tcW w:w="1129" w:type="dxa"/>
          </w:tcPr>
          <w:p w14:paraId="6DF09BA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0070</w:t>
            </w:r>
          </w:p>
        </w:tc>
        <w:tc>
          <w:tcPr>
            <w:tcW w:w="7620" w:type="dxa"/>
          </w:tcPr>
          <w:p w14:paraId="428F358C"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transitoire pour les entreprises d’investissement ne faisant précédemment l’objet que d’une exigence de capital initial</w:t>
            </w:r>
          </w:p>
          <w:p w14:paraId="0B060F68"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Article 57, paragraphe 4, point a), du règlement (UE) 2019/2033.</w:t>
            </w:r>
          </w:p>
        </w:tc>
      </w:tr>
      <w:tr w:rsidR="008C1FA5" w:rsidRPr="00BC256B" w14:paraId="7E7EE3D1" w14:textId="77777777">
        <w:tc>
          <w:tcPr>
            <w:tcW w:w="1129" w:type="dxa"/>
          </w:tcPr>
          <w:p w14:paraId="7C12FE99"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0080</w:t>
            </w:r>
          </w:p>
        </w:tc>
        <w:tc>
          <w:tcPr>
            <w:tcW w:w="7620" w:type="dxa"/>
          </w:tcPr>
          <w:p w14:paraId="7FBE2F10"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transitoire basée sur l’exigen</w:t>
            </w:r>
            <w:r w:rsidRPr="00BC256B">
              <w:rPr>
                <w:rFonts w:ascii="Times New Roman" w:hAnsi="Times New Roman"/>
                <w:b/>
                <w:bCs/>
                <w:color w:val="000000" w:themeColor="text1"/>
                <w:u w:val="single"/>
              </w:rPr>
              <w:t>ce de capital initial au moment de l’agrément</w:t>
            </w:r>
          </w:p>
          <w:p w14:paraId="3E2076EB"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Article 57, paragraphe 4, point b), du règlement (UE) 2019/2033.</w:t>
            </w:r>
          </w:p>
        </w:tc>
      </w:tr>
      <w:tr w:rsidR="008C1FA5" w:rsidRPr="00BC256B" w14:paraId="770147A0" w14:textId="77777777">
        <w:tc>
          <w:tcPr>
            <w:tcW w:w="1129" w:type="dxa"/>
          </w:tcPr>
          <w:p w14:paraId="64F6CFF2"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0090</w:t>
            </w:r>
          </w:p>
        </w:tc>
        <w:tc>
          <w:tcPr>
            <w:tcW w:w="7620" w:type="dxa"/>
          </w:tcPr>
          <w:p w14:paraId="6B945D0A"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transitoire pour les entreprises d’investissement qui ne sont pas agréées pour la fourniture de certains services</w:t>
            </w:r>
          </w:p>
          <w:p w14:paraId="35C23894"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57, para</w:t>
            </w:r>
            <w:r w:rsidRPr="00BC256B">
              <w:rPr>
                <w:rFonts w:ascii="Times New Roman" w:hAnsi="Times New Roman"/>
                <w:bCs/>
                <w:color w:val="000000" w:themeColor="text1"/>
              </w:rPr>
              <w:t>graphe 4, point c), du règlement (UE) 2019/2033.</w:t>
            </w:r>
          </w:p>
        </w:tc>
      </w:tr>
      <w:tr w:rsidR="008C1FA5" w:rsidRPr="00BC256B" w14:paraId="324A56F2" w14:textId="77777777">
        <w:tc>
          <w:tcPr>
            <w:tcW w:w="1129" w:type="dxa"/>
          </w:tcPr>
          <w:p w14:paraId="0725B85E"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0100</w:t>
            </w:r>
          </w:p>
        </w:tc>
        <w:tc>
          <w:tcPr>
            <w:tcW w:w="7620" w:type="dxa"/>
          </w:tcPr>
          <w:p w14:paraId="4D1EAFB6"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transitoire d’au moins 250 000 EUR</w:t>
            </w:r>
          </w:p>
          <w:p w14:paraId="2D47B07C"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Article 57, paragraphe 6, du règlement (UE) 2019/2033</w:t>
            </w:r>
          </w:p>
        </w:tc>
      </w:tr>
      <w:tr w:rsidR="008C1FA5" w:rsidRPr="00BC256B" w14:paraId="6742388A" w14:textId="77777777">
        <w:tc>
          <w:tcPr>
            <w:tcW w:w="1129" w:type="dxa"/>
          </w:tcPr>
          <w:p w14:paraId="68F649D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0110 – 0130</w:t>
            </w:r>
          </w:p>
        </w:tc>
        <w:tc>
          <w:tcPr>
            <w:tcW w:w="7620" w:type="dxa"/>
          </w:tcPr>
          <w:p w14:paraId="4B7BCBB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Postes pour mémoire</w:t>
            </w:r>
          </w:p>
        </w:tc>
      </w:tr>
      <w:tr w:rsidR="008C1FA5" w:rsidRPr="00BC256B" w14:paraId="3253D29E" w14:textId="77777777">
        <w:tc>
          <w:tcPr>
            <w:tcW w:w="1129" w:type="dxa"/>
            <w:tcBorders>
              <w:top w:val="single" w:sz="4" w:space="0" w:color="auto"/>
              <w:left w:val="single" w:sz="4" w:space="0" w:color="auto"/>
              <w:bottom w:val="single" w:sz="4" w:space="0" w:color="auto"/>
              <w:right w:val="single" w:sz="4" w:space="0" w:color="auto"/>
            </w:tcBorders>
          </w:tcPr>
          <w:p w14:paraId="727FEDE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30D6CD13"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de fonds propres supplémentaires</w:t>
            </w:r>
          </w:p>
          <w:p w14:paraId="3B862C0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 xml:space="preserve">Article 40 de la </w:t>
            </w:r>
            <w:r w:rsidRPr="00BC256B">
              <w:rPr>
                <w:rFonts w:ascii="Times New Roman" w:hAnsi="Times New Roman"/>
                <w:bCs/>
                <w:color w:val="000000" w:themeColor="text1"/>
              </w:rPr>
              <w:t>directive (UE) 2019/2034.</w:t>
            </w:r>
          </w:p>
          <w:p w14:paraId="2554692E"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Fonds propres supplémentaires requis à l’issue du SREP (processus de contrôle et d’évaluation prudentiels).</w:t>
            </w:r>
            <w:r w:rsidRPr="00BC256B">
              <w:rPr>
                <w:rFonts w:ascii="Times New Roman" w:hAnsi="Times New Roman"/>
                <w:b/>
                <w:bCs/>
                <w:color w:val="000000" w:themeColor="text1"/>
                <w:u w:val="single"/>
              </w:rPr>
              <w:t xml:space="preserve"> </w:t>
            </w:r>
          </w:p>
        </w:tc>
      </w:tr>
      <w:tr w:rsidR="008C1FA5" w:rsidRPr="00BC256B" w14:paraId="1CB5D96E" w14:textId="77777777">
        <w:tc>
          <w:tcPr>
            <w:tcW w:w="1129" w:type="dxa"/>
            <w:tcBorders>
              <w:top w:val="single" w:sz="4" w:space="0" w:color="auto"/>
              <w:left w:val="single" w:sz="4" w:space="0" w:color="auto"/>
              <w:bottom w:val="single" w:sz="4" w:space="0" w:color="auto"/>
              <w:right w:val="single" w:sz="4" w:space="0" w:color="auto"/>
            </w:tcBorders>
          </w:tcPr>
          <w:p w14:paraId="54C3C71F"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75BAD44A"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Recommandation de constitution de fonds propres supplémentaires</w:t>
            </w:r>
          </w:p>
          <w:p w14:paraId="1B6F078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 xml:space="preserve">Article 41 de la directive (UE) </w:t>
            </w:r>
            <w:r w:rsidRPr="00BC256B">
              <w:rPr>
                <w:rFonts w:ascii="Times New Roman" w:hAnsi="Times New Roman"/>
                <w:bCs/>
                <w:color w:val="000000" w:themeColor="text1"/>
              </w:rPr>
              <w:t>2019/2034.</w:t>
            </w:r>
          </w:p>
          <w:p w14:paraId="0D80AE9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Fonds propres supplémentaires recommandés.</w:t>
            </w:r>
            <w:r w:rsidRPr="00BC256B">
              <w:rPr>
                <w:rFonts w:ascii="Times New Roman" w:hAnsi="Times New Roman"/>
                <w:b/>
                <w:bCs/>
                <w:color w:val="000000" w:themeColor="text1"/>
                <w:u w:val="single"/>
              </w:rPr>
              <w:t xml:space="preserve"> </w:t>
            </w:r>
          </w:p>
        </w:tc>
      </w:tr>
      <w:tr w:rsidR="008C1FA5" w:rsidRPr="00BC256B" w14:paraId="4EC12AF8" w14:textId="77777777">
        <w:tc>
          <w:tcPr>
            <w:tcW w:w="1129" w:type="dxa"/>
            <w:tcBorders>
              <w:top w:val="single" w:sz="4" w:space="0" w:color="auto"/>
              <w:left w:val="single" w:sz="4" w:space="0" w:color="auto"/>
              <w:bottom w:val="single" w:sz="4" w:space="0" w:color="auto"/>
              <w:right w:val="single" w:sz="4" w:space="0" w:color="auto"/>
            </w:tcBorders>
          </w:tcPr>
          <w:p w14:paraId="076301E5"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7C4C52C1"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Exigences totales de fonds propres</w:t>
            </w:r>
          </w:p>
          <w:p w14:paraId="170FA888"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color w:val="000000" w:themeColor="text1"/>
              </w:rPr>
              <w:t>L’exigence totale de fonds propres d’une entreprise d’investissement est la somme de ses exigences de fonds propres applicables à la date de référence, de l’exi</w:t>
            </w:r>
            <w:r w:rsidRPr="00BC256B">
              <w:rPr>
                <w:rFonts w:ascii="Times New Roman" w:hAnsi="Times New Roman"/>
                <w:bCs/>
                <w:color w:val="000000" w:themeColor="text1"/>
              </w:rPr>
              <w:t>gence de fonds propres supplémentaires indiquée à la ligne 0110 et des fonds propres supplémentaires recommandés indiqués à la ligne 0120.</w:t>
            </w:r>
          </w:p>
        </w:tc>
      </w:tr>
    </w:tbl>
    <w:p w14:paraId="639A4375"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7024704"/>
      <w:r w:rsidRPr="00BC256B">
        <w:rPr>
          <w:rFonts w:ascii="Times New Roman" w:hAnsi="Times New Roman"/>
          <w:sz w:val="24"/>
          <w:szCs w:val="24"/>
          <w:u w:val="single"/>
        </w:rPr>
        <w:lastRenderedPageBreak/>
        <w:t>1.4. I 02.02 – RATIOS DE FONDS PROPRES (I 2.2)</w:t>
      </w:r>
      <w:bookmarkEnd w:id="31"/>
    </w:p>
    <w:p w14:paraId="301AD7C4"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7024705"/>
      <w:r w:rsidRPr="00BC256B">
        <w:rPr>
          <w:rFonts w:ascii="Times New Roman" w:hAnsi="Times New Roman"/>
          <w:sz w:val="24"/>
          <w:szCs w:val="24"/>
        </w:rPr>
        <w:t>1.4.1.</w:t>
      </w:r>
      <w:r w:rsidRPr="00BC256B">
        <w:tab/>
      </w:r>
      <w:r w:rsidRPr="00BC256B">
        <w:rPr>
          <w:rFonts w:ascii="Times New Roman" w:hAnsi="Times New Roman"/>
          <w:sz w:val="24"/>
          <w:szCs w:val="24"/>
          <w:u w:val="single"/>
        </w:rPr>
        <w:t>Instructions concernant certaines positions</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460ECCA4" w14:textId="77777777">
        <w:tc>
          <w:tcPr>
            <w:tcW w:w="1129" w:type="dxa"/>
            <w:shd w:val="clear" w:color="auto" w:fill="D9D9D9"/>
          </w:tcPr>
          <w:p w14:paraId="10D4422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rPr>
              <w:t>Ligne</w:t>
            </w:r>
          </w:p>
        </w:tc>
        <w:tc>
          <w:tcPr>
            <w:tcW w:w="7620" w:type="dxa"/>
            <w:shd w:val="clear" w:color="auto" w:fill="D9D9D9"/>
          </w:tcPr>
          <w:p w14:paraId="39F9FA94"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rPr>
              <w:t>Références légales et instructions</w:t>
            </w:r>
          </w:p>
        </w:tc>
      </w:tr>
      <w:tr w:rsidR="008C1FA5" w:rsidRPr="00BC256B" w14:paraId="78955DA8" w14:textId="77777777">
        <w:tc>
          <w:tcPr>
            <w:tcW w:w="1129" w:type="dxa"/>
          </w:tcPr>
          <w:p w14:paraId="40CD975B"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0010</w:t>
            </w:r>
          </w:p>
        </w:tc>
        <w:tc>
          <w:tcPr>
            <w:tcW w:w="7620" w:type="dxa"/>
          </w:tcPr>
          <w:p w14:paraId="2A34477D"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Ratio CET 1</w:t>
            </w:r>
          </w:p>
          <w:p w14:paraId="32A7608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a), et article 11, paragraphe 1, du règlement (UE) 2019/2033.</w:t>
            </w:r>
          </w:p>
          <w:p w14:paraId="5A2FC867"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4, du règlement (UE) 2019/2033</w:t>
            </w:r>
          </w:p>
          <w:p w14:paraId="762806AF"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Ce ratio doit être exprimé en pourcentage.</w:t>
            </w:r>
          </w:p>
        </w:tc>
      </w:tr>
      <w:tr w:rsidR="008C1FA5" w:rsidRPr="00BC256B" w14:paraId="1D89F3D0" w14:textId="77777777">
        <w:tc>
          <w:tcPr>
            <w:tcW w:w="1129" w:type="dxa"/>
          </w:tcPr>
          <w:p w14:paraId="1537006D"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0020</w:t>
            </w:r>
          </w:p>
        </w:tc>
        <w:tc>
          <w:tcPr>
            <w:tcW w:w="7620" w:type="dxa"/>
          </w:tcPr>
          <w:p w14:paraId="7A181BF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Surplus (+)/Déficit (−) de fonds propres CET 1</w:t>
            </w:r>
          </w:p>
          <w:p w14:paraId="09F54EFD"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t>Ce poste indique le surplus ou le déficit de fonds propres CET1 correspondant à l’exigence définie à l’article 9, paragraphe 1, du règlement (UE) 2019/2033.</w:t>
            </w:r>
          </w:p>
          <w:p w14:paraId="22E3F064"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rPr>
              <w:t>Les dispositions transitoires de l’article 57, parag</w:t>
            </w:r>
            <w:r w:rsidRPr="00BC256B">
              <w:rPr>
                <w:rFonts w:ascii="Times New Roman" w:hAnsi="Times New Roman"/>
              </w:rPr>
              <w:t>raphes 3 et 4, du règlement (UE) 2019/2033 ne s’appliquent pas à ce poste.</w:t>
            </w:r>
          </w:p>
        </w:tc>
      </w:tr>
      <w:tr w:rsidR="008C1FA5" w:rsidRPr="00BC256B" w14:paraId="650736BC" w14:textId="77777777">
        <w:tc>
          <w:tcPr>
            <w:tcW w:w="1129" w:type="dxa"/>
          </w:tcPr>
          <w:p w14:paraId="505B30F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0030</w:t>
            </w:r>
          </w:p>
        </w:tc>
        <w:tc>
          <w:tcPr>
            <w:tcW w:w="7620" w:type="dxa"/>
          </w:tcPr>
          <w:p w14:paraId="5572CC6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Ratio de fonds propres de catégorie 1</w:t>
            </w:r>
          </w:p>
          <w:p w14:paraId="301930C3"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b), et article 11, paragraphe 1, du règlement (UE) 2019/2033.</w:t>
            </w:r>
          </w:p>
          <w:p w14:paraId="5170876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 xml:space="preserve">Ce ratio doit être exprimé en </w:t>
            </w:r>
            <w:r w:rsidRPr="00BC256B">
              <w:rPr>
                <w:rFonts w:ascii="Times New Roman" w:hAnsi="Times New Roman"/>
                <w:bCs/>
              </w:rPr>
              <w:t>pourcentage.</w:t>
            </w:r>
          </w:p>
        </w:tc>
      </w:tr>
      <w:tr w:rsidR="008C1FA5" w:rsidRPr="00BC256B" w14:paraId="607E8077" w14:textId="77777777">
        <w:tc>
          <w:tcPr>
            <w:tcW w:w="1129" w:type="dxa"/>
          </w:tcPr>
          <w:p w14:paraId="60CBAC9A"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0040</w:t>
            </w:r>
          </w:p>
        </w:tc>
        <w:tc>
          <w:tcPr>
            <w:tcW w:w="7620" w:type="dxa"/>
          </w:tcPr>
          <w:p w14:paraId="00A975C7"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Surplus (+)/Déficit (−) de fonds propres de catégorie 1</w:t>
            </w:r>
          </w:p>
          <w:p w14:paraId="00180101" w14:textId="77777777" w:rsidR="008C1FA5" w:rsidRPr="00BC256B" w:rsidRDefault="00BC256B">
            <w:pPr>
              <w:pStyle w:val="CommentText"/>
              <w:rPr>
                <w:rFonts w:ascii="Times New Roman" w:hAnsi="Times New Roman" w:cs="Times New Roman"/>
                <w:sz w:val="22"/>
                <w:szCs w:val="22"/>
              </w:rPr>
            </w:pPr>
            <w:r w:rsidRPr="00BC256B">
              <w:rPr>
                <w:rFonts w:ascii="Times New Roman" w:hAnsi="Times New Roman"/>
                <w:sz w:val="22"/>
                <w:szCs w:val="22"/>
              </w:rPr>
              <w:t>Ce poste indique le surplus ou le déficit de fonds propres de catégorie 1 correspondant à l’exigence définie à l’article 9, paragraphe 1, du règlement (UE) 2019/2033.</w:t>
            </w:r>
          </w:p>
          <w:p w14:paraId="33EB2F33" w14:textId="77777777" w:rsidR="008C1FA5" w:rsidRPr="00BC256B" w:rsidRDefault="00BC256B">
            <w:pPr>
              <w:spacing w:after="120" w:line="240" w:lineRule="auto"/>
              <w:jc w:val="both"/>
            </w:pPr>
            <w:r w:rsidRPr="00BC256B">
              <w:rPr>
                <w:rFonts w:ascii="Times New Roman" w:hAnsi="Times New Roman"/>
              </w:rPr>
              <w:t>Les dispositio</w:t>
            </w:r>
            <w:r w:rsidRPr="00BC256B">
              <w:rPr>
                <w:rFonts w:ascii="Times New Roman" w:hAnsi="Times New Roman"/>
              </w:rPr>
              <w:t>ns transitoires de l’article 57, paragraphes 3 et 4, du règlement (UE) 2019/2033 ne s’appliquent pas à ce poste.</w:t>
            </w:r>
          </w:p>
        </w:tc>
      </w:tr>
      <w:tr w:rsidR="008C1FA5" w:rsidRPr="00BC256B" w14:paraId="76A2BCED" w14:textId="77777777">
        <w:tc>
          <w:tcPr>
            <w:tcW w:w="1129" w:type="dxa"/>
          </w:tcPr>
          <w:p w14:paraId="70134D27"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0050</w:t>
            </w:r>
          </w:p>
        </w:tc>
        <w:tc>
          <w:tcPr>
            <w:tcW w:w="7620" w:type="dxa"/>
          </w:tcPr>
          <w:p w14:paraId="2F83B353"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Ratio de fonds propres</w:t>
            </w:r>
          </w:p>
          <w:p w14:paraId="6A834F3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Article 9, paragraphe 1, point c), et article 11, paragraphe 1, du règlement (UE) 2019/2033.</w:t>
            </w:r>
          </w:p>
          <w:p w14:paraId="4A81F50C"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Cs/>
              </w:rPr>
              <w:t xml:space="preserve">Ce ratio doit </w:t>
            </w:r>
            <w:r w:rsidRPr="00BC256B">
              <w:rPr>
                <w:rFonts w:ascii="Times New Roman" w:hAnsi="Times New Roman"/>
                <w:bCs/>
              </w:rPr>
              <w:t>être exprimé en pourcentage.</w:t>
            </w:r>
          </w:p>
        </w:tc>
      </w:tr>
      <w:tr w:rsidR="008C1FA5" w:rsidRPr="00BC256B" w14:paraId="403BFE16" w14:textId="77777777">
        <w:tc>
          <w:tcPr>
            <w:tcW w:w="1129" w:type="dxa"/>
          </w:tcPr>
          <w:p w14:paraId="5C36BBB1" w14:textId="77777777" w:rsidR="008C1FA5" w:rsidRPr="00BC256B" w:rsidRDefault="00BC256B">
            <w:pPr>
              <w:spacing w:after="120" w:line="240" w:lineRule="auto"/>
              <w:jc w:val="both"/>
              <w:rPr>
                <w:rFonts w:ascii="Times New Roman" w:eastAsia="Times New Roman" w:hAnsi="Times New Roman" w:cs="Times New Roman"/>
                <w:bCs/>
              </w:rPr>
            </w:pPr>
            <w:r w:rsidRPr="00BC256B">
              <w:rPr>
                <w:rFonts w:ascii="Times New Roman" w:hAnsi="Times New Roman"/>
                <w:bCs/>
              </w:rPr>
              <w:t>0060</w:t>
            </w:r>
          </w:p>
        </w:tc>
        <w:tc>
          <w:tcPr>
            <w:tcW w:w="7620" w:type="dxa"/>
          </w:tcPr>
          <w:p w14:paraId="3ACB6F36"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b/>
                <w:bCs/>
                <w:u w:val="single"/>
              </w:rPr>
              <w:t>Surplus (+)/Déficit (-) de fonds propres total</w:t>
            </w:r>
          </w:p>
          <w:p w14:paraId="29763266"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t>Ce poste indique le surplus ou le déficit de fonds propres correspondant à l’exigence définie à l’article 9, paragraphe 1, du règlement (UE) 2019/2033.</w:t>
            </w:r>
          </w:p>
          <w:p w14:paraId="36784D58"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rPr>
              <w:t xml:space="preserve">Les </w:t>
            </w:r>
            <w:r w:rsidRPr="00BC256B">
              <w:rPr>
                <w:rFonts w:ascii="Times New Roman" w:hAnsi="Times New Roman"/>
              </w:rPr>
              <w:t>dispositions transitoires de l’article 57, paragraphes 3 et 4, du règlement (UE) 2019/2033 ne s’appliquent pas à ce poste.</w:t>
            </w:r>
          </w:p>
        </w:tc>
      </w:tr>
    </w:tbl>
    <w:p w14:paraId="588F7904"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7024706"/>
      <w:r w:rsidRPr="00BC256B">
        <w:rPr>
          <w:rFonts w:ascii="Times New Roman" w:hAnsi="Times New Roman"/>
          <w:sz w:val="24"/>
          <w:szCs w:val="24"/>
          <w:u w:val="single"/>
        </w:rPr>
        <w:t>1.5. I 03.00 – CALCUL DE L’EXIGENCE BASÉE SUR LES FRAIS GÉNÉRAUX FIXES (I 3)</w:t>
      </w:r>
      <w:bookmarkEnd w:id="2"/>
      <w:bookmarkEnd w:id="3"/>
      <w:bookmarkEnd w:id="33"/>
      <w:bookmarkEnd w:id="4"/>
      <w:bookmarkEnd w:id="5"/>
    </w:p>
    <w:p w14:paraId="1322854B" w14:textId="77777777" w:rsidR="008C1FA5" w:rsidRPr="00BC256B" w:rsidRDefault="00BC256B">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7024707"/>
      <w:r w:rsidRPr="00BC256B">
        <w:rPr>
          <w:rFonts w:ascii="Times New Roman" w:hAnsi="Times New Roman"/>
          <w:sz w:val="24"/>
          <w:szCs w:val="24"/>
        </w:rPr>
        <w:t>1.5.1.</w:t>
      </w:r>
      <w:r w:rsidRPr="00BC256B">
        <w:tab/>
      </w:r>
      <w:bookmarkStart w:id="39" w:name="_Toc308175821"/>
      <w:r w:rsidRPr="00BC256B">
        <w:rPr>
          <w:rFonts w:ascii="Times New Roman" w:hAnsi="Times New Roman"/>
          <w:sz w:val="24"/>
          <w:szCs w:val="24"/>
          <w:u w:val="single"/>
        </w:rPr>
        <w:t>Instructions concernant certaines positions</w:t>
      </w:r>
      <w:bookmarkEnd w:id="34"/>
      <w:bookmarkEnd w:id="35"/>
      <w:bookmarkEnd w:id="36"/>
      <w:bookmarkEnd w:id="37"/>
      <w:bookmarkEnd w:id="39"/>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D821B8A" w14:textId="77777777">
        <w:tc>
          <w:tcPr>
            <w:tcW w:w="1129" w:type="dxa"/>
            <w:shd w:val="clear" w:color="auto" w:fill="D9D9D9"/>
          </w:tcPr>
          <w:p w14:paraId="2E6044DF"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color w:val="000000" w:themeColor="text1"/>
              </w:rPr>
              <w:t>Lign</w:t>
            </w:r>
            <w:r w:rsidRPr="00BC256B">
              <w:rPr>
                <w:rFonts w:ascii="Times New Roman" w:hAnsi="Times New Roman"/>
                <w:color w:val="000000" w:themeColor="text1"/>
              </w:rPr>
              <w:t>e</w:t>
            </w:r>
          </w:p>
        </w:tc>
        <w:tc>
          <w:tcPr>
            <w:tcW w:w="7620" w:type="dxa"/>
            <w:shd w:val="clear" w:color="auto" w:fill="D9D9D9"/>
          </w:tcPr>
          <w:p w14:paraId="3E3EE273"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color w:val="000000" w:themeColor="text1"/>
              </w:rPr>
              <w:t>Références légales et instructions</w:t>
            </w:r>
          </w:p>
        </w:tc>
      </w:tr>
      <w:tr w:rsidR="008C1FA5" w:rsidRPr="00BC256B" w14:paraId="2E594846" w14:textId="77777777">
        <w:tc>
          <w:tcPr>
            <w:tcW w:w="1129" w:type="dxa"/>
          </w:tcPr>
          <w:p w14:paraId="536734B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0010</w:t>
            </w:r>
          </w:p>
        </w:tc>
        <w:tc>
          <w:tcPr>
            <w:tcW w:w="7620" w:type="dxa"/>
          </w:tcPr>
          <w:p w14:paraId="395EBB3B"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Exigence basée sur les frais généraux fixes</w:t>
            </w:r>
          </w:p>
          <w:p w14:paraId="0241A359"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paragraphe 1, du règlement (UE) 2019/2033.</w:t>
            </w:r>
          </w:p>
          <w:p w14:paraId="2B2449CD"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lastRenderedPageBreak/>
              <w:t>Le montant déclaré correspond à au moins 25 % des frais généraux fixes de l’exercice précédent (ligne 0020).</w:t>
            </w:r>
          </w:p>
          <w:p w14:paraId="2A30075B"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t xml:space="preserve">En </w:t>
            </w:r>
            <w:r w:rsidRPr="00BC256B">
              <w:rPr>
                <w:rFonts w:ascii="Times New Roman" w:hAnsi="Times New Roman"/>
              </w:rPr>
              <w:t>cas de modification significative, le montant à déclarer est l’exigence basée sur les frais généraux fixes imposée par l’autorité compétente conformément à l’article 13, paragraphe 2, du règlement (UE) 2019/2033.</w:t>
            </w:r>
          </w:p>
          <w:p w14:paraId="0F96FC49" w14:textId="77777777" w:rsidR="008C1FA5" w:rsidRPr="00BC256B" w:rsidRDefault="00BC256B">
            <w:pPr>
              <w:spacing w:after="120" w:line="240" w:lineRule="auto"/>
              <w:jc w:val="both"/>
              <w:rPr>
                <w:rFonts w:ascii="Times New Roman" w:hAnsi="Times New Roman" w:cs="Times New Roman"/>
              </w:rPr>
            </w:pPr>
            <w:r w:rsidRPr="00BC256B">
              <w:rPr>
                <w:rFonts w:ascii="Times New Roman" w:hAnsi="Times New Roman"/>
              </w:rPr>
              <w:t>Dans les cas visés à l’article 13, paragrap</w:t>
            </w:r>
            <w:r w:rsidRPr="00BC256B">
              <w:rPr>
                <w:rFonts w:ascii="Times New Roman" w:hAnsi="Times New Roman"/>
              </w:rPr>
              <w:t>he 3, du règlement (UE) 2019/2033, le montant à déclarer est le montant prévisionnel des frais généraux fixes de l’exercice en cours (ligne 0210).</w:t>
            </w:r>
          </w:p>
        </w:tc>
      </w:tr>
      <w:tr w:rsidR="008C1FA5" w:rsidRPr="00BC256B" w14:paraId="44EB55C4" w14:textId="77777777">
        <w:tc>
          <w:tcPr>
            <w:tcW w:w="1129" w:type="dxa"/>
          </w:tcPr>
          <w:p w14:paraId="3236716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lastRenderedPageBreak/>
              <w:t>0020</w:t>
            </w:r>
          </w:p>
        </w:tc>
        <w:tc>
          <w:tcPr>
            <w:tcW w:w="7620" w:type="dxa"/>
          </w:tcPr>
          <w:p w14:paraId="6DA983A9"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Frais généraux fixes annuels de l’exercice précédent, après distribution des bénéfices</w:t>
            </w:r>
          </w:p>
          <w:p w14:paraId="1B2CE54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para</w:t>
            </w:r>
            <w:r w:rsidRPr="00BC256B">
              <w:rPr>
                <w:rFonts w:ascii="Times New Roman" w:hAnsi="Times New Roman"/>
                <w:bCs/>
                <w:color w:val="000000" w:themeColor="text1"/>
              </w:rPr>
              <w:t>graphe 1, du règlement (UE) 2019/2033.</w:t>
            </w:r>
          </w:p>
          <w:p w14:paraId="2464AA70" w14:textId="77777777" w:rsidR="008C1FA5" w:rsidRPr="00BC256B" w:rsidRDefault="00BC256B">
            <w:pPr>
              <w:pStyle w:val="CommentText"/>
              <w:rPr>
                <w:rFonts w:ascii="Times New Roman" w:hAnsi="Times New Roman" w:cs="Times New Roman"/>
              </w:rPr>
            </w:pPr>
            <w:r w:rsidRPr="00BC256B">
              <w:rPr>
                <w:rFonts w:ascii="Times New Roman" w:hAnsi="Times New Roman"/>
                <w:bCs/>
                <w:color w:val="000000" w:themeColor="text1"/>
                <w:sz w:val="22"/>
              </w:rPr>
              <w:t xml:space="preserve">Les entreprises d’investissement déclarent leurs frais généraux fixes de l’exercice précédent, après distribution des bénéfices. </w:t>
            </w:r>
          </w:p>
        </w:tc>
      </w:tr>
      <w:tr w:rsidR="008C1FA5" w:rsidRPr="00BC256B" w14:paraId="6D2BAD6A" w14:textId="77777777">
        <w:tc>
          <w:tcPr>
            <w:tcW w:w="1129" w:type="dxa"/>
          </w:tcPr>
          <w:p w14:paraId="13461A32"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0030</w:t>
            </w:r>
          </w:p>
        </w:tc>
        <w:tc>
          <w:tcPr>
            <w:tcW w:w="7620" w:type="dxa"/>
          </w:tcPr>
          <w:p w14:paraId="0367A96A"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Total des charges de l’exercice précédent, après distribution des bénéfices</w:t>
            </w:r>
          </w:p>
          <w:p w14:paraId="3ADAF24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w:t>
            </w:r>
            <w:r w:rsidRPr="00BC256B">
              <w:rPr>
                <w:rFonts w:ascii="Times New Roman" w:hAnsi="Times New Roman"/>
                <w:bCs/>
                <w:color w:val="000000" w:themeColor="text1"/>
              </w:rPr>
              <w:t>le 13, paragraphe 1, du règlement (UE) 2019/2033.</w:t>
            </w:r>
          </w:p>
          <w:p w14:paraId="7C8DF63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Le montant à déclarer est le montant restant après la distribution des bénéfices.</w:t>
            </w:r>
          </w:p>
        </w:tc>
      </w:tr>
      <w:tr w:rsidR="008C1FA5" w:rsidRPr="00BC256B" w14:paraId="222D5492" w14:textId="77777777">
        <w:tc>
          <w:tcPr>
            <w:tcW w:w="1129" w:type="dxa"/>
          </w:tcPr>
          <w:p w14:paraId="3FA8AB14"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0040</w:t>
            </w:r>
          </w:p>
        </w:tc>
        <w:tc>
          <w:tcPr>
            <w:tcW w:w="7620" w:type="dxa"/>
          </w:tcPr>
          <w:p w14:paraId="44B7E393"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Dont: Frais fixes supportés par des tiers pour le compte de l’entreprise d’investissement</w:t>
            </w:r>
          </w:p>
          <w:p w14:paraId="5DA258EA" w14:textId="77777777" w:rsidR="008C1FA5" w:rsidRPr="00BC256B" w:rsidRDefault="00BC256B">
            <w:pPr>
              <w:pStyle w:val="NumPar1"/>
              <w:numPr>
                <w:ilvl w:val="0"/>
                <w:numId w:val="0"/>
              </w:numPr>
              <w:rPr>
                <w:rFonts w:eastAsia="Times New Roman"/>
                <w:bCs/>
                <w:color w:val="000000" w:themeColor="text1"/>
                <w:sz w:val="22"/>
                <w:szCs w:val="20"/>
              </w:rPr>
            </w:pPr>
            <w:r w:rsidRPr="00BC256B">
              <w:rPr>
                <w:bCs/>
                <w:color w:val="000000" w:themeColor="text1"/>
                <w:sz w:val="22"/>
                <w:szCs w:val="20"/>
              </w:rPr>
              <w:t xml:space="preserve">Lorsque des tiers, y </w:t>
            </w:r>
            <w:r w:rsidRPr="00BC256B">
              <w:rPr>
                <w:bCs/>
                <w:color w:val="000000" w:themeColor="text1"/>
                <w:sz w:val="22"/>
                <w:szCs w:val="20"/>
              </w:rPr>
              <w:t>compris des agents liés, ont supporté, pour le compte d’une entreprise d’investissement, des charges fixes qui, dans l’état financier annuel visé au paragraphe 1, ne sont pas déjà incluses dans le total des dépenses, ces charges fixes sont ajoutées au tota</w:t>
            </w:r>
            <w:r w:rsidRPr="00BC256B">
              <w:rPr>
                <w:bCs/>
                <w:color w:val="000000" w:themeColor="text1"/>
                <w:sz w:val="22"/>
                <w:szCs w:val="20"/>
              </w:rPr>
              <w:t>l des dépenses de l’entreprise d’investissement. Lorsqu’une ventilation des frais du tiers est disponible, l’entreprise d’investissement n’ajoute au chiffre des charges totales que la part de ces frais fixes qui lui est applicable. Lorsque cette ventilatio</w:t>
            </w:r>
            <w:r w:rsidRPr="00BC256B">
              <w:rPr>
                <w:bCs/>
                <w:color w:val="000000" w:themeColor="text1"/>
                <w:sz w:val="22"/>
                <w:szCs w:val="20"/>
              </w:rPr>
              <w:t>n n’est pas disponible, l’entreprise d’investissement n’ajoute au chiffre des dépenses totales que sa quote-part des frais du tiers telle qu’elle résulte du plan d’entreprise qu’elle a établi.</w:t>
            </w:r>
          </w:p>
          <w:p w14:paraId="3839F308" w14:textId="77777777" w:rsidR="008C1FA5" w:rsidRPr="00BC256B" w:rsidRDefault="008C1FA5">
            <w:pPr>
              <w:spacing w:after="120" w:line="240" w:lineRule="auto"/>
              <w:jc w:val="both"/>
              <w:rPr>
                <w:rFonts w:ascii="Times New Roman" w:eastAsia="Times New Roman" w:hAnsi="Times New Roman" w:cs="Times New Roman"/>
                <w:b/>
                <w:bCs/>
                <w:color w:val="000000" w:themeColor="text1"/>
                <w:u w:val="single"/>
                <w:lang w:eastAsia="de-DE"/>
              </w:rPr>
            </w:pPr>
          </w:p>
        </w:tc>
      </w:tr>
      <w:tr w:rsidR="008C1FA5" w:rsidRPr="00BC256B" w14:paraId="4A594951" w14:textId="77777777">
        <w:tc>
          <w:tcPr>
            <w:tcW w:w="1129" w:type="dxa"/>
          </w:tcPr>
          <w:p w14:paraId="401236A3"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0050</w:t>
            </w:r>
          </w:p>
        </w:tc>
        <w:tc>
          <w:tcPr>
            <w:tcW w:w="7620" w:type="dxa"/>
          </w:tcPr>
          <w:p w14:paraId="15C6DDA4" w14:textId="77777777" w:rsidR="008C1FA5" w:rsidRPr="00BC256B" w:rsidRDefault="00BC256B">
            <w:pPr>
              <w:spacing w:after="120" w:line="240" w:lineRule="auto"/>
              <w:jc w:val="both"/>
              <w:rPr>
                <w:rFonts w:ascii="Times New Roman" w:eastAsia="Times New Roman" w:hAnsi="Times New Roman" w:cs="Times New Roman"/>
                <w:bCs/>
                <w:color w:val="000000" w:themeColor="text1"/>
                <w:szCs w:val="20"/>
              </w:rPr>
            </w:pPr>
            <w:r w:rsidRPr="00BC256B">
              <w:rPr>
                <w:rFonts w:ascii="Times New Roman" w:hAnsi="Times New Roman"/>
                <w:bCs/>
                <w:color w:val="000000" w:themeColor="text1"/>
                <w:szCs w:val="20"/>
              </w:rPr>
              <w:t>(-) Total des déductions</w:t>
            </w:r>
          </w:p>
          <w:p w14:paraId="09318891" w14:textId="77777777" w:rsidR="008C1FA5" w:rsidRPr="00BC256B" w:rsidRDefault="00BC256B">
            <w:pPr>
              <w:spacing w:after="120" w:line="240" w:lineRule="auto"/>
              <w:jc w:val="both"/>
              <w:rPr>
                <w:rFonts w:eastAsia="Times New Roman"/>
                <w:bCs/>
                <w:color w:val="000000" w:themeColor="text1"/>
                <w:szCs w:val="20"/>
              </w:rPr>
            </w:pPr>
            <w:r w:rsidRPr="00BC256B">
              <w:rPr>
                <w:rFonts w:ascii="Times New Roman" w:hAnsi="Times New Roman"/>
                <w:bCs/>
                <w:color w:val="000000" w:themeColor="text1"/>
                <w:szCs w:val="20"/>
              </w:rPr>
              <w:t xml:space="preserve">Outre les éléments </w:t>
            </w:r>
            <w:r w:rsidRPr="00BC256B">
              <w:rPr>
                <w:rFonts w:ascii="Times New Roman" w:hAnsi="Times New Roman"/>
                <w:bCs/>
                <w:color w:val="000000" w:themeColor="text1"/>
                <w:szCs w:val="20"/>
              </w:rPr>
              <w:t>déductibles visés à l’article 13, paragraphe 4, du règlement (UE) 2019/2033, les éléments suivants sont également déduits du total des charges dès lors qu’ils sont inclus dans les charges totales conformément au référentiel comptable applicable:</w:t>
            </w:r>
          </w:p>
          <w:p w14:paraId="4C50C7B1"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t>a)</w:t>
            </w:r>
            <w:r w:rsidRPr="00BC256B">
              <w:rPr>
                <w:rFonts w:eastAsia="Times New Roman"/>
                <w:bCs/>
                <w:color w:val="000000" w:themeColor="text1"/>
                <w:sz w:val="22"/>
                <w:szCs w:val="20"/>
              </w:rPr>
              <w:tab/>
            </w:r>
            <w:r w:rsidRPr="00BC256B">
              <w:rPr>
                <w:bCs/>
                <w:color w:val="000000" w:themeColor="text1"/>
                <w:sz w:val="22"/>
                <w:szCs w:val="20"/>
              </w:rPr>
              <w:t>les rém</w:t>
            </w:r>
            <w:r w:rsidRPr="00BC256B">
              <w:rPr>
                <w:bCs/>
                <w:color w:val="000000" w:themeColor="text1"/>
                <w:sz w:val="22"/>
                <w:szCs w:val="20"/>
              </w:rPr>
              <w:t>unérations, frais de courtage et autres payés à des contreparties centrales, à des bourses de valeurs et autres plates-formes de négociation ou à des intermédiaires de courtage aux fins de l’exécution, de l’enregistrement ou de la compensation de transacti</w:t>
            </w:r>
            <w:r w:rsidRPr="00BC256B">
              <w:rPr>
                <w:bCs/>
                <w:color w:val="000000" w:themeColor="text1"/>
                <w:sz w:val="22"/>
                <w:szCs w:val="20"/>
              </w:rPr>
              <w:t xml:space="preserve">ons, mais uniquement s’ils sont directement répercutés sur les clients et facturés à ceux-ci; Ces frais ne comprennent pas les frais et autres charges nécessaires pour rester membre de contreparties centrales, bourses de valeurs et autres plates-formes de </w:t>
            </w:r>
            <w:r w:rsidRPr="00BC256B">
              <w:rPr>
                <w:bCs/>
                <w:color w:val="000000" w:themeColor="text1"/>
                <w:sz w:val="22"/>
                <w:szCs w:val="20"/>
              </w:rPr>
              <w:t>négociation ou pour faire face à des obligations financières de partage des pertes avec celles-ci;</w:t>
            </w:r>
          </w:p>
          <w:p w14:paraId="5209A0CD"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t>b)</w:t>
            </w:r>
            <w:r w:rsidRPr="00BC256B">
              <w:rPr>
                <w:rFonts w:eastAsia="Times New Roman"/>
                <w:bCs/>
                <w:color w:val="000000" w:themeColor="text1"/>
                <w:sz w:val="22"/>
                <w:szCs w:val="20"/>
              </w:rPr>
              <w:tab/>
            </w:r>
            <w:r w:rsidRPr="00BC256B">
              <w:rPr>
                <w:bCs/>
                <w:color w:val="000000" w:themeColor="text1"/>
                <w:sz w:val="22"/>
                <w:szCs w:val="20"/>
              </w:rPr>
              <w:t>les intérêts versés à des clients sur leurs fonds en l’absence de toute obligation de le faire;</w:t>
            </w:r>
          </w:p>
          <w:p w14:paraId="566AA799"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t>c)</w:t>
            </w:r>
            <w:r w:rsidRPr="00BC256B">
              <w:rPr>
                <w:rFonts w:eastAsia="Times New Roman"/>
                <w:bCs/>
                <w:color w:val="000000" w:themeColor="text1"/>
                <w:sz w:val="22"/>
                <w:szCs w:val="20"/>
              </w:rPr>
              <w:tab/>
            </w:r>
            <w:r w:rsidRPr="00BC256B">
              <w:rPr>
                <w:bCs/>
                <w:color w:val="000000" w:themeColor="text1"/>
                <w:sz w:val="22"/>
                <w:szCs w:val="20"/>
              </w:rPr>
              <w:t>les charges fiscales exigibles sur les bénéfices annuel</w:t>
            </w:r>
            <w:r w:rsidRPr="00BC256B">
              <w:rPr>
                <w:bCs/>
                <w:color w:val="000000" w:themeColor="text1"/>
                <w:sz w:val="22"/>
                <w:szCs w:val="20"/>
              </w:rPr>
              <w:t>s de l’entreprise d’investissement;</w:t>
            </w:r>
          </w:p>
          <w:p w14:paraId="54AC6B3A"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lastRenderedPageBreak/>
              <w:t>d)</w:t>
            </w:r>
            <w:r w:rsidRPr="00BC256B">
              <w:rPr>
                <w:rFonts w:eastAsia="Times New Roman"/>
                <w:bCs/>
                <w:color w:val="000000" w:themeColor="text1"/>
                <w:sz w:val="22"/>
                <w:szCs w:val="20"/>
              </w:rPr>
              <w:tab/>
            </w:r>
            <w:r w:rsidRPr="00BC256B">
              <w:rPr>
                <w:bCs/>
                <w:color w:val="000000" w:themeColor="text1"/>
                <w:sz w:val="22"/>
                <w:szCs w:val="20"/>
              </w:rPr>
              <w:t>les pertes résultant de la négociation pour compte propre d’instruments financiers;</w:t>
            </w:r>
          </w:p>
          <w:p w14:paraId="759A7752"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t>e)</w:t>
            </w:r>
            <w:r w:rsidRPr="00BC256B">
              <w:rPr>
                <w:rFonts w:eastAsia="Times New Roman"/>
                <w:bCs/>
                <w:color w:val="000000" w:themeColor="text1"/>
                <w:sz w:val="22"/>
                <w:szCs w:val="20"/>
              </w:rPr>
              <w:tab/>
            </w:r>
            <w:r w:rsidRPr="00BC256B">
              <w:rPr>
                <w:bCs/>
                <w:color w:val="000000" w:themeColor="text1"/>
                <w:sz w:val="22"/>
                <w:szCs w:val="20"/>
              </w:rPr>
              <w:t>les paiements liés à des accords contractuels de transfert de profits et pertes imposant à l’entreprise d’investissement de transf</w:t>
            </w:r>
            <w:r w:rsidRPr="00BC256B">
              <w:rPr>
                <w:bCs/>
                <w:color w:val="000000" w:themeColor="text1"/>
                <w:sz w:val="22"/>
                <w:szCs w:val="20"/>
              </w:rPr>
              <w:t>érer, après établissement de ses états financiers annuels, son résultat annuel à son entreprise mère;</w:t>
            </w:r>
          </w:p>
          <w:p w14:paraId="41E06A2B" w14:textId="77777777" w:rsidR="008C1FA5" w:rsidRPr="00BC256B" w:rsidRDefault="00BC256B">
            <w:pPr>
              <w:pStyle w:val="Point1letter"/>
              <w:numPr>
                <w:ilvl w:val="0"/>
                <w:numId w:val="0"/>
              </w:numPr>
              <w:ind w:left="350" w:hanging="426"/>
              <w:rPr>
                <w:rFonts w:eastAsia="Times New Roman"/>
                <w:bCs/>
                <w:color w:val="000000" w:themeColor="text1"/>
                <w:sz w:val="22"/>
                <w:szCs w:val="20"/>
              </w:rPr>
            </w:pPr>
            <w:r w:rsidRPr="00BC256B">
              <w:rPr>
                <w:rFonts w:eastAsia="Times New Roman"/>
                <w:bCs/>
                <w:color w:val="000000" w:themeColor="text1"/>
                <w:sz w:val="22"/>
                <w:szCs w:val="20"/>
              </w:rPr>
              <w:t>f)</w:t>
            </w:r>
            <w:r w:rsidRPr="00BC256B">
              <w:rPr>
                <w:rFonts w:eastAsia="Times New Roman"/>
                <w:bCs/>
                <w:color w:val="000000" w:themeColor="text1"/>
                <w:sz w:val="22"/>
                <w:szCs w:val="20"/>
              </w:rPr>
              <w:tab/>
            </w:r>
            <w:r w:rsidRPr="00BC256B">
              <w:rPr>
                <w:bCs/>
                <w:color w:val="000000" w:themeColor="text1"/>
                <w:sz w:val="22"/>
                <w:szCs w:val="20"/>
              </w:rPr>
              <w:t>les montants versés dans les fonds pour risques bancaires généraux visés à l’article 26, paragraphe 1, point f), du règlement (UE) n</w:t>
            </w:r>
            <w:r w:rsidRPr="00BC256B">
              <w:rPr>
                <w:bCs/>
                <w:color w:val="000000" w:themeColor="text1"/>
                <w:sz w:val="22"/>
                <w:szCs w:val="20"/>
                <w:vertAlign w:val="superscript"/>
              </w:rPr>
              <w:t>o</w:t>
            </w:r>
            <w:r w:rsidRPr="00BC256B">
              <w:rPr>
                <w:bCs/>
                <w:color w:val="000000" w:themeColor="text1"/>
                <w:sz w:val="22"/>
                <w:szCs w:val="20"/>
              </w:rPr>
              <w:t> 575/2013;</w:t>
            </w:r>
          </w:p>
          <w:p w14:paraId="5955C451" w14:textId="77777777" w:rsidR="008C1FA5" w:rsidRPr="00BC256B" w:rsidRDefault="00BC256B">
            <w:pPr>
              <w:pStyle w:val="Point1letter"/>
              <w:numPr>
                <w:ilvl w:val="0"/>
                <w:numId w:val="0"/>
              </w:numPr>
              <w:ind w:left="350" w:hanging="426"/>
              <w:rPr>
                <w:rFonts w:eastAsia="Times New Roman"/>
                <w:bCs/>
                <w:color w:val="000000" w:themeColor="text1"/>
                <w:szCs w:val="20"/>
              </w:rPr>
            </w:pPr>
            <w:r w:rsidRPr="00BC256B">
              <w:rPr>
                <w:rFonts w:eastAsia="Times New Roman"/>
                <w:bCs/>
                <w:color w:val="000000" w:themeColor="text1"/>
                <w:szCs w:val="20"/>
              </w:rPr>
              <w:t>g)</w:t>
            </w:r>
            <w:r w:rsidRPr="00BC256B">
              <w:rPr>
                <w:rFonts w:eastAsia="Times New Roman"/>
                <w:bCs/>
                <w:color w:val="000000" w:themeColor="text1"/>
                <w:szCs w:val="20"/>
              </w:rPr>
              <w:tab/>
            </w:r>
            <w:r w:rsidRPr="00BC256B">
              <w:rPr>
                <w:bCs/>
                <w:color w:val="000000" w:themeColor="text1"/>
                <w:sz w:val="22"/>
                <w:szCs w:val="20"/>
              </w:rPr>
              <w:t xml:space="preserve">les </w:t>
            </w:r>
            <w:r w:rsidRPr="00BC256B">
              <w:rPr>
                <w:bCs/>
                <w:color w:val="000000" w:themeColor="text1"/>
                <w:sz w:val="22"/>
                <w:szCs w:val="20"/>
              </w:rPr>
              <w:t>dépenses liées à des éléments qui ont déjà été déduits des fonds propres conformément à l’article 36, paragraphe 1, du règlement (UE) n</w:t>
            </w:r>
            <w:r w:rsidRPr="00BC256B">
              <w:rPr>
                <w:bCs/>
                <w:color w:val="000000" w:themeColor="text1"/>
                <w:sz w:val="22"/>
                <w:szCs w:val="20"/>
                <w:vertAlign w:val="superscript"/>
              </w:rPr>
              <w:t>o</w:t>
            </w:r>
            <w:r w:rsidRPr="00BC256B">
              <w:rPr>
                <w:bCs/>
                <w:color w:val="000000" w:themeColor="text1"/>
                <w:sz w:val="22"/>
                <w:szCs w:val="20"/>
              </w:rPr>
              <w:t> 575/2013.</w:t>
            </w:r>
          </w:p>
        </w:tc>
      </w:tr>
      <w:tr w:rsidR="008C1FA5" w:rsidRPr="00BC256B" w14:paraId="61751CCF" w14:textId="77777777">
        <w:tc>
          <w:tcPr>
            <w:tcW w:w="1129" w:type="dxa"/>
          </w:tcPr>
          <w:p w14:paraId="5E5E85DC"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lastRenderedPageBreak/>
              <w:t>0060</w:t>
            </w:r>
          </w:p>
        </w:tc>
        <w:tc>
          <w:tcPr>
            <w:tcW w:w="7620" w:type="dxa"/>
          </w:tcPr>
          <w:p w14:paraId="6B42362A"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Primes et autres rémunérations du personnel</w:t>
            </w:r>
          </w:p>
          <w:p w14:paraId="6624E304"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 xml:space="preserve">Article 13, paragraphe 4, point a), du </w:t>
            </w:r>
            <w:r w:rsidRPr="00BC256B">
              <w:rPr>
                <w:rFonts w:ascii="Times New Roman" w:hAnsi="Times New Roman"/>
                <w:bCs/>
                <w:color w:val="000000" w:themeColor="text1"/>
              </w:rPr>
              <w:t>règlement (UE) 2019/2033.</w:t>
            </w:r>
          </w:p>
          <w:p w14:paraId="3025F0BD" w14:textId="77777777" w:rsidR="008C1FA5" w:rsidRPr="00BC256B" w:rsidRDefault="00BC256B">
            <w:pPr>
              <w:pStyle w:val="NumPar1"/>
              <w:numPr>
                <w:ilvl w:val="0"/>
                <w:numId w:val="0"/>
              </w:numPr>
              <w:rPr>
                <w:rFonts w:eastAsia="Times New Roman"/>
                <w:bCs/>
                <w:color w:val="000000" w:themeColor="text1"/>
                <w:sz w:val="22"/>
                <w:szCs w:val="20"/>
              </w:rPr>
            </w:pPr>
            <w:r w:rsidRPr="00BC256B">
              <w:rPr>
                <w:bCs/>
                <w:color w:val="000000" w:themeColor="text1"/>
                <w:sz w:val="22"/>
                <w:szCs w:val="20"/>
              </w:rPr>
              <w:t>Les primes et autres rémunérations du personnel sont considérées comme dépendant du bénéfice net de l’entreprise d’investissement pour l’exercice concerné, si les deux conditions suivantes sont remplies:</w:t>
            </w:r>
          </w:p>
          <w:p w14:paraId="3A9145CC" w14:textId="77777777" w:rsidR="008C1FA5" w:rsidRPr="00BC256B" w:rsidRDefault="00BC256B">
            <w:pPr>
              <w:pStyle w:val="Point1letter"/>
              <w:numPr>
                <w:ilvl w:val="0"/>
                <w:numId w:val="0"/>
              </w:numPr>
              <w:ind w:left="350" w:hanging="350"/>
              <w:rPr>
                <w:rFonts w:eastAsia="Times New Roman"/>
                <w:bCs/>
                <w:color w:val="000000" w:themeColor="text1"/>
                <w:sz w:val="22"/>
                <w:szCs w:val="20"/>
              </w:rPr>
            </w:pPr>
            <w:r w:rsidRPr="00BC256B">
              <w:rPr>
                <w:rFonts w:eastAsia="Times New Roman"/>
                <w:bCs/>
                <w:color w:val="000000" w:themeColor="text1"/>
                <w:sz w:val="22"/>
                <w:szCs w:val="20"/>
              </w:rPr>
              <w:t>h)</w:t>
            </w:r>
            <w:r w:rsidRPr="00BC256B">
              <w:rPr>
                <w:rFonts w:eastAsia="Times New Roman"/>
                <w:bCs/>
                <w:color w:val="000000" w:themeColor="text1"/>
                <w:sz w:val="22"/>
                <w:szCs w:val="20"/>
              </w:rPr>
              <w:tab/>
            </w:r>
            <w:r w:rsidRPr="00BC256B">
              <w:rPr>
                <w:bCs/>
                <w:color w:val="000000" w:themeColor="text1"/>
                <w:sz w:val="22"/>
                <w:szCs w:val="20"/>
              </w:rPr>
              <w:t>les primes ou autres ré</w:t>
            </w:r>
            <w:r w:rsidRPr="00BC256B">
              <w:rPr>
                <w:bCs/>
                <w:color w:val="000000" w:themeColor="text1"/>
                <w:sz w:val="22"/>
                <w:szCs w:val="20"/>
              </w:rPr>
              <w:t>munérations du personnel à déduire ont déjà été versées aux salariés durant l’exercice précédent l’exercice concerné, ou leur versement n’aura aucune incidence sur l’état des fonds propres de l’entreprise pour l’exercice concerné;</w:t>
            </w:r>
          </w:p>
          <w:p w14:paraId="722F735B" w14:textId="77777777" w:rsidR="008C1FA5" w:rsidRPr="00BC256B" w:rsidRDefault="00BC256B">
            <w:pPr>
              <w:pStyle w:val="Point1letter"/>
              <w:numPr>
                <w:ilvl w:val="0"/>
                <w:numId w:val="0"/>
              </w:numPr>
              <w:ind w:left="350" w:hanging="350"/>
              <w:rPr>
                <w:rFonts w:eastAsia="Times New Roman"/>
                <w:bCs/>
                <w:color w:val="000000" w:themeColor="text1"/>
                <w:sz w:val="22"/>
                <w:szCs w:val="20"/>
              </w:rPr>
            </w:pPr>
            <w:r w:rsidRPr="00BC256B">
              <w:rPr>
                <w:rFonts w:eastAsia="Times New Roman"/>
                <w:bCs/>
                <w:color w:val="000000" w:themeColor="text1"/>
                <w:sz w:val="22"/>
                <w:szCs w:val="20"/>
              </w:rPr>
              <w:t>i)</w:t>
            </w:r>
            <w:r w:rsidRPr="00BC256B">
              <w:rPr>
                <w:rFonts w:eastAsia="Times New Roman"/>
                <w:bCs/>
                <w:color w:val="000000" w:themeColor="text1"/>
                <w:sz w:val="22"/>
                <w:szCs w:val="20"/>
              </w:rPr>
              <w:tab/>
            </w:r>
            <w:r w:rsidRPr="00BC256B">
              <w:rPr>
                <w:bCs/>
                <w:color w:val="000000" w:themeColor="text1"/>
                <w:sz w:val="22"/>
                <w:szCs w:val="20"/>
              </w:rPr>
              <w:t>en ce qui concerne l’e</w:t>
            </w:r>
            <w:r w:rsidRPr="00BC256B">
              <w:rPr>
                <w:bCs/>
                <w:color w:val="000000" w:themeColor="text1"/>
                <w:sz w:val="22"/>
                <w:szCs w:val="20"/>
              </w:rPr>
              <w:t>xercice en cours et les exercices futurs, l’entreprise n’est pas tenue d’accorder ou d’allouer d’autres primes ou paiements à titre de rémunération, à moins de dégager un bénéfice net pour l’exercice.</w:t>
            </w:r>
          </w:p>
          <w:p w14:paraId="21695881" w14:textId="77777777" w:rsidR="008C1FA5" w:rsidRPr="00BC256B" w:rsidRDefault="008C1FA5">
            <w:pPr>
              <w:spacing w:after="120" w:line="240" w:lineRule="auto"/>
              <w:jc w:val="both"/>
              <w:rPr>
                <w:rFonts w:ascii="Times New Roman" w:eastAsia="Times New Roman" w:hAnsi="Times New Roman" w:cs="Times New Roman"/>
                <w:bCs/>
                <w:color w:val="000000" w:themeColor="text1"/>
                <w:lang w:eastAsia="de-DE"/>
              </w:rPr>
            </w:pPr>
          </w:p>
        </w:tc>
      </w:tr>
      <w:tr w:rsidR="008C1FA5" w:rsidRPr="00BC256B" w14:paraId="7486FB95" w14:textId="77777777">
        <w:tc>
          <w:tcPr>
            <w:tcW w:w="1129" w:type="dxa"/>
          </w:tcPr>
          <w:p w14:paraId="64DF2A22"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0070</w:t>
            </w:r>
          </w:p>
        </w:tc>
        <w:tc>
          <w:tcPr>
            <w:tcW w:w="7620" w:type="dxa"/>
          </w:tcPr>
          <w:p w14:paraId="60603AA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 Participations du personnel, des dirigeants </w:t>
            </w:r>
            <w:r w:rsidRPr="00BC256B">
              <w:rPr>
                <w:rFonts w:ascii="Times New Roman" w:hAnsi="Times New Roman"/>
                <w:b/>
                <w:bCs/>
                <w:color w:val="000000" w:themeColor="text1"/>
                <w:u w:val="single"/>
              </w:rPr>
              <w:t>et des associés au résultat</w:t>
            </w:r>
          </w:p>
          <w:p w14:paraId="66B64259" w14:textId="77777777" w:rsidR="008C1FA5" w:rsidRPr="00BC256B" w:rsidRDefault="00BC256B">
            <w:pPr>
              <w:spacing w:after="120" w:line="240" w:lineRule="auto"/>
              <w:jc w:val="both"/>
              <w:rPr>
                <w:rFonts w:eastAsia="Times New Roman"/>
                <w:bCs/>
                <w:color w:val="000000" w:themeColor="text1"/>
              </w:rPr>
            </w:pPr>
            <w:r w:rsidRPr="00BC256B">
              <w:rPr>
                <w:rFonts w:ascii="Times New Roman" w:hAnsi="Times New Roman"/>
                <w:bCs/>
                <w:color w:val="000000" w:themeColor="text1"/>
              </w:rPr>
              <w:t>Article 13, paragraphe 4, point b), du règlement (UE) 2019/2033.</w:t>
            </w:r>
          </w:p>
          <w:p w14:paraId="791C46F1" w14:textId="77777777" w:rsidR="008C1FA5" w:rsidRPr="00BC256B" w:rsidRDefault="00BC256B">
            <w:pPr>
              <w:spacing w:after="120" w:line="240" w:lineRule="auto"/>
              <w:jc w:val="both"/>
              <w:rPr>
                <w:rFonts w:eastAsia="Times New Roman"/>
                <w:bCs/>
                <w:color w:val="000000" w:themeColor="text1"/>
                <w:szCs w:val="20"/>
              </w:rPr>
            </w:pPr>
            <w:r w:rsidRPr="00BC256B">
              <w:rPr>
                <w:rFonts w:ascii="Times New Roman" w:hAnsi="Times New Roman"/>
                <w:bCs/>
                <w:color w:val="000000" w:themeColor="text1"/>
                <w:szCs w:val="20"/>
              </w:rPr>
              <w:t>La participation des salariés, dirigeants et associés au résultat est calculée sur la base des bénéfices nets.</w:t>
            </w:r>
          </w:p>
          <w:p w14:paraId="4CDA79FF" w14:textId="77777777" w:rsidR="008C1FA5" w:rsidRPr="00BC256B" w:rsidRDefault="008C1FA5">
            <w:pPr>
              <w:spacing w:after="120" w:line="240" w:lineRule="auto"/>
              <w:jc w:val="both"/>
              <w:rPr>
                <w:rFonts w:ascii="Times New Roman" w:eastAsia="Times New Roman" w:hAnsi="Times New Roman" w:cs="Times New Roman"/>
                <w:bCs/>
                <w:color w:val="000000" w:themeColor="text1"/>
                <w:lang w:eastAsia="de-DE"/>
              </w:rPr>
            </w:pPr>
          </w:p>
        </w:tc>
      </w:tr>
      <w:tr w:rsidR="008C1FA5" w:rsidRPr="00BC256B" w14:paraId="63A4843E" w14:textId="77777777">
        <w:tc>
          <w:tcPr>
            <w:tcW w:w="1129" w:type="dxa"/>
          </w:tcPr>
          <w:p w14:paraId="796E7C0F"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0080</w:t>
            </w:r>
          </w:p>
        </w:tc>
        <w:tc>
          <w:tcPr>
            <w:tcW w:w="7620" w:type="dxa"/>
          </w:tcPr>
          <w:p w14:paraId="1E9A523F"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 Autres versements </w:t>
            </w:r>
            <w:r w:rsidRPr="00BC256B">
              <w:rPr>
                <w:rFonts w:ascii="Times New Roman" w:hAnsi="Times New Roman"/>
                <w:b/>
                <w:bCs/>
                <w:color w:val="000000" w:themeColor="text1"/>
                <w:u w:val="single"/>
              </w:rPr>
              <w:t>discrétionnaires de bénéfices et rémunérations variables</w:t>
            </w:r>
          </w:p>
          <w:p w14:paraId="21520C09"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paragraphe 4, point c), du règlement (UE) 2019/2033.</w:t>
            </w:r>
          </w:p>
        </w:tc>
      </w:tr>
      <w:tr w:rsidR="008C1FA5" w:rsidRPr="00BC256B" w14:paraId="7FA76C20" w14:textId="77777777">
        <w:tc>
          <w:tcPr>
            <w:tcW w:w="1129" w:type="dxa"/>
          </w:tcPr>
          <w:p w14:paraId="39722999"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0090</w:t>
            </w:r>
          </w:p>
        </w:tc>
        <w:tc>
          <w:tcPr>
            <w:tcW w:w="7620" w:type="dxa"/>
          </w:tcPr>
          <w:p w14:paraId="6BB29BB6"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Commissions à verser partagées</w:t>
            </w:r>
          </w:p>
          <w:p w14:paraId="3E0C79BF"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paragraphe 4, point d), du règlement (UE) 2019/2033.</w:t>
            </w:r>
          </w:p>
        </w:tc>
      </w:tr>
      <w:tr w:rsidR="008C1FA5" w:rsidRPr="00BC256B" w14:paraId="412AA777" w14:textId="77777777">
        <w:tc>
          <w:tcPr>
            <w:tcW w:w="1129" w:type="dxa"/>
          </w:tcPr>
          <w:p w14:paraId="54EBFC5D"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0100</w:t>
            </w:r>
          </w:p>
        </w:tc>
        <w:tc>
          <w:tcPr>
            <w:tcW w:w="7620" w:type="dxa"/>
          </w:tcPr>
          <w:p w14:paraId="7C3D559F"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 </w:t>
            </w:r>
            <w:r w:rsidRPr="00BC256B">
              <w:rPr>
                <w:rFonts w:ascii="Times New Roman" w:hAnsi="Times New Roman"/>
                <w:b/>
                <w:bCs/>
                <w:color w:val="000000" w:themeColor="text1"/>
                <w:u w:val="single"/>
              </w:rPr>
              <w:t>Rémunérations, frais de courtage et autres payés à des contreparties centrales et facturés aux clients</w:t>
            </w:r>
          </w:p>
          <w:p w14:paraId="580AACCC" w14:textId="77777777" w:rsidR="008C1FA5" w:rsidRPr="00BC256B" w:rsidRDefault="00BC256B">
            <w:pPr>
              <w:pStyle w:val="Point1letter"/>
              <w:numPr>
                <w:ilvl w:val="0"/>
                <w:numId w:val="0"/>
              </w:numPr>
              <w:rPr>
                <w:rFonts w:eastAsia="Times New Roman"/>
                <w:bCs/>
                <w:color w:val="000000" w:themeColor="text1"/>
              </w:rPr>
            </w:pPr>
            <w:r w:rsidRPr="00BC256B">
              <w:rPr>
                <w:bCs/>
                <w:color w:val="000000" w:themeColor="text1"/>
                <w:sz w:val="22"/>
              </w:rPr>
              <w:t xml:space="preserve">Les rémunérations, frais de courtage et autres payés à des contreparties centrales, à des bourses de valeurs et autres plates-formes de négociation ou à </w:t>
            </w:r>
            <w:r w:rsidRPr="00BC256B">
              <w:rPr>
                <w:bCs/>
                <w:color w:val="000000" w:themeColor="text1"/>
                <w:sz w:val="22"/>
              </w:rPr>
              <w:t>des intermédiaires de courtage aux fins de l’exécution, de l’enregistrement ou de la compensation de transactions, mais uniquement s’ils sont directement répercutés sur les clients et facturés à ceux-ci. Ces frais ne comprennent pas les frais et autres cha</w:t>
            </w:r>
            <w:r w:rsidRPr="00BC256B">
              <w:rPr>
                <w:bCs/>
                <w:color w:val="000000" w:themeColor="text1"/>
                <w:sz w:val="22"/>
              </w:rPr>
              <w:t>rges nécessaires pour rester membre de contreparties centrales, bourses de valeurs et autres plates-formes de négociation ou pour faire face à des obligations financières de partage des pertes avec celles-ci;</w:t>
            </w:r>
          </w:p>
          <w:p w14:paraId="2C93E7A6" w14:textId="77777777" w:rsidR="008C1FA5" w:rsidRPr="00BC256B" w:rsidRDefault="008C1FA5">
            <w:pPr>
              <w:pStyle w:val="Point1letter"/>
              <w:numPr>
                <w:ilvl w:val="0"/>
                <w:numId w:val="0"/>
              </w:numPr>
              <w:rPr>
                <w:rFonts w:eastAsia="Times New Roman"/>
                <w:bCs/>
                <w:color w:val="000000" w:themeColor="text1"/>
                <w:lang w:eastAsia="de-DE"/>
              </w:rPr>
            </w:pPr>
          </w:p>
        </w:tc>
      </w:tr>
      <w:tr w:rsidR="008C1FA5" w:rsidRPr="00BC256B" w14:paraId="79311957" w14:textId="77777777">
        <w:tc>
          <w:tcPr>
            <w:tcW w:w="1129" w:type="dxa"/>
          </w:tcPr>
          <w:p w14:paraId="1C676A1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0110</w:t>
            </w:r>
          </w:p>
        </w:tc>
        <w:tc>
          <w:tcPr>
            <w:tcW w:w="7620" w:type="dxa"/>
          </w:tcPr>
          <w:p w14:paraId="465E5A89"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Rémunérations versées à des agents l</w:t>
            </w:r>
            <w:r w:rsidRPr="00BC256B">
              <w:rPr>
                <w:rFonts w:ascii="Times New Roman" w:hAnsi="Times New Roman"/>
                <w:b/>
                <w:bCs/>
                <w:color w:val="000000" w:themeColor="text1"/>
                <w:u w:val="single"/>
              </w:rPr>
              <w:t>iés</w:t>
            </w:r>
          </w:p>
          <w:p w14:paraId="2CC4139C"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lastRenderedPageBreak/>
              <w:t>Article 13, paragraphe 4, point e), du règlement (UE) 2019/2033.</w:t>
            </w:r>
          </w:p>
        </w:tc>
      </w:tr>
      <w:tr w:rsidR="008C1FA5" w:rsidRPr="00BC256B" w14:paraId="2B99F630" w14:textId="77777777">
        <w:tc>
          <w:tcPr>
            <w:tcW w:w="1129" w:type="dxa"/>
          </w:tcPr>
          <w:p w14:paraId="6BA61E5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lastRenderedPageBreak/>
              <w:t>0120</w:t>
            </w:r>
          </w:p>
        </w:tc>
        <w:tc>
          <w:tcPr>
            <w:tcW w:w="7620" w:type="dxa"/>
          </w:tcPr>
          <w:p w14:paraId="5EE77DB8"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Intérêts versés à des clients sur leurs fonds à la discrétion de l’entreprise</w:t>
            </w:r>
          </w:p>
          <w:p w14:paraId="71CEF50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Intérêts versés à des clients sur leurs fonds en l’absence de toute obligation de le faire.</w:t>
            </w:r>
          </w:p>
        </w:tc>
      </w:tr>
      <w:tr w:rsidR="008C1FA5" w:rsidRPr="00BC256B" w14:paraId="01AF8AEA" w14:textId="77777777">
        <w:tc>
          <w:tcPr>
            <w:tcW w:w="1129" w:type="dxa"/>
          </w:tcPr>
          <w:p w14:paraId="4C866C93"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0130</w:t>
            </w:r>
          </w:p>
        </w:tc>
        <w:tc>
          <w:tcPr>
            <w:tcW w:w="7620" w:type="dxa"/>
          </w:tcPr>
          <w:p w14:paraId="5C0014C6"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Dépenses non récurrentes résultant d’activités non ordinaires</w:t>
            </w:r>
          </w:p>
          <w:p w14:paraId="0A29D3D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Article 13, paragraphe 4, point f), du règlement (UE) 2019/2033.</w:t>
            </w:r>
          </w:p>
        </w:tc>
      </w:tr>
      <w:tr w:rsidR="008C1FA5" w:rsidRPr="00BC256B" w14:paraId="187E5D9E" w14:textId="77777777">
        <w:tc>
          <w:tcPr>
            <w:tcW w:w="1129" w:type="dxa"/>
          </w:tcPr>
          <w:p w14:paraId="4670D6E6"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0140</w:t>
            </w:r>
          </w:p>
          <w:p w14:paraId="71F10F9E" w14:textId="77777777" w:rsidR="008C1FA5" w:rsidRPr="00BC256B" w:rsidRDefault="008C1FA5">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47F11DFA" w14:textId="77777777" w:rsidR="008C1FA5" w:rsidRPr="00BC256B" w:rsidRDefault="00BC256B">
            <w:pPr>
              <w:spacing w:after="120" w:line="240" w:lineRule="auto"/>
              <w:jc w:val="both"/>
              <w:rPr>
                <w:rFonts w:ascii="Times New Roman" w:eastAsia="Times New Roman" w:hAnsi="Times New Roman" w:cs="Times New Roman"/>
                <w:bCs/>
                <w:color w:val="000000" w:themeColor="text1"/>
                <w:u w:val="single"/>
              </w:rPr>
            </w:pPr>
            <w:r w:rsidRPr="00BC256B">
              <w:rPr>
                <w:rFonts w:ascii="Times New Roman" w:hAnsi="Times New Roman"/>
                <w:b/>
                <w:bCs/>
                <w:color w:val="000000" w:themeColor="text1"/>
                <w:u w:val="single"/>
              </w:rPr>
              <w:t>(-) Charges fiscales</w:t>
            </w:r>
          </w:p>
          <w:p w14:paraId="0817EA26" w14:textId="77777777" w:rsidR="008C1FA5" w:rsidRPr="00BC256B" w:rsidRDefault="00BC256B">
            <w:pPr>
              <w:spacing w:after="120" w:line="240" w:lineRule="auto"/>
              <w:jc w:val="both"/>
              <w:rPr>
                <w:rFonts w:ascii="Times New Roman" w:eastAsia="Times New Roman" w:hAnsi="Times New Roman" w:cs="Times New Roman"/>
                <w:color w:val="000000" w:themeColor="text1"/>
              </w:rPr>
            </w:pPr>
            <w:r w:rsidRPr="00BC256B">
              <w:rPr>
                <w:rFonts w:ascii="Times New Roman" w:hAnsi="Times New Roman"/>
                <w:bCs/>
                <w:color w:val="000000" w:themeColor="text1"/>
              </w:rPr>
              <w:t xml:space="preserve">Charges fiscales exigibles sur les bénéfices annuels de l’entreprise </w:t>
            </w:r>
            <w:r w:rsidRPr="00BC256B">
              <w:rPr>
                <w:rFonts w:ascii="Times New Roman" w:hAnsi="Times New Roman"/>
                <w:bCs/>
                <w:color w:val="000000" w:themeColor="text1"/>
              </w:rPr>
              <w:t>d’investissement.</w:t>
            </w:r>
          </w:p>
        </w:tc>
      </w:tr>
      <w:tr w:rsidR="008C1FA5" w:rsidRPr="00BC256B" w14:paraId="710811E0" w14:textId="77777777">
        <w:tc>
          <w:tcPr>
            <w:tcW w:w="1129" w:type="dxa"/>
          </w:tcPr>
          <w:p w14:paraId="42DA3783"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0150</w:t>
            </w:r>
          </w:p>
        </w:tc>
        <w:tc>
          <w:tcPr>
            <w:tcW w:w="7620" w:type="dxa"/>
          </w:tcPr>
          <w:p w14:paraId="4890708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Pertes résultant de la négociation pour compte propre d’instruments financiers</w:t>
            </w:r>
          </w:p>
          <w:p w14:paraId="683915D9"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t>Pertes résultant de la négociation pour compte propre d’instruments financiers</w:t>
            </w:r>
          </w:p>
        </w:tc>
      </w:tr>
      <w:tr w:rsidR="008C1FA5" w:rsidRPr="00BC256B" w14:paraId="442D16AD" w14:textId="77777777">
        <w:tc>
          <w:tcPr>
            <w:tcW w:w="1129" w:type="dxa"/>
          </w:tcPr>
          <w:p w14:paraId="5DA2BBB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0160</w:t>
            </w:r>
          </w:p>
        </w:tc>
        <w:tc>
          <w:tcPr>
            <w:tcW w:w="7620" w:type="dxa"/>
          </w:tcPr>
          <w:p w14:paraId="4708CA6D"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Accords contractuels de transfert de profits et pertes</w:t>
            </w:r>
          </w:p>
          <w:p w14:paraId="374A9B1A"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Paiem</w:t>
            </w:r>
            <w:r w:rsidRPr="00BC256B">
              <w:rPr>
                <w:rFonts w:ascii="Times New Roman" w:hAnsi="Times New Roman"/>
                <w:bCs/>
                <w:color w:val="000000" w:themeColor="text1"/>
              </w:rPr>
              <w:t xml:space="preserve">ents liés à des accords contractuels de transfert de profits et pertes imposant à l’entreprise d’investissement de transférer, après établissement de ses états financiers annuels, son résultat annuel à son entreprise mère </w:t>
            </w:r>
          </w:p>
        </w:tc>
      </w:tr>
      <w:tr w:rsidR="008C1FA5" w:rsidRPr="00BC256B" w14:paraId="15DA90A0" w14:textId="77777777">
        <w:tc>
          <w:tcPr>
            <w:tcW w:w="1129" w:type="dxa"/>
          </w:tcPr>
          <w:p w14:paraId="10CBC9B6"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0170</w:t>
            </w:r>
          </w:p>
        </w:tc>
        <w:tc>
          <w:tcPr>
            <w:tcW w:w="7620" w:type="dxa"/>
          </w:tcPr>
          <w:p w14:paraId="7505FCF1"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xml:space="preserve">(-) Dépenses </w:t>
            </w:r>
            <w:r w:rsidRPr="00BC256B">
              <w:rPr>
                <w:rFonts w:ascii="Times New Roman" w:hAnsi="Times New Roman"/>
                <w:b/>
                <w:bCs/>
                <w:color w:val="000000" w:themeColor="text1"/>
                <w:u w:val="single"/>
              </w:rPr>
              <w:t>relatives à des matières premières</w:t>
            </w:r>
          </w:p>
          <w:p w14:paraId="01C5A1BD"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rPr>
              <w:t>Les négociants en matières premières et quotas d’émission peuvent déduire les dépenses relatives à des matières premières concernant une entreprise d’investissement qui négocie des instruments dérivés sur la matière premi</w:t>
            </w:r>
            <w:r w:rsidRPr="00BC256B">
              <w:rPr>
                <w:rFonts w:ascii="Times New Roman" w:hAnsi="Times New Roman"/>
                <w:bCs/>
              </w:rPr>
              <w:t xml:space="preserve">ère sous-jacente. </w:t>
            </w:r>
          </w:p>
        </w:tc>
      </w:tr>
      <w:tr w:rsidR="008C1FA5" w:rsidRPr="00BC256B" w14:paraId="07E4DE21" w14:textId="77777777">
        <w:tc>
          <w:tcPr>
            <w:tcW w:w="1129" w:type="dxa"/>
          </w:tcPr>
          <w:p w14:paraId="7CEB101B"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0180</w:t>
            </w:r>
          </w:p>
        </w:tc>
        <w:tc>
          <w:tcPr>
            <w:tcW w:w="7620" w:type="dxa"/>
          </w:tcPr>
          <w:p w14:paraId="60D5E5AD"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Versements à un fonds pour risques bancaires généraux</w:t>
            </w:r>
          </w:p>
          <w:p w14:paraId="08D90015" w14:textId="77777777" w:rsidR="008C1FA5" w:rsidRPr="00BC256B" w:rsidRDefault="00BC256B">
            <w:pPr>
              <w:pStyle w:val="Point1letter"/>
              <w:numPr>
                <w:ilvl w:val="0"/>
                <w:numId w:val="0"/>
              </w:numPr>
              <w:rPr>
                <w:rFonts w:eastAsia="Times New Roman"/>
                <w:b/>
                <w:bCs/>
                <w:color w:val="000000" w:themeColor="text1"/>
                <w:u w:val="single"/>
              </w:rPr>
            </w:pPr>
            <w:r w:rsidRPr="00BC256B">
              <w:t>Montants versés dans les fonds pour risques bancaires généraux visés à l’article 26, paragraphe 1, point f), du règlement (UE) n</w:t>
            </w:r>
            <w:r w:rsidRPr="00BC256B">
              <w:rPr>
                <w:vertAlign w:val="superscript"/>
              </w:rPr>
              <w:t>o</w:t>
            </w:r>
            <w:r w:rsidRPr="00BC256B">
              <w:t> 575/2013;</w:t>
            </w:r>
          </w:p>
        </w:tc>
      </w:tr>
      <w:tr w:rsidR="008C1FA5" w:rsidRPr="00BC256B" w14:paraId="1A7BC877" w14:textId="77777777">
        <w:tc>
          <w:tcPr>
            <w:tcW w:w="1129" w:type="dxa"/>
          </w:tcPr>
          <w:p w14:paraId="722A49D0"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0190</w:t>
            </w:r>
          </w:p>
        </w:tc>
        <w:tc>
          <w:tcPr>
            <w:tcW w:w="7620" w:type="dxa"/>
          </w:tcPr>
          <w:p w14:paraId="5B5EA8BF"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 Dépenses liées à des él</w:t>
            </w:r>
            <w:r w:rsidRPr="00BC256B">
              <w:rPr>
                <w:rFonts w:ascii="Times New Roman" w:hAnsi="Times New Roman"/>
                <w:b/>
                <w:bCs/>
                <w:color w:val="000000" w:themeColor="text1"/>
                <w:u w:val="single"/>
              </w:rPr>
              <w:t>éments déjà déduits des fonds propres</w:t>
            </w:r>
          </w:p>
          <w:p w14:paraId="597C8EB6"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Cs/>
              </w:rPr>
              <w:t>Dépenses liées à des éléments qui ont déjà été déduits des fonds propres conformément à l’article 36, paragraphe 1, du règlement (UE) n</w:t>
            </w:r>
            <w:r w:rsidRPr="00BC256B">
              <w:rPr>
                <w:rFonts w:ascii="Times New Roman" w:hAnsi="Times New Roman"/>
                <w:bCs/>
                <w:vertAlign w:val="superscript"/>
              </w:rPr>
              <w:t>o</w:t>
            </w:r>
            <w:r w:rsidRPr="00BC256B">
              <w:rPr>
                <w:rFonts w:ascii="Times New Roman" w:hAnsi="Times New Roman"/>
                <w:bCs/>
              </w:rPr>
              <w:t> 575/2013.</w:t>
            </w:r>
          </w:p>
        </w:tc>
      </w:tr>
      <w:tr w:rsidR="008C1FA5" w:rsidRPr="00BC256B" w14:paraId="1BD93ADD" w14:textId="77777777">
        <w:tc>
          <w:tcPr>
            <w:tcW w:w="1129" w:type="dxa"/>
          </w:tcPr>
          <w:p w14:paraId="19C649BC"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0200</w:t>
            </w:r>
          </w:p>
        </w:tc>
        <w:tc>
          <w:tcPr>
            <w:tcW w:w="7620" w:type="dxa"/>
          </w:tcPr>
          <w:p w14:paraId="6707763B"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Prévisions de frais généraux fixes pour l’exercice en cours</w:t>
            </w:r>
          </w:p>
          <w:p w14:paraId="244F9378"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Prévi</w:t>
            </w:r>
            <w:r w:rsidRPr="00BC256B">
              <w:rPr>
                <w:rFonts w:ascii="Times New Roman" w:hAnsi="Times New Roman"/>
                <w:bCs/>
                <w:color w:val="000000" w:themeColor="text1"/>
              </w:rPr>
              <w:t>sions de frais généraux fixes pour l’exercice en cours après distribution des bénéfices.</w:t>
            </w:r>
          </w:p>
        </w:tc>
      </w:tr>
      <w:tr w:rsidR="008C1FA5" w:rsidRPr="00BC256B" w14:paraId="7FE8EEBA" w14:textId="77777777">
        <w:tc>
          <w:tcPr>
            <w:tcW w:w="1129" w:type="dxa"/>
          </w:tcPr>
          <w:p w14:paraId="77B3E2B5"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0210</w:t>
            </w:r>
          </w:p>
        </w:tc>
        <w:tc>
          <w:tcPr>
            <w:tcW w:w="7620" w:type="dxa"/>
          </w:tcPr>
          <w:p w14:paraId="4B0D4352" w14:textId="77777777" w:rsidR="008C1FA5" w:rsidRPr="00BC256B" w:rsidRDefault="00BC256B">
            <w:pPr>
              <w:spacing w:after="120" w:line="240" w:lineRule="auto"/>
              <w:jc w:val="both"/>
              <w:rPr>
                <w:rFonts w:ascii="Times New Roman" w:eastAsia="Times New Roman" w:hAnsi="Times New Roman" w:cs="Times New Roman"/>
                <w:b/>
                <w:bCs/>
                <w:color w:val="000000" w:themeColor="text1"/>
                <w:u w:val="single"/>
              </w:rPr>
            </w:pPr>
            <w:r w:rsidRPr="00BC256B">
              <w:rPr>
                <w:rFonts w:ascii="Times New Roman" w:hAnsi="Times New Roman"/>
                <w:b/>
                <w:bCs/>
                <w:color w:val="000000" w:themeColor="text1"/>
                <w:u w:val="single"/>
              </w:rPr>
              <w:t>Variation des frais généraux fixes (%)</w:t>
            </w:r>
          </w:p>
          <w:p w14:paraId="56DC8D82"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Valeur absolue de:</w:t>
            </w:r>
          </w:p>
          <w:p w14:paraId="662DA391" w14:textId="77777777" w:rsidR="008C1FA5" w:rsidRPr="00BC256B" w:rsidRDefault="00BC256B">
            <w:pPr>
              <w:spacing w:after="120" w:line="240" w:lineRule="auto"/>
              <w:jc w:val="both"/>
              <w:rPr>
                <w:rFonts w:ascii="Times New Roman" w:eastAsia="Times New Roman" w:hAnsi="Times New Roman" w:cs="Times New Roman"/>
                <w:bCs/>
                <w:color w:val="000000" w:themeColor="text1"/>
              </w:rPr>
            </w:pPr>
            <w:r w:rsidRPr="00BC256B">
              <w:rPr>
                <w:rFonts w:ascii="Times New Roman" w:hAnsi="Times New Roman"/>
                <w:bCs/>
                <w:color w:val="000000" w:themeColor="text1"/>
              </w:rPr>
              <w:t xml:space="preserve">[(prévisions de frais généraux fixes pour l’exercice en cours) – (frais généraux fixes annuels de </w:t>
            </w:r>
            <w:r w:rsidRPr="00BC256B">
              <w:rPr>
                <w:rFonts w:ascii="Times New Roman" w:hAnsi="Times New Roman"/>
                <w:bCs/>
                <w:color w:val="000000" w:themeColor="text1"/>
              </w:rPr>
              <w:t>l’exercice précédent)]/(frais généraux fixes annuels de l’exercice précédent)</w:t>
            </w:r>
          </w:p>
        </w:tc>
      </w:tr>
    </w:tbl>
    <w:p w14:paraId="261B5BD8" w14:textId="77777777" w:rsidR="008C1FA5" w:rsidRPr="00BC256B" w:rsidRDefault="008C1FA5">
      <w:pPr>
        <w:spacing w:after="120" w:line="240" w:lineRule="auto"/>
        <w:jc w:val="both"/>
        <w:rPr>
          <w:rFonts w:ascii="Times New Roman" w:eastAsia="Times New Roman" w:hAnsi="Times New Roman" w:cs="Times New Roman"/>
          <w:sz w:val="24"/>
          <w:szCs w:val="24"/>
          <w:lang w:eastAsia="de-DE"/>
        </w:rPr>
      </w:pPr>
    </w:p>
    <w:p w14:paraId="029F3421"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7024708"/>
      <w:r w:rsidRPr="00BC256B">
        <w:rPr>
          <w:rFonts w:ascii="Times New Roman" w:hAnsi="Times New Roman"/>
          <w:sz w:val="24"/>
          <w:szCs w:val="24"/>
          <w:u w:val="single"/>
        </w:rPr>
        <w:t>1.6. I 04.00 – CALCUL DE L’EXIGENCE TOTALE BASÉE SUR LES FACTEURS K (I 4)</w:t>
      </w:r>
      <w:bookmarkEnd w:id="40"/>
    </w:p>
    <w:p w14:paraId="309F947B"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7024709"/>
      <w:r w:rsidRPr="00BC256B">
        <w:rPr>
          <w:rFonts w:ascii="Times New Roman" w:hAnsi="Times New Roman"/>
          <w:sz w:val="24"/>
          <w:szCs w:val="24"/>
        </w:rPr>
        <w:t>1.6.1.</w:t>
      </w:r>
      <w:r w:rsidRPr="00BC256B">
        <w:rPr>
          <w:rFonts w:ascii="Times New Roman" w:hAnsi="Times New Roman"/>
          <w:sz w:val="24"/>
          <w:szCs w:val="24"/>
        </w:rPr>
        <w:tab/>
      </w:r>
      <w:r w:rsidRPr="00BC256B">
        <w:rPr>
          <w:rFonts w:ascii="Times New Roman" w:hAnsi="Times New Roman"/>
          <w:sz w:val="24"/>
          <w:szCs w:val="24"/>
          <w:u w:val="single"/>
        </w:rPr>
        <w:t>Instructions concernant certaines positions</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3609691B" w14:textId="77777777">
        <w:tc>
          <w:tcPr>
            <w:tcW w:w="1129" w:type="dxa"/>
            <w:shd w:val="clear" w:color="auto" w:fill="D9D9D9"/>
          </w:tcPr>
          <w:p w14:paraId="750FF8E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color w:val="000000" w:themeColor="text1"/>
                <w:sz w:val="24"/>
                <w:szCs w:val="24"/>
              </w:rPr>
              <w:t>Ligne</w:t>
            </w:r>
          </w:p>
        </w:tc>
        <w:tc>
          <w:tcPr>
            <w:tcW w:w="7620" w:type="dxa"/>
            <w:shd w:val="clear" w:color="auto" w:fill="D9D9D9"/>
          </w:tcPr>
          <w:p w14:paraId="00CC3B3E"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color w:val="000000" w:themeColor="text1"/>
                <w:sz w:val="24"/>
                <w:szCs w:val="24"/>
              </w:rPr>
              <w:t>Références légales et instructions</w:t>
            </w:r>
          </w:p>
        </w:tc>
      </w:tr>
      <w:tr w:rsidR="008C1FA5" w:rsidRPr="00BC256B" w14:paraId="384AD5C8" w14:textId="77777777">
        <w:tc>
          <w:tcPr>
            <w:tcW w:w="1129" w:type="dxa"/>
          </w:tcPr>
          <w:p w14:paraId="2211F166"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0010</w:t>
            </w:r>
          </w:p>
        </w:tc>
        <w:tc>
          <w:tcPr>
            <w:tcW w:w="7620" w:type="dxa"/>
          </w:tcPr>
          <w:p w14:paraId="2566AB06"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EXIGENCE TOTALE BASÉE SUR LES FACTEURS K</w:t>
            </w:r>
          </w:p>
          <w:p w14:paraId="6EBBDE44"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lastRenderedPageBreak/>
              <w:t>Article 15, paragraphe 1, du règlement (UE) 2019/2033</w:t>
            </w:r>
          </w:p>
        </w:tc>
      </w:tr>
      <w:tr w:rsidR="008C1FA5" w:rsidRPr="00BC256B" w14:paraId="2C295E31" w14:textId="77777777">
        <w:tc>
          <w:tcPr>
            <w:tcW w:w="1129" w:type="dxa"/>
          </w:tcPr>
          <w:p w14:paraId="29F835E5"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lastRenderedPageBreak/>
              <w:t>0020</w:t>
            </w:r>
          </w:p>
        </w:tc>
        <w:tc>
          <w:tcPr>
            <w:tcW w:w="7620" w:type="dxa"/>
          </w:tcPr>
          <w:p w14:paraId="32385CAC"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Risques pour les clients (RtC)</w:t>
            </w:r>
          </w:p>
          <w:p w14:paraId="3747FB17"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16 du règlement (UE) 2019/2033.</w:t>
            </w:r>
          </w:p>
          <w:p w14:paraId="5F787B91"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Le montant à indiquer est la somme des lignes 0030-0080.</w:t>
            </w:r>
          </w:p>
        </w:tc>
      </w:tr>
      <w:tr w:rsidR="008C1FA5" w:rsidRPr="00BC256B" w14:paraId="231170E7" w14:textId="77777777">
        <w:tc>
          <w:tcPr>
            <w:tcW w:w="1129" w:type="dxa"/>
          </w:tcPr>
          <w:p w14:paraId="4A0F4296"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0030</w:t>
            </w:r>
          </w:p>
        </w:tc>
        <w:tc>
          <w:tcPr>
            <w:tcW w:w="7620" w:type="dxa"/>
          </w:tcPr>
          <w:p w14:paraId="467A4497"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
                <w:bCs/>
                <w:color w:val="000000" w:themeColor="text1"/>
                <w:sz w:val="24"/>
                <w:szCs w:val="24"/>
                <w:u w:val="single"/>
              </w:rPr>
              <w:t xml:space="preserve">Actifs sous </w:t>
            </w:r>
            <w:r w:rsidRPr="00BC256B">
              <w:rPr>
                <w:rFonts w:ascii="Times New Roman" w:hAnsi="Times New Roman"/>
                <w:b/>
                <w:bCs/>
                <w:color w:val="000000" w:themeColor="text1"/>
                <w:sz w:val="24"/>
                <w:szCs w:val="24"/>
                <w:u w:val="single"/>
              </w:rPr>
              <w:t>gestion</w:t>
            </w:r>
          </w:p>
          <w:p w14:paraId="5BA6355D"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15, paragraphe 2, et article 17 du règlement (UE) 2019/2033.</w:t>
            </w:r>
          </w:p>
          <w:p w14:paraId="125A08D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Les actifs gérés incluent les dispositifs discrétionnaires de gestion de portefeuille et les dispositifs de conseil non discrétionnaires.</w:t>
            </w:r>
          </w:p>
        </w:tc>
      </w:tr>
      <w:tr w:rsidR="008C1FA5" w:rsidRPr="00BC256B" w14:paraId="09AF0574" w14:textId="77777777">
        <w:trPr>
          <w:trHeight w:val="883"/>
        </w:trPr>
        <w:tc>
          <w:tcPr>
            <w:tcW w:w="1129" w:type="dxa"/>
          </w:tcPr>
          <w:p w14:paraId="6F25171F"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0040</w:t>
            </w:r>
          </w:p>
        </w:tc>
        <w:tc>
          <w:tcPr>
            <w:tcW w:w="7620" w:type="dxa"/>
          </w:tcPr>
          <w:p w14:paraId="7CF4EBDB"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Fonds de clients détenus - Ségrégué</w:t>
            </w:r>
            <w:r w:rsidRPr="00BC256B">
              <w:rPr>
                <w:rFonts w:ascii="Times New Roman" w:hAnsi="Times New Roman"/>
                <w:b/>
                <w:bCs/>
                <w:color w:val="000000" w:themeColor="text1"/>
                <w:sz w:val="24"/>
                <w:szCs w:val="24"/>
                <w:u w:val="single"/>
              </w:rPr>
              <w:t>s</w:t>
            </w:r>
          </w:p>
          <w:p w14:paraId="5B092A77"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Article 15, paragraphe 2, et article 18 du règlement (UE) 2019/2033.</w:t>
            </w:r>
          </w:p>
        </w:tc>
      </w:tr>
      <w:tr w:rsidR="008C1FA5" w:rsidRPr="00BC256B" w14:paraId="514A30C2" w14:textId="77777777">
        <w:trPr>
          <w:trHeight w:val="982"/>
        </w:trPr>
        <w:tc>
          <w:tcPr>
            <w:tcW w:w="1129" w:type="dxa"/>
          </w:tcPr>
          <w:p w14:paraId="1A70EE09"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0050</w:t>
            </w:r>
          </w:p>
        </w:tc>
        <w:tc>
          <w:tcPr>
            <w:tcW w:w="7620" w:type="dxa"/>
          </w:tcPr>
          <w:p w14:paraId="7968A044"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Fonds de clients détenus - Non ségrégués</w:t>
            </w:r>
          </w:p>
          <w:p w14:paraId="3DD9381B"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Article 15, paragraphe 2, et article 18 du règlement (UE) 2019/2033.</w:t>
            </w:r>
          </w:p>
        </w:tc>
      </w:tr>
      <w:tr w:rsidR="008C1FA5" w:rsidRPr="00BC256B" w14:paraId="006DB9C2" w14:textId="77777777">
        <w:tc>
          <w:tcPr>
            <w:tcW w:w="1129" w:type="dxa"/>
          </w:tcPr>
          <w:p w14:paraId="263D7139"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0060</w:t>
            </w:r>
          </w:p>
        </w:tc>
        <w:tc>
          <w:tcPr>
            <w:tcW w:w="7620" w:type="dxa"/>
          </w:tcPr>
          <w:p w14:paraId="1E2D5D05"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Actifs conservés et administrés</w:t>
            </w:r>
          </w:p>
          <w:p w14:paraId="4D563CF7"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 xml:space="preserve">Article 15, </w:t>
            </w:r>
            <w:r w:rsidRPr="00BC256B">
              <w:rPr>
                <w:rFonts w:ascii="Times New Roman" w:hAnsi="Times New Roman"/>
                <w:bCs/>
                <w:color w:val="000000" w:themeColor="text1"/>
                <w:sz w:val="24"/>
                <w:szCs w:val="24"/>
              </w:rPr>
              <w:t>paragraphe 2, et article 19 du règlement (UE) 2019/2033.</w:t>
            </w:r>
          </w:p>
        </w:tc>
      </w:tr>
      <w:tr w:rsidR="008C1FA5" w:rsidRPr="00BC256B" w14:paraId="5DC470BE" w14:textId="77777777">
        <w:tc>
          <w:tcPr>
            <w:tcW w:w="1129" w:type="dxa"/>
          </w:tcPr>
          <w:p w14:paraId="0C7BFBC8"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0070</w:t>
            </w:r>
          </w:p>
        </w:tc>
        <w:tc>
          <w:tcPr>
            <w:tcW w:w="7620" w:type="dxa"/>
          </w:tcPr>
          <w:p w14:paraId="0B76D2E5"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Ordres de clients traités – Opérations au comptant</w:t>
            </w:r>
          </w:p>
          <w:p w14:paraId="688552C0"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15, paragraphe 2, article 20, paragraphe 1, et article 20, paragraphe 2, point a), du règlement (UE) 2019/2033.</w:t>
            </w:r>
          </w:p>
        </w:tc>
      </w:tr>
      <w:tr w:rsidR="008C1FA5" w:rsidRPr="00BC256B" w14:paraId="1530C3D2" w14:textId="77777777">
        <w:tc>
          <w:tcPr>
            <w:tcW w:w="1129" w:type="dxa"/>
          </w:tcPr>
          <w:p w14:paraId="54261B37"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0080</w:t>
            </w:r>
          </w:p>
        </w:tc>
        <w:tc>
          <w:tcPr>
            <w:tcW w:w="7620" w:type="dxa"/>
          </w:tcPr>
          <w:p w14:paraId="54EEDFED"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Ordres de client</w:t>
            </w:r>
            <w:r w:rsidRPr="00BC256B">
              <w:rPr>
                <w:rFonts w:ascii="Times New Roman" w:hAnsi="Times New Roman"/>
                <w:b/>
                <w:bCs/>
                <w:color w:val="000000" w:themeColor="text1"/>
                <w:sz w:val="24"/>
                <w:szCs w:val="24"/>
                <w:u w:val="single"/>
              </w:rPr>
              <w:t>s traités - Opérations sur instruments dérivés</w:t>
            </w:r>
          </w:p>
          <w:p w14:paraId="6B1163DB"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15, paragraphe 2, article 20, paragraphe 1, et article 20, paragraphe 2, point b), du règlement délégué (UE) 2019/2033.</w:t>
            </w:r>
          </w:p>
        </w:tc>
      </w:tr>
      <w:tr w:rsidR="008C1FA5" w:rsidRPr="00BC256B" w14:paraId="22C29D14" w14:textId="77777777">
        <w:tc>
          <w:tcPr>
            <w:tcW w:w="1129" w:type="dxa"/>
          </w:tcPr>
          <w:p w14:paraId="0AD4FB20"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0090</w:t>
            </w:r>
          </w:p>
        </w:tc>
        <w:tc>
          <w:tcPr>
            <w:tcW w:w="7620" w:type="dxa"/>
          </w:tcPr>
          <w:p w14:paraId="27B2B811"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Risques pour le marché (RtM)</w:t>
            </w:r>
          </w:p>
          <w:p w14:paraId="0E4C3BEC"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 xml:space="preserve">Article 21, paragraphe 1, du </w:t>
            </w:r>
            <w:r w:rsidRPr="00BC256B">
              <w:rPr>
                <w:rFonts w:ascii="Times New Roman" w:hAnsi="Times New Roman"/>
                <w:bCs/>
                <w:color w:val="000000" w:themeColor="text1"/>
                <w:sz w:val="24"/>
                <w:szCs w:val="24"/>
              </w:rPr>
              <w:t>règlement (UE) 2019/2033</w:t>
            </w:r>
          </w:p>
          <w:p w14:paraId="1DA374C0"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Le montant à indiquer est la somme des lignes 0100 – 0110.</w:t>
            </w:r>
          </w:p>
        </w:tc>
      </w:tr>
      <w:tr w:rsidR="008C1FA5" w:rsidRPr="00BC256B" w14:paraId="7577524F" w14:textId="77777777">
        <w:tc>
          <w:tcPr>
            <w:tcW w:w="1129" w:type="dxa"/>
          </w:tcPr>
          <w:p w14:paraId="1F10CC01"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0100</w:t>
            </w:r>
          </w:p>
        </w:tc>
        <w:tc>
          <w:tcPr>
            <w:tcW w:w="7620" w:type="dxa"/>
          </w:tcPr>
          <w:p w14:paraId="626EFDA1"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Exigence relative au risque de positions nette (K-NPR)</w:t>
            </w:r>
          </w:p>
          <w:p w14:paraId="5704FD5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22 du règlement (UE) 2019/2033.</w:t>
            </w:r>
          </w:p>
        </w:tc>
      </w:tr>
      <w:tr w:rsidR="008C1FA5" w:rsidRPr="00BC256B" w14:paraId="7D8BAA2C" w14:textId="77777777">
        <w:tc>
          <w:tcPr>
            <w:tcW w:w="1129" w:type="dxa"/>
          </w:tcPr>
          <w:p w14:paraId="7D9D95E2"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0110</w:t>
            </w:r>
          </w:p>
        </w:tc>
        <w:tc>
          <w:tcPr>
            <w:tcW w:w="7620" w:type="dxa"/>
          </w:tcPr>
          <w:p w14:paraId="218C029A"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Marge de compensation fournie (CMG)</w:t>
            </w:r>
          </w:p>
          <w:p w14:paraId="134C9F65"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 xml:space="preserve">Article 23, paragraphe 2, du </w:t>
            </w:r>
            <w:r w:rsidRPr="00BC256B">
              <w:rPr>
                <w:rFonts w:ascii="Times New Roman" w:hAnsi="Times New Roman"/>
                <w:bCs/>
                <w:color w:val="000000" w:themeColor="text1"/>
                <w:sz w:val="24"/>
                <w:szCs w:val="24"/>
              </w:rPr>
              <w:t>règlement (UE) 2019/2033</w:t>
            </w:r>
          </w:p>
        </w:tc>
      </w:tr>
      <w:tr w:rsidR="008C1FA5" w:rsidRPr="00BC256B" w14:paraId="468E63AB" w14:textId="77777777">
        <w:tc>
          <w:tcPr>
            <w:tcW w:w="1129" w:type="dxa"/>
          </w:tcPr>
          <w:p w14:paraId="720C5AEF"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0120</w:t>
            </w:r>
          </w:p>
        </w:tc>
        <w:tc>
          <w:tcPr>
            <w:tcW w:w="7620" w:type="dxa"/>
          </w:tcPr>
          <w:p w14:paraId="5F0973E4"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Risques pour l’entreprise (RtF)</w:t>
            </w:r>
          </w:p>
          <w:p w14:paraId="08AFCF6B"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24 du règlement (UE) 2019/2033.</w:t>
            </w:r>
          </w:p>
          <w:p w14:paraId="5BB4EA53"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Le montant à indiquer est la somme des lignes 0130 – 0160.</w:t>
            </w:r>
          </w:p>
        </w:tc>
      </w:tr>
      <w:tr w:rsidR="008C1FA5" w:rsidRPr="00BC256B" w14:paraId="785D63AA" w14:textId="77777777">
        <w:tc>
          <w:tcPr>
            <w:tcW w:w="1129" w:type="dxa"/>
          </w:tcPr>
          <w:p w14:paraId="5F92781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0130</w:t>
            </w:r>
          </w:p>
        </w:tc>
        <w:tc>
          <w:tcPr>
            <w:tcW w:w="7620" w:type="dxa"/>
          </w:tcPr>
          <w:p w14:paraId="111572C2"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Défaut de contrepartie</w:t>
            </w:r>
          </w:p>
          <w:p w14:paraId="7EE027A2"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26 et article 24 du règlement (UE) 2019/2033.</w:t>
            </w:r>
          </w:p>
        </w:tc>
      </w:tr>
      <w:tr w:rsidR="008C1FA5" w:rsidRPr="00BC256B" w14:paraId="531ECCC9" w14:textId="77777777">
        <w:tc>
          <w:tcPr>
            <w:tcW w:w="1129" w:type="dxa"/>
          </w:tcPr>
          <w:p w14:paraId="31C56DAA"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0140</w:t>
            </w:r>
          </w:p>
        </w:tc>
        <w:tc>
          <w:tcPr>
            <w:tcW w:w="7620" w:type="dxa"/>
          </w:tcPr>
          <w:p w14:paraId="7E0CE4CD"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Flux d’échanges quotidiens – Opérations au comptant</w:t>
            </w:r>
          </w:p>
          <w:p w14:paraId="4FB288B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lastRenderedPageBreak/>
              <w:t>Aux fins du calcul de l’exigence basée sur les facteurs K, les entreprises d’investissement appliquent le coefficient prévu à l’article 15, paragraphe 2, du règlement (UE) 2019/2033.</w:t>
            </w:r>
          </w:p>
          <w:p w14:paraId="0F334187"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En cas de tensions su</w:t>
            </w:r>
            <w:r w:rsidRPr="00BC256B">
              <w:rPr>
                <w:rFonts w:ascii="Times New Roman" w:hAnsi="Times New Roman"/>
                <w:bCs/>
                <w:color w:val="000000" w:themeColor="text1"/>
                <w:sz w:val="24"/>
                <w:szCs w:val="24"/>
              </w:rPr>
              <w:t>r les marchés au sens de l’article 15, paragraphe 5, point c), du règlement (UE) 2019/2033, les entreprises d’investissement appliquent un coefficient adapté conformément à l’article 1</w:t>
            </w:r>
            <w:r w:rsidRPr="00BC256B">
              <w:rPr>
                <w:rFonts w:ascii="Times New Roman" w:hAnsi="Times New Roman"/>
                <w:bCs/>
                <w:color w:val="000000" w:themeColor="text1"/>
                <w:sz w:val="24"/>
                <w:szCs w:val="24"/>
                <w:vertAlign w:val="superscript"/>
              </w:rPr>
              <w:t>er</w:t>
            </w:r>
            <w:r w:rsidRPr="00BC256B">
              <w:rPr>
                <w:rFonts w:ascii="Times New Roman" w:hAnsi="Times New Roman"/>
                <w:bCs/>
                <w:color w:val="000000" w:themeColor="text1"/>
                <w:sz w:val="24"/>
                <w:szCs w:val="24"/>
              </w:rPr>
              <w:t>, paragraphe 1, point a), des normes techniques de réglementation préc</w:t>
            </w:r>
            <w:r w:rsidRPr="00BC256B">
              <w:rPr>
                <w:rFonts w:ascii="Times New Roman" w:hAnsi="Times New Roman"/>
                <w:bCs/>
                <w:color w:val="000000" w:themeColor="text1"/>
                <w:sz w:val="24"/>
                <w:szCs w:val="24"/>
              </w:rPr>
              <w:t>isant les adaptations à apporter aux coefficients K-DTF.</w:t>
            </w:r>
          </w:p>
          <w:p w14:paraId="3C658D3E"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Le facteur des flux d’échanges quotidien est calculé conformément à l’article 33, paragraphe 2, point a), du règlement (UE) 2019/2033.</w:t>
            </w:r>
          </w:p>
          <w:p w14:paraId="1EE85C04" w14:textId="77777777" w:rsidR="008C1FA5" w:rsidRPr="00BC256B" w:rsidRDefault="008C1FA5">
            <w:pPr>
              <w:spacing w:after="120" w:line="240" w:lineRule="auto"/>
              <w:jc w:val="both"/>
              <w:rPr>
                <w:rFonts w:ascii="Times New Roman" w:eastAsia="Times New Roman" w:hAnsi="Times New Roman" w:cs="Times New Roman"/>
                <w:bCs/>
                <w:color w:val="000000" w:themeColor="text1"/>
                <w:sz w:val="24"/>
                <w:szCs w:val="24"/>
                <w:lang w:eastAsia="de-DE"/>
              </w:rPr>
            </w:pPr>
          </w:p>
        </w:tc>
      </w:tr>
      <w:tr w:rsidR="008C1FA5" w:rsidRPr="00BC256B" w14:paraId="6EC0CBB3" w14:textId="77777777">
        <w:tc>
          <w:tcPr>
            <w:tcW w:w="1129" w:type="dxa"/>
          </w:tcPr>
          <w:p w14:paraId="5FA311DC"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lastRenderedPageBreak/>
              <w:t>0150</w:t>
            </w:r>
          </w:p>
        </w:tc>
        <w:tc>
          <w:tcPr>
            <w:tcW w:w="7620" w:type="dxa"/>
          </w:tcPr>
          <w:p w14:paraId="0DF112C5"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Flux d’échanges quotidiens – Opérations sur instruments d</w:t>
            </w:r>
            <w:r w:rsidRPr="00BC256B">
              <w:rPr>
                <w:rFonts w:ascii="Times New Roman" w:hAnsi="Times New Roman"/>
                <w:b/>
                <w:bCs/>
                <w:color w:val="000000" w:themeColor="text1"/>
                <w:sz w:val="24"/>
                <w:szCs w:val="24"/>
                <w:u w:val="single"/>
              </w:rPr>
              <w:t>érivés</w:t>
            </w:r>
          </w:p>
          <w:p w14:paraId="7469CDFB"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Aux fins du calcul de l’exigence basée sur les facteurs K, les entreprises d’investissement appliquent le coefficient prévu à l’article 15, paragraphe 2, du règlement (UE) 2019/2033.</w:t>
            </w:r>
          </w:p>
          <w:p w14:paraId="1A0FFBCA"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En cas de tensions sur les marchés au sens de l’article 15, paragr</w:t>
            </w:r>
            <w:r w:rsidRPr="00BC256B">
              <w:rPr>
                <w:rFonts w:ascii="Times New Roman" w:hAnsi="Times New Roman"/>
                <w:bCs/>
                <w:color w:val="000000" w:themeColor="text1"/>
                <w:sz w:val="24"/>
                <w:szCs w:val="24"/>
              </w:rPr>
              <w:t>aphe 5, point c), du règlement (UE) 2019/2033, les entreprises d’investissement appliquent un coefficient adapté conformément à l’article 1</w:t>
            </w:r>
            <w:r w:rsidRPr="00BC256B">
              <w:rPr>
                <w:rFonts w:ascii="Times New Roman" w:hAnsi="Times New Roman"/>
                <w:bCs/>
                <w:color w:val="000000" w:themeColor="text1"/>
                <w:sz w:val="24"/>
                <w:szCs w:val="24"/>
                <w:vertAlign w:val="superscript"/>
              </w:rPr>
              <w:t>er</w:t>
            </w:r>
            <w:r w:rsidRPr="00BC256B">
              <w:rPr>
                <w:rFonts w:ascii="Times New Roman" w:hAnsi="Times New Roman"/>
                <w:bCs/>
                <w:color w:val="000000" w:themeColor="text1"/>
                <w:sz w:val="24"/>
                <w:szCs w:val="24"/>
              </w:rPr>
              <w:t>, paragraphe 1, point b), des normes techniques de réglementation précisant les adaptations à apporter aux coeffici</w:t>
            </w:r>
            <w:r w:rsidRPr="00BC256B">
              <w:rPr>
                <w:rFonts w:ascii="Times New Roman" w:hAnsi="Times New Roman"/>
                <w:bCs/>
                <w:color w:val="000000" w:themeColor="text1"/>
                <w:sz w:val="24"/>
                <w:szCs w:val="24"/>
              </w:rPr>
              <w:t>ents K-DTF.</w:t>
            </w:r>
          </w:p>
          <w:p w14:paraId="723B338B"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Le facteur des flux d’échanges quotidien est calculé conformément à l’article 33, paragraphe 2, point b), du règlement (UE) 2019/2033.</w:t>
            </w:r>
          </w:p>
          <w:p w14:paraId="6435606B" w14:textId="77777777" w:rsidR="008C1FA5" w:rsidRPr="00BC256B" w:rsidRDefault="008C1FA5">
            <w:pPr>
              <w:spacing w:after="120" w:line="240" w:lineRule="auto"/>
              <w:jc w:val="both"/>
              <w:rPr>
                <w:rFonts w:ascii="Times New Roman" w:eastAsia="Times New Roman" w:hAnsi="Times New Roman" w:cs="Times New Roman"/>
                <w:bCs/>
                <w:color w:val="000000" w:themeColor="text1"/>
                <w:sz w:val="24"/>
                <w:szCs w:val="24"/>
                <w:lang w:eastAsia="de-DE"/>
              </w:rPr>
            </w:pPr>
          </w:p>
        </w:tc>
      </w:tr>
      <w:tr w:rsidR="008C1FA5" w:rsidRPr="00BC256B" w14:paraId="67504690" w14:textId="77777777">
        <w:tc>
          <w:tcPr>
            <w:tcW w:w="1129" w:type="dxa"/>
          </w:tcPr>
          <w:p w14:paraId="75538244"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0160</w:t>
            </w:r>
          </w:p>
        </w:tc>
        <w:tc>
          <w:tcPr>
            <w:tcW w:w="7620" w:type="dxa"/>
          </w:tcPr>
          <w:p w14:paraId="1FB96ECE"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Exigence basée sur le risque de concentration</w:t>
            </w:r>
          </w:p>
          <w:p w14:paraId="27DC914E" w14:textId="77777777" w:rsidR="008C1FA5" w:rsidRPr="00BC256B" w:rsidRDefault="00BC256B">
            <w:pPr>
              <w:spacing w:after="120" w:line="240" w:lineRule="auto"/>
              <w:jc w:val="both"/>
              <w:rPr>
                <w:rFonts w:ascii="Times New Roman" w:eastAsia="Times New Roman" w:hAnsi="Times New Roman" w:cs="Times New Roman"/>
                <w:bCs/>
                <w:color w:val="000000" w:themeColor="text1"/>
                <w:sz w:val="24"/>
                <w:szCs w:val="24"/>
              </w:rPr>
            </w:pPr>
            <w:r w:rsidRPr="00BC256B">
              <w:rPr>
                <w:rFonts w:ascii="Times New Roman" w:hAnsi="Times New Roman"/>
                <w:bCs/>
                <w:color w:val="000000" w:themeColor="text1"/>
                <w:sz w:val="24"/>
                <w:szCs w:val="24"/>
              </w:rPr>
              <w:t>Article 37, paragraphe 2, article 39 et article 24 du rè</w:t>
            </w:r>
            <w:r w:rsidRPr="00BC256B">
              <w:rPr>
                <w:rFonts w:ascii="Times New Roman" w:hAnsi="Times New Roman"/>
                <w:bCs/>
                <w:color w:val="000000" w:themeColor="text1"/>
                <w:sz w:val="24"/>
                <w:szCs w:val="24"/>
              </w:rPr>
              <w:t>glement (UE) 2019/2033.</w:t>
            </w:r>
          </w:p>
          <w:p w14:paraId="53BF2737" w14:textId="77777777" w:rsidR="008C1FA5" w:rsidRPr="00BC256B" w:rsidRDefault="008C1FA5">
            <w:pPr>
              <w:spacing w:after="120" w:line="240" w:lineRule="auto"/>
              <w:jc w:val="both"/>
              <w:rPr>
                <w:rFonts w:ascii="Times New Roman" w:eastAsia="Times New Roman" w:hAnsi="Times New Roman" w:cs="Times New Roman"/>
                <w:bCs/>
                <w:color w:val="000000" w:themeColor="text1"/>
                <w:sz w:val="24"/>
                <w:szCs w:val="24"/>
                <w:lang w:eastAsia="de-DE"/>
              </w:rPr>
            </w:pPr>
          </w:p>
        </w:tc>
      </w:tr>
    </w:tbl>
    <w:p w14:paraId="0DAFFD7F"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2676A99" w14:textId="77777777">
        <w:tc>
          <w:tcPr>
            <w:tcW w:w="1129" w:type="dxa"/>
            <w:shd w:val="clear" w:color="auto" w:fill="D9D9D9"/>
          </w:tcPr>
          <w:p w14:paraId="339CBC4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1EF043D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0E7F54B0" w14:textId="77777777">
        <w:tc>
          <w:tcPr>
            <w:tcW w:w="1129" w:type="dxa"/>
          </w:tcPr>
          <w:p w14:paraId="54711AB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121BB67B"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
                <w:bCs/>
                <w:color w:val="000000" w:themeColor="text1"/>
                <w:sz w:val="24"/>
                <w:szCs w:val="24"/>
                <w:u w:val="single"/>
              </w:rPr>
              <w:t>Montant du facteur</w:t>
            </w:r>
          </w:p>
          <w:p w14:paraId="4C3453CA" w14:textId="77777777" w:rsidR="008C1FA5" w:rsidRPr="00BC256B" w:rsidRDefault="00BC256B">
            <w:pPr>
              <w:spacing w:after="120" w:line="240" w:lineRule="auto"/>
              <w:jc w:val="both"/>
              <w:rPr>
                <w:rFonts w:ascii="Times New Roman" w:eastAsia="Times New Roman" w:hAnsi="Times New Roman" w:cs="Times New Roman"/>
                <w:b/>
                <w:bCs/>
                <w:color w:val="000000" w:themeColor="text1"/>
                <w:sz w:val="24"/>
                <w:szCs w:val="24"/>
                <w:u w:val="single"/>
              </w:rPr>
            </w:pPr>
            <w:r w:rsidRPr="00BC256B">
              <w:rPr>
                <w:rFonts w:ascii="Times New Roman" w:hAnsi="Times New Roman"/>
                <w:bCs/>
                <w:color w:val="000000" w:themeColor="text1"/>
                <w:sz w:val="24"/>
                <w:szCs w:val="24"/>
              </w:rPr>
              <w:t xml:space="preserve">Les entreprises d’investissement doivent indiquer le montant correspondant à chacun des facteurs, avant de multiplier chaque facteur par le coefficient correspondant. </w:t>
            </w:r>
          </w:p>
        </w:tc>
      </w:tr>
      <w:tr w:rsidR="008C1FA5" w:rsidRPr="00BC256B" w14:paraId="665FF072" w14:textId="77777777">
        <w:tc>
          <w:tcPr>
            <w:tcW w:w="1129" w:type="dxa"/>
          </w:tcPr>
          <w:p w14:paraId="45E0916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53379986" w14:textId="77777777" w:rsidR="008C1FA5" w:rsidRPr="00BC256B" w:rsidRDefault="00BC256B">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Exigence basée sur les facteurs K</w:t>
            </w:r>
          </w:p>
          <w:p w14:paraId="170999DA" w14:textId="77777777" w:rsidR="008C1FA5" w:rsidRPr="00BC256B" w:rsidRDefault="00BC256B">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Exigence calculée conformément aux </w:t>
            </w:r>
            <w:r w:rsidRPr="00BC256B">
              <w:rPr>
                <w:rFonts w:ascii="Times New Roman" w:hAnsi="Times New Roman"/>
                <w:bCs/>
                <w:sz w:val="24"/>
                <w:szCs w:val="24"/>
              </w:rPr>
              <w:t>articles 16, 21 et 24 du règlement délégué (UE) 2019/2033.</w:t>
            </w:r>
          </w:p>
        </w:tc>
      </w:tr>
    </w:tbl>
    <w:p w14:paraId="099844B9" w14:textId="77777777" w:rsidR="008C1FA5" w:rsidRPr="00BC256B" w:rsidRDefault="008C1FA5">
      <w:pPr>
        <w:spacing w:after="120" w:line="240" w:lineRule="auto"/>
        <w:jc w:val="both"/>
        <w:rPr>
          <w:rFonts w:ascii="Times New Roman" w:eastAsia="Times New Roman" w:hAnsi="Times New Roman" w:cs="Times New Roman"/>
          <w:sz w:val="24"/>
          <w:szCs w:val="24"/>
          <w:lang w:eastAsia="de-DE"/>
        </w:rPr>
      </w:pPr>
    </w:p>
    <w:p w14:paraId="319111A0" w14:textId="77777777" w:rsidR="008C1FA5" w:rsidRPr="00BC256B" w:rsidRDefault="00BC256B">
      <w:pPr>
        <w:pStyle w:val="Instructionsberschrift2"/>
        <w:ind w:left="357" w:hanging="357"/>
      </w:pPr>
      <w:bookmarkStart w:id="42" w:name="_Toc35795022"/>
      <w:bookmarkStart w:id="43" w:name="_Toc87024710"/>
      <w:r w:rsidRPr="00BC256B">
        <w:rPr>
          <w:rFonts w:ascii="Times New Roman" w:hAnsi="Times New Roman"/>
          <w:b/>
          <w:sz w:val="24"/>
        </w:rPr>
        <w:lastRenderedPageBreak/>
        <w:t>2. PETITES ENTREPRISES D’INVESTISSEMENT NON INTERCONNECTÉES</w:t>
      </w:r>
      <w:bookmarkEnd w:id="42"/>
      <w:bookmarkEnd w:id="43"/>
    </w:p>
    <w:p w14:paraId="255DE53E"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7024711"/>
      <w:bookmarkStart w:id="47" w:name="_Toc308175823"/>
      <w:bookmarkStart w:id="48" w:name="_Toc360188327"/>
      <w:r w:rsidRPr="00BC256B">
        <w:rPr>
          <w:rFonts w:ascii="Times New Roman" w:hAnsi="Times New Roman"/>
          <w:sz w:val="24"/>
          <w:szCs w:val="24"/>
          <w:u w:val="single"/>
        </w:rPr>
        <w:t>2.1. I 05.00 – NIVEAU D’ACTIVITÉ – RÉVISION DES SEUILS (I 5)</w:t>
      </w:r>
      <w:bookmarkEnd w:id="44"/>
      <w:bookmarkEnd w:id="45"/>
      <w:bookmarkEnd w:id="46"/>
      <w:bookmarkEnd w:id="47"/>
      <w:bookmarkEnd w:id="48"/>
    </w:p>
    <w:p w14:paraId="1E304541" w14:textId="77777777" w:rsidR="008C1FA5" w:rsidRPr="00BC256B" w:rsidRDefault="00BC256B">
      <w:pPr>
        <w:keepNext/>
        <w:spacing w:before="240" w:after="240" w:line="240" w:lineRule="auto"/>
        <w:ind w:left="357" w:hanging="357"/>
        <w:jc w:val="both"/>
        <w:outlineLvl w:val="1"/>
        <w:rPr>
          <w:rFonts w:ascii="Times New Roman" w:eastAsia="Times New Roman" w:hAnsi="Times New Roman" w:cs="Times New Roman"/>
          <w:b/>
          <w:sz w:val="24"/>
          <w:szCs w:val="24"/>
        </w:rPr>
      </w:pPr>
      <w:bookmarkStart w:id="49" w:name="_Toc310414970"/>
      <w:bookmarkStart w:id="50" w:name="_Toc360188328"/>
      <w:bookmarkStart w:id="51" w:name="_Toc473560876"/>
      <w:bookmarkStart w:id="52" w:name="_Toc7084161"/>
      <w:bookmarkStart w:id="53" w:name="_Toc87024712"/>
      <w:r w:rsidRPr="00BC256B">
        <w:rPr>
          <w:rFonts w:ascii="Times New Roman" w:hAnsi="Times New Roman"/>
          <w:sz w:val="24"/>
          <w:szCs w:val="24"/>
        </w:rPr>
        <w:t>2.1.1.</w:t>
      </w:r>
      <w:r w:rsidRPr="00BC256B">
        <w:tab/>
      </w:r>
      <w:bookmarkStart w:id="54" w:name="_Toc308175824"/>
      <w:r w:rsidRPr="00BC256B">
        <w:rPr>
          <w:rFonts w:ascii="Times New Roman" w:hAnsi="Times New Roman"/>
          <w:sz w:val="24"/>
          <w:szCs w:val="24"/>
          <w:u w:val="single"/>
        </w:rPr>
        <w:t>Instructions concernant certaines positions</w:t>
      </w:r>
      <w:bookmarkEnd w:id="49"/>
      <w:bookmarkEnd w:id="50"/>
      <w:bookmarkEnd w:id="51"/>
      <w:bookmarkEnd w:id="52"/>
      <w:bookmarkEnd w:id="54"/>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225F32D3" w14:textId="77777777">
        <w:tc>
          <w:tcPr>
            <w:tcW w:w="1129" w:type="dxa"/>
            <w:shd w:val="clear" w:color="auto" w:fill="D9D9D9"/>
          </w:tcPr>
          <w:p w14:paraId="3CDD9E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1D0D4D6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4BDC3E8D" w14:textId="77777777">
        <w:tc>
          <w:tcPr>
            <w:tcW w:w="1129" w:type="dxa"/>
          </w:tcPr>
          <w:p w14:paraId="392D8A4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231F173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Actifs sous gestion (sur base cumulée)</w:t>
            </w:r>
          </w:p>
          <w:p w14:paraId="7ACA8D1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a), du règlement (UE) 2019/2033.</w:t>
            </w:r>
          </w:p>
          <w:p w14:paraId="4794A69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Si l’entreprise d’investissement déclarante fait partie d’un groupe, la valeur déclarée est déterminée sur une </w:t>
            </w:r>
            <w:r w:rsidRPr="00BC256B">
              <w:rPr>
                <w:rFonts w:ascii="Times New Roman" w:hAnsi="Times New Roman"/>
                <w:bCs/>
                <w:sz w:val="24"/>
                <w:szCs w:val="24"/>
              </w:rPr>
              <w:t>base cumulée pour toutes les entreprises d’investissement du groupe, conformément à l’article 12, paragraphe 2, du règlement (UE) 2019/2033.</w:t>
            </w:r>
          </w:p>
          <w:p w14:paraId="2CC6ED7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Ce poste regroupe les actifs sous gestion, qu’ils soient gérés de manière discrétionnaire ou non.</w:t>
            </w:r>
          </w:p>
          <w:p w14:paraId="669060B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 montant déclar</w:t>
            </w:r>
            <w:r w:rsidRPr="00BC256B">
              <w:rPr>
                <w:rFonts w:ascii="Times New Roman" w:hAnsi="Times New Roman"/>
                <w:bCs/>
                <w:sz w:val="24"/>
                <w:szCs w:val="24"/>
              </w:rPr>
              <w:t>é est le montant qui serait utilisé pour calculer les facteurs K avant application des coefficients pertinents.</w:t>
            </w:r>
          </w:p>
        </w:tc>
      </w:tr>
      <w:tr w:rsidR="008C1FA5" w:rsidRPr="00BC256B" w14:paraId="071DA7ED" w14:textId="77777777">
        <w:tc>
          <w:tcPr>
            <w:tcW w:w="1129" w:type="dxa"/>
          </w:tcPr>
          <w:p w14:paraId="5B5885C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6E112C5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Ordres de clients traités (sur base cumulée) – Opérations au comptant</w:t>
            </w:r>
          </w:p>
          <w:p w14:paraId="23DEC18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12, paragraphe 1, point b) i), du règlement (UE) </w:t>
            </w:r>
            <w:r w:rsidRPr="00BC256B">
              <w:rPr>
                <w:rFonts w:ascii="Times New Roman" w:hAnsi="Times New Roman"/>
                <w:bCs/>
                <w:sz w:val="24"/>
                <w:szCs w:val="24"/>
              </w:rPr>
              <w:t>2019/2033.</w:t>
            </w:r>
          </w:p>
          <w:p w14:paraId="33B3FDB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règlement (UE) 2019</w:t>
            </w:r>
            <w:r w:rsidRPr="00BC256B">
              <w:rPr>
                <w:rFonts w:ascii="Times New Roman" w:hAnsi="Times New Roman"/>
                <w:bCs/>
                <w:sz w:val="24"/>
                <w:szCs w:val="24"/>
              </w:rPr>
              <w:t>/2033.</w:t>
            </w:r>
          </w:p>
          <w:p w14:paraId="1B181D0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déclaré est le montant qui serait utilisé pour calculer les facteurs K avant application des coefficients pertinents.</w:t>
            </w:r>
          </w:p>
        </w:tc>
      </w:tr>
      <w:tr w:rsidR="008C1FA5" w:rsidRPr="00BC256B" w14:paraId="346F6DA7" w14:textId="77777777">
        <w:tc>
          <w:tcPr>
            <w:tcW w:w="1129" w:type="dxa"/>
          </w:tcPr>
          <w:p w14:paraId="17BFEC8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38E241E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Ordres de clients traités (sur base cumulée) – Instruments dérivés</w:t>
            </w:r>
          </w:p>
          <w:p w14:paraId="5B05FCC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b) ii), du règl</w:t>
            </w:r>
            <w:r w:rsidRPr="00BC256B">
              <w:rPr>
                <w:rFonts w:ascii="Times New Roman" w:hAnsi="Times New Roman"/>
                <w:bCs/>
                <w:sz w:val="24"/>
                <w:szCs w:val="24"/>
              </w:rPr>
              <w:t>ement (UE) 2019/2033.</w:t>
            </w:r>
          </w:p>
          <w:p w14:paraId="0FBE2B7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w:t>
            </w:r>
            <w:r w:rsidRPr="00BC256B">
              <w:rPr>
                <w:rFonts w:ascii="Times New Roman" w:hAnsi="Times New Roman"/>
                <w:bCs/>
                <w:sz w:val="24"/>
                <w:szCs w:val="24"/>
              </w:rPr>
              <w:t>t (UE) 2019/2033.</w:t>
            </w:r>
          </w:p>
          <w:p w14:paraId="0D9551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déclaré est le montant qui serait utilisé pour calculer les facteurs K avant application des coefficients pertinents.</w:t>
            </w:r>
          </w:p>
        </w:tc>
      </w:tr>
      <w:tr w:rsidR="008C1FA5" w:rsidRPr="00BC256B" w14:paraId="385E0006" w14:textId="77777777">
        <w:tc>
          <w:tcPr>
            <w:tcW w:w="1129" w:type="dxa"/>
          </w:tcPr>
          <w:p w14:paraId="31CE6D2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573DF73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conservés et administrés</w:t>
            </w:r>
          </w:p>
          <w:p w14:paraId="7F42ADF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c), du règlement (UE) 2019/2033.</w:t>
            </w:r>
          </w:p>
          <w:p w14:paraId="3C1979A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w:t>
            </w:r>
            <w:r w:rsidRPr="00BC256B">
              <w:rPr>
                <w:rFonts w:ascii="Times New Roman" w:hAnsi="Times New Roman"/>
                <w:bCs/>
                <w:sz w:val="24"/>
                <w:szCs w:val="24"/>
              </w:rPr>
              <w:t>tant déclaré est le montant qui serait utilisé pour calculer les facteurs K avant application des coefficients pertinents.</w:t>
            </w:r>
          </w:p>
        </w:tc>
      </w:tr>
      <w:tr w:rsidR="008C1FA5" w:rsidRPr="00BC256B" w14:paraId="0FE6519F" w14:textId="77777777">
        <w:tc>
          <w:tcPr>
            <w:tcW w:w="1129" w:type="dxa"/>
          </w:tcPr>
          <w:p w14:paraId="0933AAA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1E27165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Fonds de clients détenus</w:t>
            </w:r>
          </w:p>
          <w:p w14:paraId="5C911EF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d), du règlement (UE) 2019/2033.</w:t>
            </w:r>
          </w:p>
          <w:p w14:paraId="465D99E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Le montant déclaré est le </w:t>
            </w:r>
            <w:r w:rsidRPr="00BC256B">
              <w:rPr>
                <w:rFonts w:ascii="Times New Roman" w:hAnsi="Times New Roman"/>
                <w:bCs/>
                <w:sz w:val="24"/>
                <w:szCs w:val="24"/>
              </w:rPr>
              <w:t>montant qui serait utilisé pour calculer les facteurs K avant application des coefficients pertinents.</w:t>
            </w:r>
          </w:p>
        </w:tc>
      </w:tr>
      <w:tr w:rsidR="008C1FA5" w:rsidRPr="00BC256B" w14:paraId="5BAA6BA0" w14:textId="77777777">
        <w:tc>
          <w:tcPr>
            <w:tcW w:w="1129" w:type="dxa"/>
          </w:tcPr>
          <w:p w14:paraId="11D5E94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0060</w:t>
            </w:r>
          </w:p>
        </w:tc>
        <w:tc>
          <w:tcPr>
            <w:tcW w:w="7620" w:type="dxa"/>
          </w:tcPr>
          <w:p w14:paraId="5663ECB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Flux d’échanges quotidien (DTF) – Opérations au comptant et opérations sur instruments dérivés</w:t>
            </w:r>
          </w:p>
          <w:p w14:paraId="527CF5B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12, paragraphe 1, point e), du </w:t>
            </w:r>
            <w:r w:rsidRPr="00BC256B">
              <w:rPr>
                <w:rFonts w:ascii="Times New Roman" w:hAnsi="Times New Roman"/>
                <w:bCs/>
                <w:sz w:val="24"/>
                <w:szCs w:val="24"/>
              </w:rPr>
              <w:t>règlement (UE) 2019/2033.</w:t>
            </w:r>
          </w:p>
          <w:p w14:paraId="1EEBEB3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déclaré est le montant qui serait utilisé pour calculer les facteurs K avant application des coefficients pertinents.</w:t>
            </w:r>
          </w:p>
        </w:tc>
      </w:tr>
      <w:tr w:rsidR="008C1FA5" w:rsidRPr="00BC256B" w14:paraId="3A9F3120" w14:textId="77777777">
        <w:tc>
          <w:tcPr>
            <w:tcW w:w="1129" w:type="dxa"/>
          </w:tcPr>
          <w:p w14:paraId="33EFB52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Pr>
          <w:p w14:paraId="0E04DBA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Risque de position nette (NPR)</w:t>
            </w:r>
          </w:p>
          <w:p w14:paraId="6B6B6AA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f), du règlement (UE) 2019/2033.</w:t>
            </w:r>
          </w:p>
          <w:p w14:paraId="12E6C84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déclaré est le montant qui serait utilisé pour calculer les facteurs K avant application des coefficients pertinents.</w:t>
            </w:r>
          </w:p>
        </w:tc>
      </w:tr>
      <w:tr w:rsidR="008C1FA5" w:rsidRPr="00BC256B" w14:paraId="1D94CBFA" w14:textId="77777777">
        <w:tc>
          <w:tcPr>
            <w:tcW w:w="1129" w:type="dxa"/>
          </w:tcPr>
          <w:p w14:paraId="082C7BD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0080</w:t>
            </w:r>
          </w:p>
        </w:tc>
        <w:tc>
          <w:tcPr>
            <w:tcW w:w="7620" w:type="dxa"/>
          </w:tcPr>
          <w:p w14:paraId="2D9760B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Marge de compensation fournie (CMG)</w:t>
            </w:r>
          </w:p>
          <w:p w14:paraId="2366FBA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f), du règlement (UE) 2019/2033.</w:t>
            </w:r>
          </w:p>
          <w:p w14:paraId="40D09945"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 xml:space="preserve">Le montant déclaré </w:t>
            </w:r>
            <w:r w:rsidRPr="00BC256B">
              <w:rPr>
                <w:rFonts w:ascii="Times New Roman" w:hAnsi="Times New Roman"/>
                <w:bCs/>
                <w:sz w:val="24"/>
                <w:szCs w:val="24"/>
              </w:rPr>
              <w:t>est le montant qui serait utilisé pour calculer les facteurs K avant application des coefficients pertinents.</w:t>
            </w:r>
          </w:p>
        </w:tc>
      </w:tr>
      <w:tr w:rsidR="008C1FA5" w:rsidRPr="00BC256B" w14:paraId="32086BDC" w14:textId="77777777">
        <w:tc>
          <w:tcPr>
            <w:tcW w:w="1129" w:type="dxa"/>
          </w:tcPr>
          <w:p w14:paraId="7061FC7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w:t>
            </w:r>
          </w:p>
        </w:tc>
        <w:tc>
          <w:tcPr>
            <w:tcW w:w="7620" w:type="dxa"/>
          </w:tcPr>
          <w:p w14:paraId="7A1FB92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Défaut de contrepartie</w:t>
            </w:r>
          </w:p>
          <w:p w14:paraId="2E0FB9B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g), du règlement (UE) 2019/2033.</w:t>
            </w:r>
          </w:p>
          <w:p w14:paraId="2C541DC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déclaré est le montant qui serait utilisé</w:t>
            </w:r>
            <w:r w:rsidRPr="00BC256B">
              <w:rPr>
                <w:rFonts w:ascii="Times New Roman" w:hAnsi="Times New Roman"/>
                <w:bCs/>
                <w:sz w:val="24"/>
                <w:szCs w:val="24"/>
              </w:rPr>
              <w:t xml:space="preserve"> pour calculer les facteurs K avant application des coefficients pertinents.</w:t>
            </w:r>
          </w:p>
        </w:tc>
      </w:tr>
      <w:tr w:rsidR="008C1FA5" w:rsidRPr="00BC256B" w14:paraId="08B6F27F" w14:textId="77777777">
        <w:tc>
          <w:tcPr>
            <w:tcW w:w="1129" w:type="dxa"/>
          </w:tcPr>
          <w:p w14:paraId="081EB2B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0100</w:t>
            </w:r>
          </w:p>
        </w:tc>
        <w:tc>
          <w:tcPr>
            <w:tcW w:w="7620" w:type="dxa"/>
          </w:tcPr>
          <w:p w14:paraId="1CBAB72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Total des éléments au bilan et hors bilan (sur base cumulée)</w:t>
            </w:r>
          </w:p>
          <w:p w14:paraId="42110E2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h), du règlement (UE) 2019/2033.</w:t>
            </w:r>
          </w:p>
          <w:p w14:paraId="23582CA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Si l’entreprise </w:t>
            </w:r>
            <w:r w:rsidRPr="00BC256B">
              <w:rPr>
                <w:rFonts w:ascii="Times New Roman" w:hAnsi="Times New Roman"/>
                <w:bCs/>
                <w:sz w:val="24"/>
                <w:szCs w:val="24"/>
              </w:rPr>
              <w:t>d’investissement déclarante fait partie d’un groupe, la valeur déclarée est déterminée sur une base cumulée pour toutes les entreprises d’investissement du groupe, conformément à l’article 12, paragraphe 2, du règlement (UE) 2019/2033.</w:t>
            </w:r>
          </w:p>
        </w:tc>
      </w:tr>
      <w:tr w:rsidR="008C1FA5" w:rsidRPr="00BC256B" w14:paraId="06489A25" w14:textId="77777777">
        <w:tc>
          <w:tcPr>
            <w:tcW w:w="1129" w:type="dxa"/>
          </w:tcPr>
          <w:p w14:paraId="6D81991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0110</w:t>
            </w:r>
          </w:p>
        </w:tc>
        <w:tc>
          <w:tcPr>
            <w:tcW w:w="7620" w:type="dxa"/>
          </w:tcPr>
          <w:p w14:paraId="1FDB3F4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Total des rece</w:t>
            </w:r>
            <w:r w:rsidRPr="00BC256B">
              <w:rPr>
                <w:rFonts w:ascii="Times New Roman" w:hAnsi="Times New Roman"/>
                <w:b/>
                <w:bCs/>
                <w:sz w:val="24"/>
                <w:szCs w:val="24"/>
                <w:u w:val="single"/>
              </w:rPr>
              <w:t>ttes brutes annuelles sur base cumulée</w:t>
            </w:r>
          </w:p>
          <w:p w14:paraId="39186A7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paragraphe 1, point i), du règlement (UE) 2019/2033.</w:t>
            </w:r>
          </w:p>
          <w:p w14:paraId="78B9ADA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Si l’entreprise d’investissement déclarante fait partie d’un groupe, la valeur déclarée est déterminée sur une base cumulée pour toutes les entreprises </w:t>
            </w:r>
            <w:r w:rsidRPr="00BC256B">
              <w:rPr>
                <w:rFonts w:ascii="Times New Roman" w:hAnsi="Times New Roman"/>
                <w:bCs/>
                <w:sz w:val="24"/>
                <w:szCs w:val="24"/>
              </w:rPr>
              <w:t>d’investissement du groupe, conformément à l’article 12, paragraphe 2, du règlement (UE) 2019/2033.</w:t>
            </w:r>
          </w:p>
        </w:tc>
      </w:tr>
      <w:tr w:rsidR="008C1FA5" w:rsidRPr="00BC256B" w14:paraId="60AC8C48" w14:textId="77777777">
        <w:tc>
          <w:tcPr>
            <w:tcW w:w="1129" w:type="dxa"/>
          </w:tcPr>
          <w:p w14:paraId="2A4E3E4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0120</w:t>
            </w:r>
          </w:p>
        </w:tc>
        <w:tc>
          <w:tcPr>
            <w:tcW w:w="7620" w:type="dxa"/>
          </w:tcPr>
          <w:p w14:paraId="16B7220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recettes brutes annuelles</w:t>
            </w:r>
          </w:p>
          <w:p w14:paraId="0AA114E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des recettes brutes annuelles totales obtenue en excluant les recettes brutes générées au sein du </w:t>
            </w:r>
            <w:r w:rsidRPr="00BC256B">
              <w:rPr>
                <w:rFonts w:ascii="Times New Roman" w:hAnsi="Times New Roman"/>
                <w:bCs/>
                <w:sz w:val="24"/>
                <w:szCs w:val="24"/>
              </w:rPr>
              <w:t>groupe, conformément à l’article 12, paragraphe 2, du règlement (UE) 2019/2033.</w:t>
            </w:r>
          </w:p>
        </w:tc>
      </w:tr>
      <w:tr w:rsidR="008C1FA5" w:rsidRPr="00BC256B" w14:paraId="3CD8F1FF" w14:textId="77777777">
        <w:tc>
          <w:tcPr>
            <w:tcW w:w="1129" w:type="dxa"/>
          </w:tcPr>
          <w:p w14:paraId="568E8B3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0130</w:t>
            </w:r>
          </w:p>
        </w:tc>
        <w:tc>
          <w:tcPr>
            <w:tcW w:w="7620" w:type="dxa"/>
          </w:tcPr>
          <w:p w14:paraId="358057E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Partie intragroupe des recettes brutes annuelles</w:t>
            </w:r>
          </w:p>
          <w:p w14:paraId="17B95AB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Valeur des recettes brutes générées au sein du groupe d’entreprises d’investissement, conformément à l’article 12, pa</w:t>
            </w:r>
            <w:r w:rsidRPr="00BC256B">
              <w:rPr>
                <w:rFonts w:ascii="Times New Roman" w:hAnsi="Times New Roman"/>
                <w:bCs/>
                <w:sz w:val="24"/>
                <w:szCs w:val="24"/>
              </w:rPr>
              <w:t>ragraphe 2, du règlement (UE) 2019/2033.</w:t>
            </w:r>
          </w:p>
        </w:tc>
      </w:tr>
      <w:tr w:rsidR="008C1FA5" w:rsidRPr="00BC256B" w14:paraId="40BE1178" w14:textId="77777777">
        <w:tc>
          <w:tcPr>
            <w:tcW w:w="1129" w:type="dxa"/>
          </w:tcPr>
          <w:p w14:paraId="69C8983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0140</w:t>
            </w:r>
          </w:p>
        </w:tc>
        <w:tc>
          <w:tcPr>
            <w:tcW w:w="7620" w:type="dxa"/>
          </w:tcPr>
          <w:p w14:paraId="4F84EC0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la réception et de la transmission d’ordres</w:t>
            </w:r>
          </w:p>
          <w:p w14:paraId="39604F5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3ECFB0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Article 4, paragraphe 1, point 2) de la directive 2014/65/UE.</w:t>
            </w:r>
          </w:p>
        </w:tc>
      </w:tr>
      <w:tr w:rsidR="008C1FA5" w:rsidRPr="00BC256B" w14:paraId="2E37BFF8" w14:textId="77777777">
        <w:tc>
          <w:tcPr>
            <w:tcW w:w="1129" w:type="dxa"/>
          </w:tcPr>
          <w:p w14:paraId="56B10B7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0150</w:t>
            </w:r>
          </w:p>
        </w:tc>
        <w:tc>
          <w:tcPr>
            <w:tcW w:w="7620" w:type="dxa"/>
          </w:tcPr>
          <w:p w14:paraId="6112FE5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l’exécution d’ordres pour le compte de clients</w:t>
            </w:r>
          </w:p>
          <w:p w14:paraId="30B475C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1617E84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2) de la directive 2014/65/UE.</w:t>
            </w:r>
          </w:p>
        </w:tc>
      </w:tr>
      <w:tr w:rsidR="008C1FA5" w:rsidRPr="00BC256B" w14:paraId="33E71267" w14:textId="77777777">
        <w:tc>
          <w:tcPr>
            <w:tcW w:w="1129" w:type="dxa"/>
          </w:tcPr>
          <w:p w14:paraId="2BCC597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99047C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recettes provenant de la négociation pour </w:t>
            </w:r>
            <w:r w:rsidRPr="00BC256B">
              <w:rPr>
                <w:rFonts w:ascii="Times New Roman" w:hAnsi="Times New Roman"/>
                <w:b/>
                <w:bCs/>
                <w:sz w:val="24"/>
                <w:szCs w:val="24"/>
                <w:u w:val="single"/>
              </w:rPr>
              <w:t>compte propre</w:t>
            </w:r>
          </w:p>
          <w:p w14:paraId="0F1E5D3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1AEA91C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de la directive 2014/65/UE.</w:t>
            </w:r>
          </w:p>
        </w:tc>
      </w:tr>
      <w:tr w:rsidR="008C1FA5" w:rsidRPr="00BC256B" w14:paraId="0E03B9E1" w14:textId="77777777">
        <w:tc>
          <w:tcPr>
            <w:tcW w:w="1129" w:type="dxa"/>
          </w:tcPr>
          <w:p w14:paraId="42B9B91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FF29C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la gestion de portefeuilles</w:t>
            </w:r>
          </w:p>
          <w:p w14:paraId="7CF2C9D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54, paragraphe 1, point d), du </w:t>
            </w:r>
            <w:r w:rsidRPr="00BC256B">
              <w:rPr>
                <w:rFonts w:ascii="Times New Roman" w:hAnsi="Times New Roman"/>
                <w:bCs/>
                <w:sz w:val="24"/>
                <w:szCs w:val="24"/>
              </w:rPr>
              <w:t>règlement (UE) 2019/2033.</w:t>
            </w:r>
          </w:p>
          <w:p w14:paraId="0936952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de la directive 2014/65/UE.</w:t>
            </w:r>
          </w:p>
        </w:tc>
      </w:tr>
      <w:tr w:rsidR="008C1FA5" w:rsidRPr="00BC256B" w14:paraId="35602CE4" w14:textId="77777777">
        <w:tc>
          <w:tcPr>
            <w:tcW w:w="1129" w:type="dxa"/>
          </w:tcPr>
          <w:p w14:paraId="3FFEAAA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E4BDA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conseils en investissement</w:t>
            </w:r>
          </w:p>
          <w:p w14:paraId="0D4D71D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6F15E0D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4, paragraphe 1, point 2) de la </w:t>
            </w:r>
            <w:r w:rsidRPr="00BC256B">
              <w:rPr>
                <w:rFonts w:ascii="Times New Roman" w:hAnsi="Times New Roman"/>
                <w:bCs/>
                <w:sz w:val="24"/>
                <w:szCs w:val="24"/>
              </w:rPr>
              <w:t>directive 2014/65/UE.</w:t>
            </w:r>
          </w:p>
        </w:tc>
      </w:tr>
      <w:tr w:rsidR="008C1FA5" w:rsidRPr="00BC256B" w14:paraId="6CC9EC59" w14:textId="77777777">
        <w:tc>
          <w:tcPr>
            <w:tcW w:w="1129" w:type="dxa"/>
          </w:tcPr>
          <w:p w14:paraId="45A7001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BA72D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la prise ferme d’instruments financiers/du placement d’instruments financiers avec engagement ferme</w:t>
            </w:r>
          </w:p>
          <w:p w14:paraId="35D4030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2184555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w:t>
            </w:r>
            <w:r w:rsidRPr="00BC256B">
              <w:rPr>
                <w:rFonts w:ascii="Times New Roman" w:hAnsi="Times New Roman"/>
                <w:bCs/>
                <w:sz w:val="24"/>
                <w:szCs w:val="24"/>
              </w:rPr>
              <w:t>e la directive 2014/65/UE.</w:t>
            </w:r>
          </w:p>
        </w:tc>
      </w:tr>
      <w:tr w:rsidR="008C1FA5" w:rsidRPr="00BC256B" w14:paraId="5B682C97" w14:textId="77777777">
        <w:tc>
          <w:tcPr>
            <w:tcW w:w="1129" w:type="dxa"/>
          </w:tcPr>
          <w:p w14:paraId="197D101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DE07D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du placement d’instruments financiers sans engagement ferme</w:t>
            </w:r>
          </w:p>
          <w:p w14:paraId="79E058C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2EBB1D8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de la directive 2014/65/UE.</w:t>
            </w:r>
          </w:p>
        </w:tc>
      </w:tr>
      <w:tr w:rsidR="008C1FA5" w:rsidRPr="00BC256B" w14:paraId="66C8ECB1" w14:textId="77777777">
        <w:tc>
          <w:tcPr>
            <w:tcW w:w="1129" w:type="dxa"/>
          </w:tcPr>
          <w:p w14:paraId="46837C5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44F2A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l’exploitation d’un MTF</w:t>
            </w:r>
          </w:p>
          <w:p w14:paraId="191D2E6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0F8B1C4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de la directive 2014/65/UE.</w:t>
            </w:r>
          </w:p>
        </w:tc>
      </w:tr>
      <w:tr w:rsidR="008C1FA5" w:rsidRPr="00BC256B" w14:paraId="6D56C11D" w14:textId="77777777">
        <w:tc>
          <w:tcPr>
            <w:tcW w:w="1129" w:type="dxa"/>
          </w:tcPr>
          <w:p w14:paraId="452D29C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A88B3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l’exploitation d’un OTF</w:t>
            </w:r>
          </w:p>
          <w:p w14:paraId="0CF1813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w:t>
            </w:r>
            <w:r w:rsidRPr="00BC256B">
              <w:rPr>
                <w:rFonts w:ascii="Times New Roman" w:hAnsi="Times New Roman"/>
                <w:bCs/>
                <w:sz w:val="24"/>
                <w:szCs w:val="24"/>
              </w:rPr>
              <w:t>phe 1, point d), du règlement (UE) 2019/2033.</w:t>
            </w:r>
          </w:p>
          <w:p w14:paraId="27F7ED4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2) de la directive 2014/65/UE.</w:t>
            </w:r>
          </w:p>
        </w:tc>
      </w:tr>
      <w:tr w:rsidR="008C1FA5" w:rsidRPr="00BC256B" w14:paraId="0F0AE124" w14:textId="77777777">
        <w:tc>
          <w:tcPr>
            <w:tcW w:w="1129" w:type="dxa"/>
          </w:tcPr>
          <w:p w14:paraId="343B6D3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D8F42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la conservation et de l’administration d’instruments financiers</w:t>
            </w:r>
          </w:p>
          <w:p w14:paraId="2C1B3F9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w:t>
            </w:r>
            <w:r w:rsidRPr="00BC256B">
              <w:rPr>
                <w:rFonts w:ascii="Times New Roman" w:hAnsi="Times New Roman"/>
                <w:bCs/>
                <w:sz w:val="24"/>
                <w:szCs w:val="24"/>
              </w:rPr>
              <w:t>UE) 2019/2033.</w:t>
            </w:r>
          </w:p>
          <w:p w14:paraId="2C63E31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3) de la directive 2014/65/UE.</w:t>
            </w:r>
          </w:p>
        </w:tc>
      </w:tr>
      <w:tr w:rsidR="008C1FA5" w:rsidRPr="00BC256B" w14:paraId="0F69E191" w14:textId="77777777">
        <w:tc>
          <w:tcPr>
            <w:tcW w:w="1129" w:type="dxa"/>
          </w:tcPr>
          <w:p w14:paraId="2F6BCD0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A4C90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l’octroi de crédits ou de prêts à des investisseurs</w:t>
            </w:r>
          </w:p>
          <w:p w14:paraId="2DBFE7D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362DA04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4, </w:t>
            </w:r>
            <w:r w:rsidRPr="00BC256B">
              <w:rPr>
                <w:rFonts w:ascii="Times New Roman" w:hAnsi="Times New Roman"/>
                <w:bCs/>
                <w:sz w:val="24"/>
                <w:szCs w:val="24"/>
              </w:rPr>
              <w:t>paragraphe 1, point 3) de la directive 2014/65/UE.</w:t>
            </w:r>
          </w:p>
        </w:tc>
      </w:tr>
      <w:tr w:rsidR="008C1FA5" w:rsidRPr="00BC256B" w14:paraId="489146B5" w14:textId="77777777">
        <w:tc>
          <w:tcPr>
            <w:tcW w:w="1129" w:type="dxa"/>
          </w:tcPr>
          <w:p w14:paraId="6BFF262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66B18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la fourniture de conseils aux entreprises en matière de structure du capital, de stratégie industrielle et de questions connexes, ainsi que de conseils et de services en m</w:t>
            </w:r>
            <w:r w:rsidRPr="00BC256B">
              <w:rPr>
                <w:rFonts w:ascii="Times New Roman" w:hAnsi="Times New Roman"/>
                <w:b/>
                <w:bCs/>
                <w:sz w:val="24"/>
                <w:szCs w:val="24"/>
                <w:u w:val="single"/>
              </w:rPr>
              <w:t>atière de fusions et de rachats d’entreprises.</w:t>
            </w:r>
          </w:p>
          <w:p w14:paraId="1CB482E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540E6DA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3) de la directive 2014/65/UE.</w:t>
            </w:r>
          </w:p>
        </w:tc>
      </w:tr>
      <w:tr w:rsidR="008C1FA5" w:rsidRPr="00BC256B" w14:paraId="3ACBB7CA" w14:textId="77777777">
        <w:tc>
          <w:tcPr>
            <w:tcW w:w="1129" w:type="dxa"/>
          </w:tcPr>
          <w:p w14:paraId="0852599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437C1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services de change</w:t>
            </w:r>
          </w:p>
          <w:p w14:paraId="69FBC1A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w:t>
            </w:r>
            <w:r w:rsidRPr="00BC256B">
              <w:rPr>
                <w:rFonts w:ascii="Times New Roman" w:hAnsi="Times New Roman"/>
                <w:bCs/>
                <w:sz w:val="24"/>
                <w:szCs w:val="24"/>
              </w:rPr>
              <w:t>nt d), du règlement (UE) 2019/2033.</w:t>
            </w:r>
          </w:p>
          <w:p w14:paraId="7A416BA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3) de la directive 2014/65/UE.</w:t>
            </w:r>
          </w:p>
        </w:tc>
      </w:tr>
      <w:tr w:rsidR="008C1FA5" w:rsidRPr="00BC256B" w14:paraId="77D9ACDC" w14:textId="77777777">
        <w:tc>
          <w:tcPr>
            <w:tcW w:w="1129" w:type="dxa"/>
          </w:tcPr>
          <w:p w14:paraId="34569D3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DA493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d’activités de recherche en investissement et d’analyse financière</w:t>
            </w:r>
          </w:p>
          <w:p w14:paraId="4637444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w:t>
            </w:r>
            <w:r w:rsidRPr="00BC256B">
              <w:rPr>
                <w:rFonts w:ascii="Times New Roman" w:hAnsi="Times New Roman"/>
                <w:bCs/>
                <w:sz w:val="24"/>
                <w:szCs w:val="24"/>
              </w:rPr>
              <w:t>033.</w:t>
            </w:r>
          </w:p>
          <w:p w14:paraId="51424EE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3) de la directive 2014/65/UE.</w:t>
            </w:r>
          </w:p>
        </w:tc>
      </w:tr>
      <w:tr w:rsidR="008C1FA5" w:rsidRPr="00BC256B" w14:paraId="2B2EC7A5" w14:textId="77777777">
        <w:tc>
          <w:tcPr>
            <w:tcW w:w="1129" w:type="dxa"/>
          </w:tcPr>
          <w:p w14:paraId="74C975E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BDBE4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recettes provenant de services liés à la prise ferme</w:t>
            </w:r>
          </w:p>
          <w:p w14:paraId="5D39275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74A64EE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4, paragraphe 1, point 3) de la directive </w:t>
            </w:r>
            <w:r w:rsidRPr="00BC256B">
              <w:rPr>
                <w:rFonts w:ascii="Times New Roman" w:hAnsi="Times New Roman"/>
                <w:bCs/>
                <w:sz w:val="24"/>
                <w:szCs w:val="24"/>
              </w:rPr>
              <w:t>2014/65/UE.</w:t>
            </w:r>
          </w:p>
        </w:tc>
      </w:tr>
      <w:tr w:rsidR="008C1FA5" w:rsidRPr="00BC256B" w14:paraId="4F301545" w14:textId="77777777">
        <w:tc>
          <w:tcPr>
            <w:tcW w:w="1129" w:type="dxa"/>
          </w:tcPr>
          <w:p w14:paraId="3CADCDF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C48D4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Dont: recettes provenant de services d’investissement et d’activités auxiliaires liés au sous-jacent de dérivés</w:t>
            </w:r>
          </w:p>
          <w:p w14:paraId="796D786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1, point d), du règlement (UE) 2019/2033.</w:t>
            </w:r>
          </w:p>
          <w:p w14:paraId="77B0A82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4, paragraphe 1, point 3) de la directive 2014/65/UE. </w:t>
            </w:r>
          </w:p>
        </w:tc>
      </w:tr>
    </w:tbl>
    <w:p w14:paraId="02ACD2F5" w14:textId="77777777" w:rsidR="008C1FA5" w:rsidRPr="00BC256B" w:rsidRDefault="00BC256B">
      <w:pPr>
        <w:pStyle w:val="Instructionsberschrift2"/>
        <w:ind w:left="357" w:hanging="357"/>
        <w:rPr>
          <w:b/>
          <w:u w:val="none"/>
        </w:rPr>
      </w:pPr>
      <w:bookmarkStart w:id="55" w:name="_Toc87024713"/>
      <w:r w:rsidRPr="00BC256B">
        <w:rPr>
          <w:rFonts w:ascii="Times New Roman" w:hAnsi="Times New Roman"/>
          <w:b/>
          <w:sz w:val="24"/>
          <w:u w:val="none"/>
        </w:rPr>
        <w:t>3. EXIGENCES BASÉES SUR LES FACTEURS K - DÉTAILS SUPPLÉMENTAIRES</w:t>
      </w:r>
      <w:bookmarkEnd w:id="55"/>
    </w:p>
    <w:p w14:paraId="3B25C125" w14:textId="77777777" w:rsidR="008C1FA5" w:rsidRPr="00BC256B" w:rsidRDefault="00BC256B">
      <w:pPr>
        <w:pStyle w:val="CommentText"/>
        <w:jc w:val="both"/>
        <w:rPr>
          <w:rFonts w:ascii="Times New Roman" w:eastAsia="Arial" w:hAnsi="Times New Roman" w:cs="Times New Roman"/>
          <w:sz w:val="24"/>
          <w:szCs w:val="24"/>
          <w:u w:val="single"/>
        </w:rPr>
      </w:pPr>
      <w:r w:rsidRPr="00BC256B">
        <w:rPr>
          <w:rFonts w:ascii="Times New Roman" w:hAnsi="Times New Roman"/>
          <w:sz w:val="24"/>
          <w:szCs w:val="24"/>
          <w:u w:val="single"/>
        </w:rPr>
        <w:t>3.1. Remarques générales</w:t>
      </w:r>
    </w:p>
    <w:p w14:paraId="326F6E81"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12.</w:t>
      </w:r>
      <w:r w:rsidRPr="00BC256B">
        <w:rPr>
          <w:rFonts w:ascii="Times New Roman" w:hAnsi="Times New Roman" w:cs="Times New Roman"/>
          <w:sz w:val="24"/>
        </w:rPr>
        <w:tab/>
      </w:r>
      <w:r w:rsidRPr="00BC256B">
        <w:rPr>
          <w:rFonts w:ascii="Times New Roman" w:hAnsi="Times New Roman"/>
          <w:sz w:val="24"/>
        </w:rPr>
        <w:t xml:space="preserve">Dans le modèle I 06.00, deux tableaux sont consacrés à chacun des facteurs K (AUM, ASA, CMH, </w:t>
      </w:r>
      <w:r w:rsidRPr="00BC256B">
        <w:rPr>
          <w:rFonts w:ascii="Times New Roman" w:hAnsi="Times New Roman"/>
          <w:sz w:val="24"/>
        </w:rPr>
        <w:t>COH et DTF).</w:t>
      </w:r>
    </w:p>
    <w:p w14:paraId="77EF0EF8"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13.</w:t>
      </w:r>
      <w:r w:rsidRPr="00BC256B">
        <w:rPr>
          <w:rFonts w:ascii="Times New Roman" w:hAnsi="Times New Roman" w:cs="Times New Roman"/>
          <w:sz w:val="24"/>
        </w:rPr>
        <w:tab/>
      </w:r>
      <w:r w:rsidRPr="00BC256B">
        <w:rPr>
          <w:rFonts w:ascii="Times New Roman" w:hAnsi="Times New Roman"/>
          <w:sz w:val="24"/>
        </w:rPr>
        <w:t xml:space="preserve">Le premier tableau regroupe dans des colonnes les informations relatives au «Montant du facteur» pour chaque mois du trimestre de déclaration. Le montant du facteur est la valeur utilisée pour calculer chaque facteur K avant l’application </w:t>
      </w:r>
      <w:r w:rsidRPr="00BC256B">
        <w:rPr>
          <w:rFonts w:ascii="Times New Roman" w:hAnsi="Times New Roman"/>
          <w:sz w:val="24"/>
        </w:rPr>
        <w:t>du coefficient du tableau 1 de l’article 15, paragraphe 2, du règlement (UE) 2019/2033.</w:t>
      </w:r>
    </w:p>
    <w:p w14:paraId="291E4492"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14.</w:t>
      </w:r>
      <w:r w:rsidRPr="00BC256B">
        <w:rPr>
          <w:rFonts w:ascii="Times New Roman" w:hAnsi="Times New Roman" w:cs="Times New Roman"/>
          <w:sz w:val="24"/>
        </w:rPr>
        <w:tab/>
      </w:r>
      <w:r w:rsidRPr="00BC256B">
        <w:rPr>
          <w:rFonts w:ascii="Times New Roman" w:hAnsi="Times New Roman"/>
          <w:sz w:val="24"/>
        </w:rPr>
        <w:t>Le deuxième tableau contient les informations détaillées nécessaires pour calculer le montant du facteur.</w:t>
      </w:r>
    </w:p>
    <w:p w14:paraId="09394DEA" w14:textId="77777777" w:rsidR="008C1FA5" w:rsidRPr="00BC256B" w:rsidRDefault="00BC256B">
      <w:pPr>
        <w:spacing w:line="256" w:lineRule="auto"/>
        <w:ind w:left="993"/>
        <w:jc w:val="both"/>
        <w:rPr>
          <w:rFonts w:ascii="Times New Roman" w:hAnsi="Times New Roman" w:cs="Times New Roman"/>
          <w:sz w:val="24"/>
        </w:rPr>
      </w:pPr>
      <w:r w:rsidRPr="00BC256B">
        <w:rPr>
          <w:rFonts w:ascii="Times New Roman" w:hAnsi="Times New Roman"/>
          <w:sz w:val="24"/>
        </w:rPr>
        <w:t>Dans le cas des AUM, cela correspond à la valeur des actif</w:t>
      </w:r>
      <w:r w:rsidRPr="00BC256B">
        <w:rPr>
          <w:rFonts w:ascii="Times New Roman" w:hAnsi="Times New Roman"/>
          <w:sz w:val="24"/>
        </w:rPr>
        <w:t>s gérés au dernier jour du mois, conformément à l’article 17 du règlement (UE) 2019/2033.</w:t>
      </w:r>
    </w:p>
    <w:p w14:paraId="766EB84F" w14:textId="77777777" w:rsidR="008C1FA5" w:rsidRPr="00BC256B" w:rsidRDefault="00BC256B">
      <w:pPr>
        <w:spacing w:line="256" w:lineRule="auto"/>
        <w:ind w:left="993"/>
        <w:jc w:val="both"/>
        <w:rPr>
          <w:rFonts w:ascii="Times New Roman" w:hAnsi="Times New Roman" w:cs="Times New Roman"/>
          <w:sz w:val="24"/>
        </w:rPr>
      </w:pPr>
      <w:r w:rsidRPr="00BC256B">
        <w:rPr>
          <w:rFonts w:ascii="Times New Roman" w:hAnsi="Times New Roman"/>
          <w:sz w:val="24"/>
        </w:rPr>
        <w:t>Dans le cas des CMH, ASA, COH et DTF, la valeur déclarée correspond à la moyenne mensuelle des valeurs quotidiennes de l’indicateur pertinent.</w:t>
      </w:r>
    </w:p>
    <w:p w14:paraId="10A1B8A5"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6" w:name="_Toc87024714"/>
      <w:r w:rsidRPr="00BC256B">
        <w:rPr>
          <w:rFonts w:ascii="Times New Roman" w:hAnsi="Times New Roman"/>
          <w:sz w:val="24"/>
          <w:szCs w:val="24"/>
          <w:u w:val="single"/>
        </w:rPr>
        <w:lastRenderedPageBreak/>
        <w:t>3.2. I 06.01 – ACTIFS S</w:t>
      </w:r>
      <w:r w:rsidRPr="00BC256B">
        <w:rPr>
          <w:rFonts w:ascii="Times New Roman" w:hAnsi="Times New Roman"/>
          <w:sz w:val="24"/>
          <w:szCs w:val="24"/>
          <w:u w:val="single"/>
        </w:rPr>
        <w:t>OUS GESTION – DÉTAILS SUPPLÉMENTAIRES (I 6.1)</w:t>
      </w:r>
      <w:bookmarkEnd w:id="56"/>
    </w:p>
    <w:p w14:paraId="273554DB" w14:textId="77777777" w:rsidR="008C1FA5" w:rsidRPr="00BC256B" w:rsidRDefault="00BC256B">
      <w:pPr>
        <w:keepNext/>
        <w:spacing w:before="240" w:after="240" w:line="240" w:lineRule="auto"/>
        <w:ind w:left="357" w:hanging="357"/>
        <w:jc w:val="both"/>
        <w:outlineLvl w:val="1"/>
      </w:pPr>
      <w:bookmarkStart w:id="57" w:name="_Toc87024715"/>
      <w:r w:rsidRPr="00BC256B">
        <w:rPr>
          <w:rFonts w:ascii="Times New Roman" w:hAnsi="Times New Roman"/>
          <w:sz w:val="24"/>
          <w:szCs w:val="24"/>
        </w:rPr>
        <w:t>3.2.1.</w:t>
      </w:r>
      <w:r w:rsidRPr="00BC256B">
        <w:rPr>
          <w:rFonts w:ascii="Times New Roman" w:hAnsi="Times New Roman"/>
          <w:sz w:val="24"/>
          <w:szCs w:val="24"/>
        </w:rPr>
        <w:tab/>
      </w:r>
      <w:r w:rsidRPr="00BC256B">
        <w:rPr>
          <w:rFonts w:ascii="Times New Roman" w:hAnsi="Times New Roman"/>
          <w:sz w:val="24"/>
          <w:szCs w:val="24"/>
          <w:u w:val="single"/>
        </w:rPr>
        <w:t>Instructions concernant certaines positions</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1B0CB876" w14:textId="77777777">
        <w:tc>
          <w:tcPr>
            <w:tcW w:w="1129" w:type="dxa"/>
            <w:shd w:val="clear" w:color="auto" w:fill="D9D9D9"/>
          </w:tcPr>
          <w:p w14:paraId="440510E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1166425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B119F12" w14:textId="77777777">
        <w:tc>
          <w:tcPr>
            <w:tcW w:w="1129" w:type="dxa"/>
          </w:tcPr>
          <w:p w14:paraId="520D561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4ABA3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Total des AUM (montants moyens)</w:t>
            </w:r>
          </w:p>
          <w:p w14:paraId="27B75F8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27), du règlement (UE) 2019/2033.</w:t>
            </w:r>
          </w:p>
          <w:p w14:paraId="40D80A5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La valeur </w:t>
            </w:r>
            <w:r w:rsidRPr="00BC256B">
              <w:rPr>
                <w:rFonts w:ascii="Times New Roman" w:hAnsi="Times New Roman"/>
                <w:bCs/>
                <w:sz w:val="24"/>
                <w:szCs w:val="24"/>
              </w:rPr>
              <w:t>totale des AUM correspond à la moyenne arithmétique calculée conformément à l’article 17, paragraphe 1, premier alinéa, du règlement (UE) 2019/2033. La valeur indiquée doit être la somme des lignes 0020 et 0040.</w:t>
            </w:r>
          </w:p>
        </w:tc>
      </w:tr>
      <w:tr w:rsidR="008C1FA5" w:rsidRPr="00BC256B" w14:paraId="5872D6F7" w14:textId="77777777">
        <w:tc>
          <w:tcPr>
            <w:tcW w:w="1129" w:type="dxa"/>
          </w:tcPr>
          <w:p w14:paraId="2E104BD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3AF3F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AUM – Gestion discrétionnaire de</w:t>
            </w:r>
            <w:r w:rsidRPr="00BC256B">
              <w:rPr>
                <w:rFonts w:ascii="Times New Roman" w:hAnsi="Times New Roman"/>
                <w:b/>
                <w:bCs/>
                <w:sz w:val="24"/>
                <w:szCs w:val="24"/>
                <w:u w:val="single"/>
              </w:rPr>
              <w:t xml:space="preserve"> portefeuilles</w:t>
            </w:r>
          </w:p>
          <w:p w14:paraId="6AAF0C2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Montant total des actifs pour lesquels l’entreprise d’investissement fournit le service de gestion de portefeuille défini à l’article 4, paragraphe 1, point 8), de la directive 2014/65/UE et calculé conformément à l’article 17, </w:t>
            </w:r>
            <w:r w:rsidRPr="00BC256B">
              <w:rPr>
                <w:rFonts w:ascii="Times New Roman" w:hAnsi="Times New Roman"/>
                <w:bCs/>
                <w:sz w:val="24"/>
                <w:szCs w:val="24"/>
              </w:rPr>
              <w:t>paragraphe 1, du règlement (UE) 2019/2033.</w:t>
            </w:r>
          </w:p>
        </w:tc>
      </w:tr>
      <w:tr w:rsidR="008C1FA5" w:rsidRPr="00BC256B" w14:paraId="1B64DFFB" w14:textId="77777777">
        <w:tc>
          <w:tcPr>
            <w:tcW w:w="1129" w:type="dxa"/>
          </w:tcPr>
          <w:p w14:paraId="48AD998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E8653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AUM dont la gestion a été officiellement déléguée à une autre entité</w:t>
            </w:r>
          </w:p>
          <w:p w14:paraId="5C7F517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17, paragraphe 2, du règlement (UE) 2019/2033.</w:t>
            </w:r>
          </w:p>
        </w:tc>
      </w:tr>
      <w:tr w:rsidR="008C1FA5" w:rsidRPr="00BC256B" w14:paraId="2388C176" w14:textId="77777777">
        <w:tc>
          <w:tcPr>
            <w:tcW w:w="1129" w:type="dxa"/>
          </w:tcPr>
          <w:p w14:paraId="07F157E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C724B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AUM – Fourniture en continu de conseils non </w:t>
            </w:r>
            <w:r w:rsidRPr="00BC256B">
              <w:rPr>
                <w:rFonts w:ascii="Times New Roman" w:hAnsi="Times New Roman"/>
                <w:b/>
                <w:bCs/>
                <w:sz w:val="24"/>
                <w:szCs w:val="24"/>
                <w:u w:val="single"/>
              </w:rPr>
              <w:t>discrétionnaires</w:t>
            </w:r>
          </w:p>
          <w:p w14:paraId="02D7955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Montant total des actifs pour lesquels l’entreprise d’investissement fournit le service de conseil en investissement défini à l’article 4, paragraphe 1, point 4), de la directive 2014/65/UE de manière continue et non discrétionnaire.</w:t>
            </w:r>
          </w:p>
        </w:tc>
      </w:tr>
    </w:tbl>
    <w:p w14:paraId="50728EB4"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53FBAE52" w14:textId="77777777">
        <w:tc>
          <w:tcPr>
            <w:tcW w:w="1129" w:type="dxa"/>
            <w:shd w:val="clear" w:color="auto" w:fill="D9D9D9"/>
          </w:tcPr>
          <w:p w14:paraId="55D9812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w:t>
            </w:r>
            <w:r w:rsidRPr="00BC256B">
              <w:rPr>
                <w:rFonts w:ascii="Times New Roman" w:hAnsi="Times New Roman"/>
                <w:sz w:val="24"/>
                <w:szCs w:val="24"/>
              </w:rPr>
              <w:t>onnes</w:t>
            </w:r>
          </w:p>
        </w:tc>
        <w:tc>
          <w:tcPr>
            <w:tcW w:w="7620" w:type="dxa"/>
            <w:shd w:val="clear" w:color="auto" w:fill="D9D9D9"/>
          </w:tcPr>
          <w:p w14:paraId="143BC4D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42167005" w14:textId="77777777">
        <w:tc>
          <w:tcPr>
            <w:tcW w:w="1129" w:type="dxa"/>
          </w:tcPr>
          <w:p w14:paraId="795B526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3F76539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w:t>
            </w:r>
          </w:p>
          <w:p w14:paraId="397113E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AUM pour la fin du troisième mois (c’est-à-dire le plus récent) du trimestre auquel le rapport fait référence.</w:t>
            </w:r>
          </w:p>
        </w:tc>
      </w:tr>
      <w:tr w:rsidR="008C1FA5" w:rsidRPr="00BC256B" w14:paraId="0382E3E3" w14:textId="77777777">
        <w:tc>
          <w:tcPr>
            <w:tcW w:w="1129" w:type="dxa"/>
          </w:tcPr>
          <w:p w14:paraId="71D4527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796DB47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t-1</w:t>
            </w:r>
          </w:p>
          <w:p w14:paraId="00B038E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AUM pour le deuxième mois du </w:t>
            </w:r>
            <w:r w:rsidRPr="00BC256B">
              <w:rPr>
                <w:rFonts w:ascii="Times New Roman" w:hAnsi="Times New Roman"/>
                <w:bCs/>
                <w:sz w:val="24"/>
                <w:szCs w:val="24"/>
              </w:rPr>
              <w:t>trimestre auquel le rapport fait référence.</w:t>
            </w:r>
          </w:p>
        </w:tc>
      </w:tr>
      <w:tr w:rsidR="008C1FA5" w:rsidRPr="00BC256B" w14:paraId="27449A0B" w14:textId="77777777">
        <w:tc>
          <w:tcPr>
            <w:tcW w:w="1129" w:type="dxa"/>
          </w:tcPr>
          <w:p w14:paraId="4F6D2E4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2A94D1E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t-2</w:t>
            </w:r>
          </w:p>
          <w:p w14:paraId="2A44AA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AUM pour le premier mois du trimestre auquel le rapport fait référence.</w:t>
            </w:r>
          </w:p>
        </w:tc>
      </w:tr>
    </w:tbl>
    <w:p w14:paraId="0DD65956"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8" w:name="_Toc87024716"/>
      <w:r w:rsidRPr="00BC256B">
        <w:rPr>
          <w:rFonts w:ascii="Times New Roman" w:hAnsi="Times New Roman"/>
          <w:sz w:val="24"/>
          <w:szCs w:val="24"/>
          <w:u w:val="single"/>
        </w:rPr>
        <w:t>3.3. I 06.02 – ACTIFS SOUS GESTION MENSUELS (I 6.2)</w:t>
      </w:r>
      <w:bookmarkEnd w:id="58"/>
    </w:p>
    <w:p w14:paraId="732DFAB3"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rPr>
      </w:pPr>
      <w:bookmarkStart w:id="59" w:name="_Toc87024717"/>
      <w:r w:rsidRPr="00BC256B">
        <w:rPr>
          <w:rFonts w:ascii="Times New Roman" w:hAnsi="Times New Roman"/>
          <w:sz w:val="24"/>
          <w:szCs w:val="24"/>
        </w:rPr>
        <w:t>3.3.1.</w:t>
      </w:r>
      <w:r w:rsidRPr="00BC256B">
        <w:tab/>
      </w:r>
      <w:r w:rsidRPr="00BC256B">
        <w:rPr>
          <w:rFonts w:ascii="Times New Roman" w:hAnsi="Times New Roman"/>
          <w:sz w:val="24"/>
          <w:szCs w:val="24"/>
          <w:u w:val="single"/>
        </w:rPr>
        <w:t xml:space="preserve">Instructions concernant certaines </w:t>
      </w:r>
      <w:r w:rsidRPr="00BC256B">
        <w:rPr>
          <w:rFonts w:ascii="Times New Roman" w:hAnsi="Times New Roman"/>
          <w:sz w:val="24"/>
          <w:szCs w:val="24"/>
          <w:u w:val="single"/>
        </w:rPr>
        <w:t>positions</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7286FE7C" w14:textId="77777777">
        <w:tc>
          <w:tcPr>
            <w:tcW w:w="1129" w:type="dxa"/>
            <w:shd w:val="clear" w:color="auto" w:fill="D9D9D9"/>
          </w:tcPr>
          <w:p w14:paraId="45F7A9A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493432A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2DF9DF8" w14:textId="77777777">
        <w:tc>
          <w:tcPr>
            <w:tcW w:w="1129" w:type="dxa"/>
          </w:tcPr>
          <w:p w14:paraId="3FDDDD7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87341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mensuel des actifs sous gestion</w:t>
            </w:r>
          </w:p>
          <w:p w14:paraId="06E73AB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27), du règlement (UE) 2019/2033.</w:t>
            </w:r>
          </w:p>
          <w:p w14:paraId="6FC453D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Total mensuel des actifs sous gestion au dernier jour ouvrable du mois concerné visé à </w:t>
            </w:r>
            <w:r w:rsidRPr="00BC256B">
              <w:rPr>
                <w:rFonts w:ascii="Times New Roman" w:hAnsi="Times New Roman"/>
                <w:bCs/>
                <w:sz w:val="24"/>
                <w:szCs w:val="24"/>
              </w:rPr>
              <w:t>l’article 17, paragraphe 1, du règlement (UE) 2019/2033.</w:t>
            </w:r>
          </w:p>
          <w:p w14:paraId="59D09B3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Le montant indiqué doit être la somme des lignes 0020 et 0040.</w:t>
            </w:r>
          </w:p>
        </w:tc>
      </w:tr>
      <w:tr w:rsidR="008C1FA5" w:rsidRPr="00BC256B" w14:paraId="0CC0EDBA" w14:textId="77777777">
        <w:tc>
          <w:tcPr>
            <w:tcW w:w="1129" w:type="dxa"/>
          </w:tcPr>
          <w:p w14:paraId="47BBF8C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43C14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Valeur mensuelle des actifs sous gestion – Gestion discrétionnaire de portefeuille</w:t>
            </w:r>
          </w:p>
          <w:p w14:paraId="6F5AE2E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à indiquer est le montant mensuel de</w:t>
            </w:r>
            <w:r w:rsidRPr="00BC256B">
              <w:rPr>
                <w:rFonts w:ascii="Times New Roman" w:hAnsi="Times New Roman"/>
                <w:bCs/>
                <w:sz w:val="24"/>
                <w:szCs w:val="24"/>
              </w:rPr>
              <w:t>s actifs pour lesquels l’entreprise d’investissement fournit le service de gestion de portefeuille défini à l’article 4, paragraphe 1, point 8), de la directive 2014/65/UE, mesuré le dernier jour ouvrable du mois concerné comme prévu à l’article 17, paragr</w:t>
            </w:r>
            <w:r w:rsidRPr="00BC256B">
              <w:rPr>
                <w:rFonts w:ascii="Times New Roman" w:hAnsi="Times New Roman"/>
                <w:bCs/>
                <w:sz w:val="24"/>
                <w:szCs w:val="24"/>
              </w:rPr>
              <w:t>aphe 1, du règlement (UE) 2019/2033.</w:t>
            </w:r>
          </w:p>
        </w:tc>
      </w:tr>
      <w:tr w:rsidR="008C1FA5" w:rsidRPr="00BC256B" w14:paraId="1352EE7D" w14:textId="77777777">
        <w:tc>
          <w:tcPr>
            <w:tcW w:w="1129" w:type="dxa"/>
          </w:tcPr>
          <w:p w14:paraId="606CB8A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F4044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Dont: actifs dont la gestion a été officiellement déléguée à une autre entité</w:t>
            </w:r>
          </w:p>
          <w:p w14:paraId="3D55FBE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17, paragraphe 2, du règlement (UE) 2019/2033.</w:t>
            </w:r>
          </w:p>
          <w:p w14:paraId="26AE99E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Actifs mensuels dont la gestion a été officiellement déléguée à une autre entité, tels que mesurés au dernier jour ouvrable du mois concerné. </w:t>
            </w:r>
          </w:p>
        </w:tc>
      </w:tr>
      <w:tr w:rsidR="008C1FA5" w:rsidRPr="00BC256B" w14:paraId="04B2C5E2" w14:textId="77777777">
        <w:tc>
          <w:tcPr>
            <w:tcW w:w="1129" w:type="dxa"/>
          </w:tcPr>
          <w:p w14:paraId="6F93F46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13AF5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Valeur mensuelle des actifs sous gestion – Fourniture en continu de conseils non discrétionnaires</w:t>
            </w:r>
          </w:p>
          <w:p w14:paraId="003B798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Montant t</w:t>
            </w:r>
            <w:r w:rsidRPr="00BC256B">
              <w:rPr>
                <w:rFonts w:ascii="Times New Roman" w:hAnsi="Times New Roman"/>
                <w:bCs/>
                <w:sz w:val="24"/>
                <w:szCs w:val="24"/>
              </w:rPr>
              <w:t>otal des actifs pour lesquels l’entreprise d’investissement fournit le service de conseil en investissement défini à l’article 4, paragraphe 1, point 4), de la directive 2014/65/UE de manière continue et non discrétionnaire, mesuré le dernier jour ouvrable</w:t>
            </w:r>
            <w:r w:rsidRPr="00BC256B">
              <w:rPr>
                <w:rFonts w:ascii="Times New Roman" w:hAnsi="Times New Roman"/>
                <w:bCs/>
                <w:sz w:val="24"/>
                <w:szCs w:val="24"/>
              </w:rPr>
              <w:t xml:space="preserve"> du mois concerné.</w:t>
            </w:r>
          </w:p>
        </w:tc>
      </w:tr>
    </w:tbl>
    <w:p w14:paraId="595E104C" w14:textId="77777777" w:rsidR="008C1FA5" w:rsidRPr="00BC256B" w:rsidRDefault="008C1FA5">
      <w:pPr>
        <w:keepNext/>
        <w:spacing w:before="240" w:after="240" w:line="240" w:lineRule="auto"/>
        <w:jc w:val="both"/>
        <w:outlineLvl w:val="1"/>
        <w:rPr>
          <w:rFonts w:ascii="Times New Roman" w:eastAsia="Arial" w:hAnsi="Times New Roman" w:cs="Times New Roman"/>
          <w:sz w:val="24"/>
          <w:szCs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B6A901E" w14:textId="77777777">
        <w:tc>
          <w:tcPr>
            <w:tcW w:w="1129" w:type="dxa"/>
            <w:shd w:val="clear" w:color="auto" w:fill="D9D9D9"/>
          </w:tcPr>
          <w:p w14:paraId="08A4075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17BB66F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68CD535" w14:textId="77777777">
        <w:tc>
          <w:tcPr>
            <w:tcW w:w="1129" w:type="dxa"/>
          </w:tcPr>
          <w:p w14:paraId="122775B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0010-0140</w:t>
            </w:r>
          </w:p>
        </w:tc>
        <w:tc>
          <w:tcPr>
            <w:tcW w:w="7620" w:type="dxa"/>
          </w:tcPr>
          <w:p w14:paraId="0EDBA46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Valeurs de fin de mois</w:t>
            </w:r>
          </w:p>
          <w:p w14:paraId="1B3EE2B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Valeurs relevées le dernier jour ouvrable du mois concerné, conformément à l’article 17, paragraphe 1, du règlement (UE) 2019/2033.</w:t>
            </w:r>
          </w:p>
        </w:tc>
      </w:tr>
    </w:tbl>
    <w:p w14:paraId="73DC31B6"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0" w:name="_Toc87024718"/>
      <w:r w:rsidRPr="00BC256B">
        <w:rPr>
          <w:rFonts w:ascii="Times New Roman" w:hAnsi="Times New Roman"/>
          <w:sz w:val="24"/>
          <w:szCs w:val="24"/>
          <w:u w:val="single"/>
        </w:rPr>
        <w:t xml:space="preserve">3.4. I 06.03 – </w:t>
      </w:r>
      <w:r w:rsidRPr="00BC256B">
        <w:rPr>
          <w:rFonts w:ascii="Times New Roman" w:hAnsi="Times New Roman"/>
          <w:sz w:val="24"/>
          <w:szCs w:val="24"/>
          <w:u w:val="single"/>
        </w:rPr>
        <w:t>FONDS DE CLIENTS DÉTENUS (CMH) – DÉTAILS SUPPLÉMENTAIRES (I 6.3)</w:t>
      </w:r>
      <w:bookmarkEnd w:id="60"/>
    </w:p>
    <w:p w14:paraId="616BFCB0" w14:textId="77777777" w:rsidR="008C1FA5" w:rsidRPr="00BC256B" w:rsidRDefault="00BC256B">
      <w:pPr>
        <w:keepNext/>
        <w:spacing w:before="240" w:after="240" w:line="240" w:lineRule="auto"/>
        <w:ind w:left="357" w:hanging="357"/>
        <w:jc w:val="both"/>
        <w:outlineLvl w:val="1"/>
      </w:pPr>
      <w:bookmarkStart w:id="61" w:name="_Toc87024719"/>
      <w:r w:rsidRPr="00BC256B">
        <w:rPr>
          <w:rFonts w:ascii="Times New Roman" w:hAnsi="Times New Roman"/>
          <w:sz w:val="24"/>
          <w:szCs w:val="24"/>
        </w:rPr>
        <w:t>3.4.1.</w:t>
      </w:r>
      <w:r w:rsidRPr="00BC256B">
        <w:tab/>
      </w:r>
      <w:r w:rsidRPr="00BC256B">
        <w:rPr>
          <w:rFonts w:ascii="Times New Roman" w:hAnsi="Times New Roman"/>
          <w:sz w:val="24"/>
          <w:szCs w:val="24"/>
          <w:u w:val="single"/>
        </w:rPr>
        <w:t>Instructions concernant certaines positions</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7B3778DB" w14:textId="77777777">
        <w:tc>
          <w:tcPr>
            <w:tcW w:w="1129" w:type="dxa"/>
            <w:shd w:val="clear" w:color="auto" w:fill="D9D9D9"/>
          </w:tcPr>
          <w:p w14:paraId="06C9E99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0B13372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1CE91133" w14:textId="77777777">
        <w:tc>
          <w:tcPr>
            <w:tcW w:w="1129" w:type="dxa"/>
            <w:tcBorders>
              <w:bottom w:val="single" w:sz="4" w:space="0" w:color="auto"/>
            </w:tcBorders>
          </w:tcPr>
          <w:p w14:paraId="1A24516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E53F9B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CMH – Ségrégués (montants moyens)</w:t>
            </w:r>
          </w:p>
          <w:p w14:paraId="769EDF4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4, paragraphe 1, points 28) et 49), du </w:t>
            </w:r>
            <w:r w:rsidRPr="00BC256B">
              <w:rPr>
                <w:rFonts w:ascii="Times New Roman" w:hAnsi="Times New Roman"/>
                <w:bCs/>
                <w:sz w:val="24"/>
                <w:szCs w:val="24"/>
              </w:rPr>
              <w:t>règlement (UE) 2019/2033 et article 1</w:t>
            </w:r>
            <w:r w:rsidRPr="00BC256B">
              <w:rPr>
                <w:rFonts w:ascii="Times New Roman" w:hAnsi="Times New Roman"/>
                <w:bCs/>
                <w:sz w:val="24"/>
                <w:szCs w:val="24"/>
                <w:vertAlign w:val="superscript"/>
              </w:rPr>
              <w:t>er</w:t>
            </w:r>
            <w:r w:rsidRPr="00BC256B">
              <w:rPr>
                <w:rFonts w:ascii="Times New Roman" w:hAnsi="Times New Roman"/>
                <w:bCs/>
                <w:sz w:val="24"/>
                <w:szCs w:val="24"/>
              </w:rPr>
              <w:t xml:space="preserve"> des normes techniques de réglementation sur la définition des comptes ségrégués [article 15, paragraphe 5, point b), du règlement (UE) 2019/2033].</w:t>
            </w:r>
          </w:p>
          <w:p w14:paraId="47E7A67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La valeur à déclarer est la moyenne arithmétique des montants quotidi</w:t>
            </w:r>
            <w:r w:rsidRPr="00BC256B">
              <w:rPr>
                <w:rFonts w:ascii="Times New Roman" w:hAnsi="Times New Roman"/>
                <w:bCs/>
                <w:sz w:val="24"/>
                <w:szCs w:val="24"/>
              </w:rPr>
              <w:t xml:space="preserve">ens de CMH qui </w:t>
            </w:r>
            <w:r w:rsidRPr="00BC256B">
              <w:rPr>
                <w:rFonts w:ascii="Times New Roman" w:hAnsi="Times New Roman"/>
                <w:bCs/>
                <w:sz w:val="24"/>
                <w:szCs w:val="24"/>
                <w:u w:val="single"/>
              </w:rPr>
              <w:t>sont détenus</w:t>
            </w:r>
            <w:r w:rsidRPr="00BC256B">
              <w:rPr>
                <w:rFonts w:ascii="Times New Roman" w:hAnsi="Times New Roman"/>
                <w:bCs/>
                <w:sz w:val="24"/>
                <w:szCs w:val="24"/>
              </w:rPr>
              <w:t xml:space="preserve"> sur des comptes ségrégués conformément à l’article 18, paragraphe 1, premier alinéa, du règlement (UE) 2019/2033.</w:t>
            </w:r>
          </w:p>
        </w:tc>
      </w:tr>
      <w:tr w:rsidR="008C1FA5" w:rsidRPr="00BC256B" w14:paraId="4291B932" w14:textId="77777777">
        <w:tc>
          <w:tcPr>
            <w:tcW w:w="1129" w:type="dxa"/>
            <w:tcBorders>
              <w:top w:val="single" w:sz="4" w:space="0" w:color="auto"/>
              <w:bottom w:val="single" w:sz="4" w:space="0" w:color="auto"/>
            </w:tcBorders>
          </w:tcPr>
          <w:p w14:paraId="3445845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9F26A3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CMH – Non ségrégués (montants moyens)</w:t>
            </w:r>
          </w:p>
          <w:p w14:paraId="13E0FEA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4, paragraphe 1, points 28) et 49), du règlement (UE) </w:t>
            </w:r>
            <w:r w:rsidRPr="00BC256B">
              <w:rPr>
                <w:rFonts w:ascii="Times New Roman" w:hAnsi="Times New Roman"/>
                <w:bCs/>
                <w:sz w:val="24"/>
                <w:szCs w:val="24"/>
              </w:rPr>
              <w:t>2019/2033.</w:t>
            </w:r>
          </w:p>
          <w:p w14:paraId="3995CAC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lastRenderedPageBreak/>
              <w:t xml:space="preserve">La valeur déclarée est la moyenne arithmétique des montants quotidiens de CMH qui </w:t>
            </w:r>
            <w:r w:rsidRPr="00BC256B">
              <w:rPr>
                <w:rFonts w:ascii="Times New Roman" w:hAnsi="Times New Roman"/>
                <w:bCs/>
                <w:sz w:val="24"/>
                <w:szCs w:val="24"/>
                <w:u w:val="single"/>
              </w:rPr>
              <w:t>ne sont pas détenus</w:t>
            </w:r>
            <w:r w:rsidRPr="00BC256B">
              <w:rPr>
                <w:rFonts w:ascii="Times New Roman" w:hAnsi="Times New Roman"/>
                <w:bCs/>
                <w:sz w:val="24"/>
                <w:szCs w:val="24"/>
              </w:rPr>
              <w:t xml:space="preserve"> sur des comptes ségrégués conformément à l’article 18, paragraphe 1, premier alinéa, du règlement (UE) 2019/2033.</w:t>
            </w:r>
          </w:p>
        </w:tc>
      </w:tr>
    </w:tbl>
    <w:p w14:paraId="6B7A78C5"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77112DDF" w14:textId="77777777">
        <w:tc>
          <w:tcPr>
            <w:tcW w:w="1129" w:type="dxa"/>
            <w:shd w:val="clear" w:color="auto" w:fill="D9D9D9"/>
          </w:tcPr>
          <w:p w14:paraId="547813F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1DA2512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w:t>
            </w:r>
            <w:r w:rsidRPr="00BC256B">
              <w:rPr>
                <w:rFonts w:ascii="Times New Roman" w:hAnsi="Times New Roman"/>
                <w:sz w:val="24"/>
                <w:szCs w:val="24"/>
              </w:rPr>
              <w:t xml:space="preserve"> et instructions</w:t>
            </w:r>
          </w:p>
        </w:tc>
      </w:tr>
      <w:tr w:rsidR="008C1FA5" w:rsidRPr="00BC256B" w14:paraId="62C13CEA" w14:textId="77777777">
        <w:tc>
          <w:tcPr>
            <w:tcW w:w="1129" w:type="dxa"/>
          </w:tcPr>
          <w:p w14:paraId="6919ADE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1930AA4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w:t>
            </w:r>
          </w:p>
          <w:p w14:paraId="7B00D38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CMH pour la fin du troisième mois (c’est-à-dire le plus récent) du trimestre auquel se rapporte la déclaration.</w:t>
            </w:r>
          </w:p>
          <w:p w14:paraId="69BF162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Il s’agit de la moyenne arithmétique des montants quotidiens pour la période indiquée à </w:t>
            </w:r>
            <w:r w:rsidRPr="00BC256B">
              <w:rPr>
                <w:rFonts w:ascii="Times New Roman" w:hAnsi="Times New Roman"/>
                <w:bCs/>
                <w:sz w:val="24"/>
                <w:szCs w:val="24"/>
              </w:rPr>
              <w:t>l’article 18, paragraphe 1, du règlement (UE) 2019/2033.</w:t>
            </w:r>
          </w:p>
        </w:tc>
      </w:tr>
      <w:tr w:rsidR="008C1FA5" w:rsidRPr="00BC256B" w14:paraId="45B7EEA3" w14:textId="77777777">
        <w:tc>
          <w:tcPr>
            <w:tcW w:w="1129" w:type="dxa"/>
          </w:tcPr>
          <w:p w14:paraId="2A4AD50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13DBE06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t-1</w:t>
            </w:r>
          </w:p>
          <w:p w14:paraId="753C043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CMH pour la fin du deuxième mois du trimestre auquel se rapporte la déclaration.</w:t>
            </w:r>
          </w:p>
          <w:p w14:paraId="1A79978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Il s’agit de la moyenne arithmétique des montants quotidiens pour la période indiq</w:t>
            </w:r>
            <w:r w:rsidRPr="00BC256B">
              <w:rPr>
                <w:rFonts w:ascii="Times New Roman" w:hAnsi="Times New Roman"/>
                <w:bCs/>
                <w:sz w:val="24"/>
                <w:szCs w:val="24"/>
              </w:rPr>
              <w:t>uée à l’article 18, paragraphe 1, du règlement (UE) 2019/2033.</w:t>
            </w:r>
          </w:p>
        </w:tc>
      </w:tr>
      <w:tr w:rsidR="008C1FA5" w:rsidRPr="00BC256B" w14:paraId="3BA69B21" w14:textId="77777777">
        <w:tc>
          <w:tcPr>
            <w:tcW w:w="1129" w:type="dxa"/>
          </w:tcPr>
          <w:p w14:paraId="3C4ACB1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1C5D1B9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t-2</w:t>
            </w:r>
          </w:p>
          <w:p w14:paraId="3AF7AC6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CMH pour la fin du premier mois du trimestre auquel se rapporte la déclaration</w:t>
            </w:r>
          </w:p>
          <w:p w14:paraId="4A9E72C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Il s’agit de la moyenne arithmétique des montants quotidiens pour la </w:t>
            </w:r>
            <w:r w:rsidRPr="00BC256B">
              <w:rPr>
                <w:rFonts w:ascii="Times New Roman" w:hAnsi="Times New Roman"/>
                <w:bCs/>
                <w:sz w:val="24"/>
                <w:szCs w:val="24"/>
              </w:rPr>
              <w:t>période indiquée à l’article 18, paragraphe 1, du règlement (UE) 2019/2033.</w:t>
            </w:r>
          </w:p>
        </w:tc>
      </w:tr>
    </w:tbl>
    <w:p w14:paraId="019A2279"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7024720"/>
      <w:r w:rsidRPr="00BC256B">
        <w:rPr>
          <w:rFonts w:ascii="Times New Roman" w:hAnsi="Times New Roman"/>
          <w:sz w:val="24"/>
          <w:szCs w:val="24"/>
          <w:u w:val="single"/>
        </w:rPr>
        <w:t>3.5. I 06.04 – VALEUR MOYENNE DES MONTANTS QUOTIDIENS TOTAUX DE FONDS DE CLIENTS DÉTENUS (I 6.4)</w:t>
      </w:r>
      <w:bookmarkEnd w:id="62"/>
    </w:p>
    <w:p w14:paraId="11293B80"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3" w:name="_Toc87024721"/>
      <w:r w:rsidRPr="00BC256B">
        <w:rPr>
          <w:rFonts w:ascii="Times New Roman" w:hAnsi="Times New Roman"/>
          <w:sz w:val="24"/>
          <w:szCs w:val="24"/>
        </w:rPr>
        <w:t>3.5.1.</w:t>
      </w:r>
      <w:r w:rsidRPr="00BC256B">
        <w:rPr>
          <w:rFonts w:ascii="Times New Roman" w:hAnsi="Times New Roman"/>
          <w:sz w:val="24"/>
          <w:szCs w:val="24"/>
        </w:rPr>
        <w:tab/>
      </w:r>
      <w:r w:rsidRPr="00BC256B">
        <w:rPr>
          <w:rFonts w:ascii="Times New Roman" w:hAnsi="Times New Roman"/>
          <w:sz w:val="24"/>
          <w:szCs w:val="24"/>
          <w:u w:val="single"/>
        </w:rPr>
        <w:t>Instructions concernant certaines positions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3A3E8D9A" w14:textId="77777777">
        <w:tc>
          <w:tcPr>
            <w:tcW w:w="1129" w:type="dxa"/>
            <w:shd w:val="clear" w:color="auto" w:fill="D9D9D9"/>
          </w:tcPr>
          <w:p w14:paraId="75DC522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204961E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 xml:space="preserve">Références légales et </w:t>
            </w:r>
            <w:r w:rsidRPr="00BC256B">
              <w:rPr>
                <w:rFonts w:ascii="Times New Roman" w:hAnsi="Times New Roman"/>
                <w:sz w:val="24"/>
                <w:szCs w:val="24"/>
              </w:rPr>
              <w:t>instructions</w:t>
            </w:r>
          </w:p>
        </w:tc>
      </w:tr>
      <w:tr w:rsidR="008C1FA5" w:rsidRPr="00BC256B" w14:paraId="2B1F1FD9" w14:textId="77777777">
        <w:tc>
          <w:tcPr>
            <w:tcW w:w="1129" w:type="dxa"/>
            <w:tcBorders>
              <w:bottom w:val="single" w:sz="4" w:space="0" w:color="auto"/>
            </w:tcBorders>
          </w:tcPr>
          <w:p w14:paraId="0CCB11E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79C2C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Montants quotidiens totaux des fonds de clients détenus - Ségrégués</w:t>
            </w:r>
          </w:p>
          <w:p w14:paraId="0B31FE3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4, paragraphe 1, points 28) et 49), du règlement (UE) 2019/2033 et normes techniques de réglementation sur la définition des comptes ségrégués </w:t>
            </w:r>
            <w:r w:rsidRPr="00BC256B">
              <w:rPr>
                <w:rFonts w:ascii="Times New Roman" w:hAnsi="Times New Roman"/>
                <w:bCs/>
                <w:sz w:val="24"/>
                <w:szCs w:val="24"/>
              </w:rPr>
              <w:t>[article 15, paragraphe 5, point b), du règlement (UE) 2019/2033].</w:t>
            </w:r>
          </w:p>
          <w:p w14:paraId="17F19CF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La valeur déclarée est la moyenne mensuelle des montants quotidiens de CMH qui </w:t>
            </w:r>
            <w:r w:rsidRPr="00BC256B">
              <w:rPr>
                <w:rFonts w:ascii="Times New Roman" w:hAnsi="Times New Roman"/>
                <w:bCs/>
                <w:sz w:val="24"/>
                <w:szCs w:val="24"/>
                <w:u w:val="single"/>
              </w:rPr>
              <w:t>sont détenus</w:t>
            </w:r>
            <w:r w:rsidRPr="00BC256B">
              <w:rPr>
                <w:rFonts w:ascii="Times New Roman" w:hAnsi="Times New Roman"/>
                <w:bCs/>
                <w:sz w:val="24"/>
                <w:szCs w:val="24"/>
              </w:rPr>
              <w:t xml:space="preserve"> sur des comptes ségrégués conformément à l’article 18, paragraphe 1, premier alinéa, du règlement</w:t>
            </w:r>
            <w:r w:rsidRPr="00BC256B">
              <w:rPr>
                <w:rFonts w:ascii="Times New Roman" w:hAnsi="Times New Roman"/>
                <w:bCs/>
                <w:sz w:val="24"/>
                <w:szCs w:val="24"/>
              </w:rPr>
              <w:t xml:space="preserve"> (UE) 2019/2033.</w:t>
            </w:r>
          </w:p>
        </w:tc>
      </w:tr>
      <w:tr w:rsidR="008C1FA5" w:rsidRPr="00BC256B" w14:paraId="7A2EC42D" w14:textId="77777777">
        <w:tc>
          <w:tcPr>
            <w:tcW w:w="1129" w:type="dxa"/>
            <w:tcBorders>
              <w:top w:val="single" w:sz="4" w:space="0" w:color="auto"/>
              <w:bottom w:val="single" w:sz="4" w:space="0" w:color="auto"/>
            </w:tcBorders>
          </w:tcPr>
          <w:p w14:paraId="64158E3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FCB6C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Montants quotidiens totaux de fonds de clients détenus - Non ségrégués</w:t>
            </w:r>
          </w:p>
          <w:p w14:paraId="5EFCED5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points 28) et 49), du règlement (UE) 2019/2033.</w:t>
            </w:r>
          </w:p>
          <w:p w14:paraId="282A4F3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La valeur déclarée est la moyenne mensuelle des montants quotidiens de CMH qui </w:t>
            </w:r>
            <w:r w:rsidRPr="00BC256B">
              <w:rPr>
                <w:rFonts w:ascii="Times New Roman" w:hAnsi="Times New Roman"/>
                <w:bCs/>
                <w:sz w:val="24"/>
                <w:szCs w:val="24"/>
                <w:u w:val="single"/>
              </w:rPr>
              <w:t>ne sont pas détenus</w:t>
            </w:r>
            <w:r w:rsidRPr="00BC256B">
              <w:rPr>
                <w:rFonts w:ascii="Times New Roman" w:hAnsi="Times New Roman"/>
                <w:bCs/>
                <w:sz w:val="24"/>
                <w:szCs w:val="24"/>
              </w:rPr>
              <w:t xml:space="preserve"> sur des comptes ségrégués conformément à l’article 18, paragraphe 1, premier alinéa, du règlement (UE) 2019/2033.</w:t>
            </w:r>
          </w:p>
        </w:tc>
      </w:tr>
    </w:tbl>
    <w:p w14:paraId="6F28FD90" w14:textId="77777777" w:rsidR="008C1FA5" w:rsidRPr="00BC256B" w:rsidRDefault="008C1FA5">
      <w:pPr>
        <w:keepNext/>
        <w:spacing w:before="240" w:after="240" w:line="240" w:lineRule="auto"/>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4710E1D0" w14:textId="77777777">
        <w:tc>
          <w:tcPr>
            <w:tcW w:w="1129" w:type="dxa"/>
            <w:shd w:val="clear" w:color="auto" w:fill="D9D9D9"/>
          </w:tcPr>
          <w:p w14:paraId="12946A0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62B4A45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w:t>
            </w:r>
            <w:r w:rsidRPr="00BC256B">
              <w:rPr>
                <w:rFonts w:ascii="Times New Roman" w:hAnsi="Times New Roman"/>
                <w:sz w:val="24"/>
                <w:szCs w:val="24"/>
              </w:rPr>
              <w:t>ns</w:t>
            </w:r>
          </w:p>
        </w:tc>
      </w:tr>
      <w:tr w:rsidR="008C1FA5" w:rsidRPr="00BC256B" w14:paraId="4F35A4E2" w14:textId="77777777">
        <w:tc>
          <w:tcPr>
            <w:tcW w:w="1129" w:type="dxa"/>
          </w:tcPr>
          <w:p w14:paraId="6DB3C45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0010-0080</w:t>
            </w:r>
          </w:p>
        </w:tc>
        <w:tc>
          <w:tcPr>
            <w:tcW w:w="7620" w:type="dxa"/>
          </w:tcPr>
          <w:p w14:paraId="248077B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Moyennes mensuelles des montants quotidiens totaux de fonds de clients détenus</w:t>
            </w:r>
          </w:p>
          <w:p w14:paraId="6F7DFBE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Les entreprises d’investissement déclarent chaque mois la valeur mensuelle moyenne des montants quotidiens totaux de fonds de clients détenus, mesurés à la fin </w:t>
            </w:r>
            <w:r w:rsidRPr="00BC256B">
              <w:rPr>
                <w:rFonts w:ascii="Times New Roman" w:hAnsi="Times New Roman"/>
                <w:bCs/>
                <w:sz w:val="24"/>
                <w:szCs w:val="24"/>
              </w:rPr>
              <w:t>de chaque jour ouvrable conformément à l’article 18, paragraphe 1, du règlement (UE) 2019/2033.</w:t>
            </w:r>
          </w:p>
        </w:tc>
      </w:tr>
    </w:tbl>
    <w:p w14:paraId="58035588" w14:textId="77777777" w:rsidR="008C1FA5" w:rsidRPr="00BC256B" w:rsidRDefault="008C1FA5">
      <w:pPr>
        <w:keepNext/>
        <w:spacing w:before="240" w:after="240" w:line="240" w:lineRule="auto"/>
        <w:jc w:val="both"/>
        <w:outlineLvl w:val="1"/>
        <w:rPr>
          <w:rFonts w:ascii="Times New Roman" w:eastAsia="Arial" w:hAnsi="Times New Roman" w:cs="Times New Roman"/>
          <w:sz w:val="24"/>
          <w:szCs w:val="24"/>
          <w:u w:val="single"/>
        </w:rPr>
      </w:pPr>
    </w:p>
    <w:p w14:paraId="12F51DAC"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7024722"/>
      <w:r w:rsidRPr="00BC256B">
        <w:rPr>
          <w:rFonts w:ascii="Times New Roman" w:hAnsi="Times New Roman"/>
          <w:sz w:val="24"/>
          <w:szCs w:val="24"/>
          <w:u w:val="single"/>
        </w:rPr>
        <w:t>3.6. I 06.05 – ACTIFS CONSERVÉS ET ADMINISTRÉS – DÉTAILS SUPPLÉMENTAIRES (I 6.5)</w:t>
      </w:r>
      <w:bookmarkEnd w:id="64"/>
    </w:p>
    <w:p w14:paraId="60800C1A" w14:textId="77777777" w:rsidR="008C1FA5" w:rsidRPr="00BC256B" w:rsidRDefault="00BC256B">
      <w:pPr>
        <w:keepNext/>
        <w:spacing w:before="240" w:after="240" w:line="240" w:lineRule="auto"/>
        <w:ind w:left="357" w:hanging="357"/>
        <w:jc w:val="both"/>
        <w:outlineLvl w:val="1"/>
      </w:pPr>
      <w:bookmarkStart w:id="65" w:name="_Toc87024723"/>
      <w:r w:rsidRPr="00BC256B">
        <w:rPr>
          <w:rFonts w:ascii="Times New Roman" w:hAnsi="Times New Roman"/>
          <w:sz w:val="24"/>
          <w:szCs w:val="24"/>
        </w:rPr>
        <w:t>3.6.1.</w:t>
      </w:r>
      <w:r w:rsidRPr="00BC256B">
        <w:rPr>
          <w:rFonts w:ascii="Times New Roman" w:hAnsi="Times New Roman"/>
          <w:sz w:val="24"/>
          <w:szCs w:val="24"/>
        </w:rPr>
        <w:tab/>
        <w:t>Instructions concernant certaines positions</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461DB324" w14:textId="77777777">
        <w:tc>
          <w:tcPr>
            <w:tcW w:w="1129" w:type="dxa"/>
            <w:shd w:val="clear" w:color="auto" w:fill="D9D9D9"/>
          </w:tcPr>
          <w:p w14:paraId="2B5D19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2D9EF4A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 xml:space="preserve">Références </w:t>
            </w:r>
            <w:r w:rsidRPr="00BC256B">
              <w:rPr>
                <w:rFonts w:ascii="Times New Roman" w:hAnsi="Times New Roman"/>
                <w:sz w:val="24"/>
                <w:szCs w:val="24"/>
              </w:rPr>
              <w:t>légales et instructions</w:t>
            </w:r>
          </w:p>
        </w:tc>
      </w:tr>
      <w:tr w:rsidR="008C1FA5" w:rsidRPr="00BC256B" w14:paraId="043348DF" w14:textId="77777777">
        <w:tc>
          <w:tcPr>
            <w:tcW w:w="1129" w:type="dxa"/>
          </w:tcPr>
          <w:p w14:paraId="7C6E568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FB3D5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ASA (moyennes)</w:t>
            </w:r>
          </w:p>
          <w:p w14:paraId="546CC51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29), du règlement (UE) 2019/2033.</w:t>
            </w:r>
          </w:p>
          <w:p w14:paraId="6BD2BE3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5, paragraphe 1, de la norme technique de réglementation précisant les méthodes de mesure des facteurs K </w:t>
            </w:r>
            <w:r w:rsidRPr="00BC256B">
              <w:rPr>
                <w:rFonts w:ascii="Times New Roman" w:hAnsi="Times New Roman"/>
                <w:bCs/>
                <w:sz w:val="24"/>
                <w:szCs w:val="24"/>
              </w:rPr>
              <w:t>[article 15, paragraphe 5, point a), du règlement (UE) 2019/2033]</w:t>
            </w:r>
          </w:p>
          <w:p w14:paraId="0ED7B47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Valeur totale des ASA, en moyenne mobile de la valeur totale des actifs quotidiens conservés et administrés mesurée à la fin de chaque jour ouvrable des neuf mois précédents, à l’exclusion d</w:t>
            </w:r>
            <w:r w:rsidRPr="00BC256B">
              <w:rPr>
                <w:rFonts w:ascii="Times New Roman" w:hAnsi="Times New Roman"/>
                <w:bCs/>
                <w:sz w:val="24"/>
                <w:szCs w:val="24"/>
              </w:rPr>
              <w:t xml:space="preserve">es trois derniers mois, conformément à l’article 19, paragraphe 1, premier alinéa, du règlement (UE) 2019/2033. </w:t>
            </w:r>
          </w:p>
        </w:tc>
      </w:tr>
      <w:tr w:rsidR="008C1FA5" w:rsidRPr="00BC256B" w14:paraId="59B17B7E" w14:textId="77777777">
        <w:tc>
          <w:tcPr>
            <w:tcW w:w="1129" w:type="dxa"/>
            <w:tcBorders>
              <w:bottom w:val="single" w:sz="4" w:space="0" w:color="auto"/>
            </w:tcBorders>
          </w:tcPr>
          <w:p w14:paraId="3E7F4E5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EDCD8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Dont: Juste valeur des instruments financiers (niveau 2)</w:t>
            </w:r>
          </w:p>
          <w:p w14:paraId="21F19C8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5, paragraphe 1, point a), de la norme technique de </w:t>
            </w:r>
            <w:r w:rsidRPr="00BC256B">
              <w:rPr>
                <w:rFonts w:ascii="Times New Roman" w:hAnsi="Times New Roman"/>
                <w:bCs/>
                <w:sz w:val="24"/>
                <w:szCs w:val="24"/>
              </w:rPr>
              <w:t>réglementation précisant les méthodes de mesure des facteurs K [article 15, paragraphe 5, point a), du règlement (UE) 2019/2033]</w:t>
            </w:r>
          </w:p>
          <w:p w14:paraId="4D0F2955" w14:textId="77777777" w:rsidR="008C1FA5" w:rsidRPr="00BC256B" w:rsidRDefault="00BC256B">
            <w:pPr>
              <w:autoSpaceDE w:val="0"/>
              <w:autoSpaceDN w:val="0"/>
              <w:spacing w:after="0" w:line="240" w:lineRule="auto"/>
              <w:rPr>
                <w:rFonts w:ascii="Times New Roman" w:eastAsia="Times New Roman" w:hAnsi="Times New Roman" w:cs="Times New Roman"/>
                <w:bCs/>
                <w:i/>
                <w:sz w:val="24"/>
                <w:szCs w:val="24"/>
              </w:rPr>
            </w:pPr>
            <w:r w:rsidRPr="00BC256B">
              <w:rPr>
                <w:rFonts w:ascii="Times New Roman" w:hAnsi="Times New Roman"/>
                <w:bCs/>
                <w:sz w:val="24"/>
                <w:szCs w:val="24"/>
              </w:rPr>
              <w:t>Instruments financiers de niveau 2 évalués conformément à IFRS 13.81.</w:t>
            </w:r>
          </w:p>
        </w:tc>
      </w:tr>
      <w:tr w:rsidR="008C1FA5" w:rsidRPr="00BC256B" w14:paraId="3363D5A1" w14:textId="77777777">
        <w:tc>
          <w:tcPr>
            <w:tcW w:w="1129" w:type="dxa"/>
            <w:tcBorders>
              <w:bottom w:val="single" w:sz="4" w:space="0" w:color="auto"/>
            </w:tcBorders>
          </w:tcPr>
          <w:p w14:paraId="08DB73E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FA4AA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Juste valeur des instruments </w:t>
            </w:r>
            <w:r w:rsidRPr="00BC256B">
              <w:rPr>
                <w:rFonts w:ascii="Times New Roman" w:hAnsi="Times New Roman"/>
                <w:b/>
                <w:bCs/>
                <w:sz w:val="24"/>
                <w:szCs w:val="24"/>
                <w:u w:val="single"/>
              </w:rPr>
              <w:t>financiers (niveau 3)</w:t>
            </w:r>
          </w:p>
          <w:p w14:paraId="4E0F759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 paragraphe 1, point a) de la norme technique de réglementation précisant les méthodes de mesure des facteurs K [article 15, paragraphe 5, point a), du règlement (UE) 2019/2033]</w:t>
            </w:r>
          </w:p>
          <w:p w14:paraId="421ED1CF" w14:textId="77777777" w:rsidR="008C1FA5" w:rsidRPr="00BC256B" w:rsidRDefault="00BC256B">
            <w:pPr>
              <w:autoSpaceDE w:val="0"/>
              <w:autoSpaceDN w:val="0"/>
              <w:spacing w:after="0" w:line="240" w:lineRule="auto"/>
            </w:pPr>
            <w:r w:rsidRPr="00BC256B">
              <w:rPr>
                <w:rFonts w:ascii="Times New Roman" w:hAnsi="Times New Roman"/>
                <w:bCs/>
                <w:sz w:val="24"/>
                <w:szCs w:val="24"/>
              </w:rPr>
              <w:t>Valorisation basée sur des données non observa</w:t>
            </w:r>
            <w:r w:rsidRPr="00BC256B">
              <w:rPr>
                <w:rFonts w:ascii="Times New Roman" w:hAnsi="Times New Roman"/>
                <w:bCs/>
                <w:sz w:val="24"/>
                <w:szCs w:val="24"/>
              </w:rPr>
              <w:t xml:space="preserve">bles fondées sur les meilleures informations disponibles </w:t>
            </w:r>
            <w:r w:rsidRPr="00BC256B">
              <w:rPr>
                <w:rFonts w:ascii="Times New Roman" w:hAnsi="Times New Roman"/>
                <w:sz w:val="24"/>
                <w:szCs w:val="24"/>
              </w:rPr>
              <w:t>IFRS 13.86</w:t>
            </w:r>
            <w:r w:rsidRPr="00BC256B">
              <w:t>.</w:t>
            </w:r>
          </w:p>
        </w:tc>
      </w:tr>
      <w:tr w:rsidR="008C1FA5" w:rsidRPr="00BC256B" w14:paraId="2684A64A" w14:textId="77777777">
        <w:tc>
          <w:tcPr>
            <w:tcW w:w="1129" w:type="dxa"/>
            <w:tcBorders>
              <w:top w:val="single" w:sz="4" w:space="0" w:color="auto"/>
              <w:bottom w:val="single" w:sz="4" w:space="0" w:color="auto"/>
            </w:tcBorders>
          </w:tcPr>
          <w:p w14:paraId="18075CC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D7E14B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actifs dont la conservation et l’administration ont été officiellement déléguées à une autre entité financière</w:t>
            </w:r>
          </w:p>
          <w:p w14:paraId="18EE21C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19, paragraphe 2, du règlement (UE) 2019/2033</w:t>
            </w:r>
          </w:p>
          <w:p w14:paraId="0291981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w:t>
            </w:r>
            <w:r w:rsidRPr="00BC256B">
              <w:rPr>
                <w:rFonts w:ascii="Times New Roman" w:hAnsi="Times New Roman"/>
                <w:bCs/>
                <w:sz w:val="24"/>
                <w:szCs w:val="24"/>
              </w:rPr>
              <w:t xml:space="preserve"> actifs dont la conservation et l’administration ont été officiellement déléguées à une autre entité financière, en moyenne </w:t>
            </w:r>
            <w:r w:rsidRPr="00BC256B">
              <w:rPr>
                <w:rFonts w:ascii="Times New Roman" w:hAnsi="Times New Roman"/>
                <w:bCs/>
                <w:sz w:val="24"/>
                <w:szCs w:val="24"/>
              </w:rPr>
              <w:lastRenderedPageBreak/>
              <w:t>arithmétique calculée conformément à l’article 19, paragraphe 1, premier alinéa, du règlement (UE) 2019/2033.</w:t>
            </w:r>
          </w:p>
        </w:tc>
      </w:tr>
      <w:tr w:rsidR="008C1FA5" w:rsidRPr="00BC256B" w14:paraId="056027FA" w14:textId="77777777">
        <w:tc>
          <w:tcPr>
            <w:tcW w:w="1129" w:type="dxa"/>
            <w:tcBorders>
              <w:top w:val="single" w:sz="4" w:space="0" w:color="auto"/>
            </w:tcBorders>
          </w:tcPr>
          <w:p w14:paraId="49EC28F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3ED8D6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w:t>
            </w:r>
            <w:r w:rsidRPr="00BC256B">
              <w:rPr>
                <w:rFonts w:ascii="Times New Roman" w:hAnsi="Times New Roman"/>
                <w:b/>
                <w:bCs/>
                <w:sz w:val="24"/>
                <w:szCs w:val="24"/>
                <w:u w:val="single"/>
              </w:rPr>
              <w:t>actifs d’une autre entité financière qui en a officiellement délégué la conservation et l’administration à l’entreprise d’investissement</w:t>
            </w:r>
          </w:p>
          <w:p w14:paraId="4B55E52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19, paragraphe 2, du règlement (UE) 2019/2033</w:t>
            </w:r>
          </w:p>
          <w:p w14:paraId="39441ED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 actifs d’une autre entité financière qui en a officiel</w:t>
            </w:r>
            <w:r w:rsidRPr="00BC256B">
              <w:rPr>
                <w:rFonts w:ascii="Times New Roman" w:hAnsi="Times New Roman"/>
                <w:bCs/>
                <w:sz w:val="24"/>
                <w:szCs w:val="24"/>
              </w:rPr>
              <w:t>lement délégué la conservation et l’administration à l’entreprise d’investissement, en moyenne arithmétique calculée conformément à l’article 19, paragraphe 1, premier alinéa, du règlement (UE) 2019/2033.</w:t>
            </w:r>
          </w:p>
        </w:tc>
      </w:tr>
    </w:tbl>
    <w:p w14:paraId="54EA5DB0"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606B5CCB" w14:textId="77777777">
        <w:tc>
          <w:tcPr>
            <w:tcW w:w="1129" w:type="dxa"/>
            <w:shd w:val="clear" w:color="auto" w:fill="D9D9D9"/>
          </w:tcPr>
          <w:p w14:paraId="3E1907C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614CF54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 xml:space="preserve">Références légales et </w:t>
            </w:r>
            <w:r w:rsidRPr="00BC256B">
              <w:rPr>
                <w:rFonts w:ascii="Times New Roman" w:hAnsi="Times New Roman"/>
                <w:sz w:val="24"/>
                <w:szCs w:val="24"/>
              </w:rPr>
              <w:t>instructions</w:t>
            </w:r>
          </w:p>
        </w:tc>
      </w:tr>
      <w:tr w:rsidR="008C1FA5" w:rsidRPr="00BC256B" w14:paraId="4A574807" w14:textId="77777777">
        <w:tc>
          <w:tcPr>
            <w:tcW w:w="1129" w:type="dxa"/>
          </w:tcPr>
          <w:p w14:paraId="11D3BF1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035601E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w:t>
            </w:r>
          </w:p>
          <w:p w14:paraId="15932DF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ASA pour la fin du troisième mois (c’est-à-dire le plus récent) du trimestre auquel se rapporte la déclaration.</w:t>
            </w:r>
          </w:p>
        </w:tc>
      </w:tr>
      <w:tr w:rsidR="008C1FA5" w:rsidRPr="00BC256B" w14:paraId="3C209EDF" w14:textId="77777777">
        <w:tc>
          <w:tcPr>
            <w:tcW w:w="1129" w:type="dxa"/>
          </w:tcPr>
          <w:p w14:paraId="1173129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069C900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t-1</w:t>
            </w:r>
          </w:p>
          <w:p w14:paraId="3F4E5BB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ASA pour la fin du deuxième mois du trimestre auquel se </w:t>
            </w:r>
            <w:r w:rsidRPr="00BC256B">
              <w:rPr>
                <w:rFonts w:ascii="Times New Roman" w:hAnsi="Times New Roman"/>
                <w:bCs/>
                <w:sz w:val="24"/>
                <w:szCs w:val="24"/>
              </w:rPr>
              <w:t>rapporte la déclaration.</w:t>
            </w:r>
          </w:p>
        </w:tc>
      </w:tr>
      <w:tr w:rsidR="008C1FA5" w:rsidRPr="00BC256B" w14:paraId="183E6D25" w14:textId="77777777">
        <w:tc>
          <w:tcPr>
            <w:tcW w:w="1129" w:type="dxa"/>
          </w:tcPr>
          <w:p w14:paraId="4A7B975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026AE07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t-2</w:t>
            </w:r>
          </w:p>
          <w:p w14:paraId="5933187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ASA pour la fin du premier mois du trimestre auquel se rapporte la déclaration</w:t>
            </w:r>
          </w:p>
        </w:tc>
      </w:tr>
    </w:tbl>
    <w:p w14:paraId="2DEDDBBD"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7024724"/>
      <w:r w:rsidRPr="00BC256B">
        <w:rPr>
          <w:rFonts w:ascii="Times New Roman" w:hAnsi="Times New Roman"/>
          <w:sz w:val="24"/>
          <w:szCs w:val="24"/>
          <w:u w:val="single"/>
        </w:rPr>
        <w:t>3.7. I 06.06 – VALEUR MOYENNE DES MONTANTS QUOTIDIENS TOTAUX D’ACTIFS CONSERVÉS ET ADMINISTRÉS (I 6.6)</w:t>
      </w:r>
      <w:bookmarkEnd w:id="66"/>
    </w:p>
    <w:p w14:paraId="1913BD73"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7024725"/>
      <w:r w:rsidRPr="00BC256B">
        <w:rPr>
          <w:rFonts w:ascii="Times New Roman" w:hAnsi="Times New Roman"/>
          <w:sz w:val="24"/>
          <w:szCs w:val="24"/>
        </w:rPr>
        <w:t>3.7.1.</w:t>
      </w:r>
      <w:r w:rsidRPr="00BC256B">
        <w:tab/>
      </w:r>
      <w:r w:rsidRPr="00BC256B">
        <w:rPr>
          <w:rFonts w:ascii="Times New Roman" w:hAnsi="Times New Roman"/>
          <w:sz w:val="24"/>
          <w:szCs w:val="24"/>
          <w:u w:val="single"/>
        </w:rPr>
        <w:t>Instructions concernant certaines positions</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1E4C0A60" w14:textId="77777777">
        <w:tc>
          <w:tcPr>
            <w:tcW w:w="1129" w:type="dxa"/>
            <w:shd w:val="clear" w:color="auto" w:fill="D9D9D9"/>
          </w:tcPr>
          <w:p w14:paraId="2557ABD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2F67058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6E7A689" w14:textId="77777777">
        <w:tc>
          <w:tcPr>
            <w:tcW w:w="1129" w:type="dxa"/>
          </w:tcPr>
          <w:p w14:paraId="6636C1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B5561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conservés et administrés</w:t>
            </w:r>
          </w:p>
          <w:p w14:paraId="10B3DBC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29), du règlement (UE) 2019/2033.</w:t>
            </w:r>
          </w:p>
          <w:p w14:paraId="5F029EE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5, paragraphe 1, de la norme technique de </w:t>
            </w:r>
            <w:r w:rsidRPr="00BC256B">
              <w:rPr>
                <w:rFonts w:ascii="Times New Roman" w:hAnsi="Times New Roman"/>
                <w:bCs/>
                <w:sz w:val="24"/>
                <w:szCs w:val="24"/>
              </w:rPr>
              <w:t>réglementation précisant les méthodes de mesure des facteurs K [article 15, paragraphe 5, point a), du règlement (UE) 2019/2033]</w:t>
            </w:r>
          </w:p>
          <w:p w14:paraId="029706A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La valeur à déclarer est la moyenne mensuelle des montants quotidiens totaux d’actifs conservés et administrés, calculée confor</w:t>
            </w:r>
            <w:r w:rsidRPr="00BC256B">
              <w:rPr>
                <w:rFonts w:ascii="Times New Roman" w:hAnsi="Times New Roman"/>
                <w:bCs/>
                <w:sz w:val="24"/>
                <w:szCs w:val="24"/>
              </w:rPr>
              <w:t>mément à l’article 19, paragraphe 1, du règlement (UE) 2019/2033.</w:t>
            </w:r>
          </w:p>
        </w:tc>
      </w:tr>
      <w:tr w:rsidR="008C1FA5" w:rsidRPr="00BC256B" w14:paraId="454C52C6" w14:textId="77777777">
        <w:tc>
          <w:tcPr>
            <w:tcW w:w="1129" w:type="dxa"/>
            <w:tcBorders>
              <w:bottom w:val="single" w:sz="4" w:space="0" w:color="auto"/>
            </w:tcBorders>
          </w:tcPr>
          <w:p w14:paraId="2FECBC8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808461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Juste valeur des instruments financiers (niveau 2)</w:t>
            </w:r>
          </w:p>
          <w:p w14:paraId="607637D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5, paragraphe 2, de la norme technique de réglementation précisant les méthodes de mesure des facteurs K </w:t>
            </w:r>
            <w:r w:rsidRPr="00BC256B">
              <w:rPr>
                <w:rFonts w:ascii="Times New Roman" w:hAnsi="Times New Roman"/>
                <w:bCs/>
                <w:sz w:val="24"/>
                <w:szCs w:val="24"/>
              </w:rPr>
              <w:t>[article 15, paragraphe 5, point a), du règlement (UE) 2019/2033]</w:t>
            </w:r>
          </w:p>
          <w:p w14:paraId="324968F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Instruments financiers de niveau 2 évalués conformément à IFRS 13.81.</w:t>
            </w:r>
          </w:p>
        </w:tc>
      </w:tr>
      <w:tr w:rsidR="008C1FA5" w:rsidRPr="00BC256B" w14:paraId="68BDA98D" w14:textId="77777777">
        <w:tc>
          <w:tcPr>
            <w:tcW w:w="1129" w:type="dxa"/>
            <w:tcBorders>
              <w:bottom w:val="single" w:sz="4" w:space="0" w:color="auto"/>
            </w:tcBorders>
          </w:tcPr>
          <w:p w14:paraId="1C10529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3E455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Juste valeur des instruments financiers (niveau 3)</w:t>
            </w:r>
          </w:p>
          <w:p w14:paraId="24F65766" w14:textId="77777777" w:rsidR="008C1FA5" w:rsidRPr="00BC256B" w:rsidRDefault="00BC256B">
            <w:pPr>
              <w:spacing w:after="120" w:line="240" w:lineRule="auto"/>
              <w:jc w:val="both"/>
              <w:rPr>
                <w:rFonts w:ascii="Times New Roman" w:eastAsia="Times New Roman" w:hAnsi="Times New Roman" w:cs="Times New Roman"/>
                <w:bCs/>
                <w:i/>
                <w:sz w:val="24"/>
                <w:szCs w:val="24"/>
              </w:rPr>
            </w:pPr>
            <w:r w:rsidRPr="00BC256B">
              <w:rPr>
                <w:rFonts w:ascii="Times New Roman" w:hAnsi="Times New Roman"/>
                <w:bCs/>
                <w:sz w:val="24"/>
                <w:szCs w:val="24"/>
              </w:rPr>
              <w:lastRenderedPageBreak/>
              <w:t>Article 5, paragraphe 1, point a) de la norme technique d</w:t>
            </w:r>
            <w:r w:rsidRPr="00BC256B">
              <w:rPr>
                <w:rFonts w:ascii="Times New Roman" w:hAnsi="Times New Roman"/>
                <w:bCs/>
                <w:sz w:val="24"/>
                <w:szCs w:val="24"/>
              </w:rPr>
              <w:t>e réglementation précisant les méthodes de mesure des facteurs K [article 15, paragraphe 5, point a), du règlement (UE) 2019/2033]</w:t>
            </w:r>
          </w:p>
          <w:p w14:paraId="19839A2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Valorisation basée sur des données non observables fondées sur les meilleures informations disponibles </w:t>
            </w:r>
            <w:r w:rsidRPr="00BC256B">
              <w:rPr>
                <w:rFonts w:ascii="Times New Roman" w:hAnsi="Times New Roman"/>
                <w:sz w:val="24"/>
                <w:szCs w:val="24"/>
              </w:rPr>
              <w:t>IFRS 13.86</w:t>
            </w:r>
            <w:r w:rsidRPr="00BC256B">
              <w:t>.</w:t>
            </w:r>
          </w:p>
        </w:tc>
      </w:tr>
      <w:tr w:rsidR="008C1FA5" w:rsidRPr="00BC256B" w14:paraId="024999F0" w14:textId="77777777">
        <w:tc>
          <w:tcPr>
            <w:tcW w:w="1129" w:type="dxa"/>
            <w:tcBorders>
              <w:top w:val="single" w:sz="4" w:space="0" w:color="auto"/>
              <w:bottom w:val="single" w:sz="4" w:space="0" w:color="auto"/>
            </w:tcBorders>
          </w:tcPr>
          <w:p w14:paraId="4F1E68D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CA8685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actifs dont la conservation et l’administration ont été officiellement déléguées à une autre entité financière</w:t>
            </w:r>
          </w:p>
          <w:p w14:paraId="43B82EA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19, paragraphe 2, du règlement (UE) 2019/2033</w:t>
            </w:r>
          </w:p>
          <w:p w14:paraId="0BE243A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La valeur à déclarer est la moyenne mensuelle des montants quotidiens totaux d’actifs</w:t>
            </w:r>
            <w:r w:rsidRPr="00BC256B">
              <w:rPr>
                <w:rFonts w:ascii="Times New Roman" w:hAnsi="Times New Roman"/>
                <w:bCs/>
                <w:sz w:val="24"/>
                <w:szCs w:val="24"/>
              </w:rPr>
              <w:t xml:space="preserve"> dont la conservation et l’administration ont été officiellement déléguées à une autre entité financière, calculée conformément à l’article 19, paragraphe 1, du règlement (UE) 2019/2033.</w:t>
            </w:r>
          </w:p>
        </w:tc>
      </w:tr>
      <w:tr w:rsidR="008C1FA5" w:rsidRPr="00BC256B" w14:paraId="37922C8C" w14:textId="77777777">
        <w:tc>
          <w:tcPr>
            <w:tcW w:w="1129" w:type="dxa"/>
            <w:tcBorders>
              <w:top w:val="single" w:sz="4" w:space="0" w:color="auto"/>
            </w:tcBorders>
          </w:tcPr>
          <w:p w14:paraId="5CA337D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CA33BE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actifs d’une autre entité financière qui en a </w:t>
            </w:r>
            <w:r w:rsidRPr="00BC256B">
              <w:rPr>
                <w:rFonts w:ascii="Times New Roman" w:hAnsi="Times New Roman"/>
                <w:b/>
                <w:bCs/>
                <w:sz w:val="24"/>
                <w:szCs w:val="24"/>
                <w:u w:val="single"/>
              </w:rPr>
              <w:t>officiellement délégué la conservation et l’administration à l’entreprise d’investissement</w:t>
            </w:r>
          </w:p>
          <w:p w14:paraId="1D3D1DB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19, paragraphe 2, du règlement (UE) 2019/2033</w:t>
            </w:r>
          </w:p>
          <w:p w14:paraId="4CAA2D2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La valeur à déclarer est la moyenne mensuelle des montants quotidiens totaux d’actifs d’une autre entité financ</w:t>
            </w:r>
            <w:r w:rsidRPr="00BC256B">
              <w:rPr>
                <w:rFonts w:ascii="Times New Roman" w:hAnsi="Times New Roman"/>
                <w:bCs/>
                <w:sz w:val="24"/>
                <w:szCs w:val="24"/>
              </w:rPr>
              <w:t>ière qui en a officiellement délégué la conservation et l’administration à l’entreprise d’investissement, calculée conformément à l’article 19, paragraphe 1, du règlement (UE) 2019/2033.</w:t>
            </w:r>
          </w:p>
        </w:tc>
      </w:tr>
    </w:tbl>
    <w:p w14:paraId="7DC3BD5D"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5AAC52C8" w14:textId="77777777">
        <w:tc>
          <w:tcPr>
            <w:tcW w:w="1129" w:type="dxa"/>
            <w:shd w:val="clear" w:color="auto" w:fill="D9D9D9"/>
          </w:tcPr>
          <w:p w14:paraId="5944961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373DD8A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71B4300" w14:textId="77777777">
        <w:tc>
          <w:tcPr>
            <w:tcW w:w="1129" w:type="dxa"/>
          </w:tcPr>
          <w:p w14:paraId="1FF0A8A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0010-0080</w:t>
            </w:r>
          </w:p>
        </w:tc>
        <w:tc>
          <w:tcPr>
            <w:tcW w:w="7620" w:type="dxa"/>
          </w:tcPr>
          <w:p w14:paraId="6E8230D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Moyennes mensuelles des montants quotidiens totaux de fonds de clients conservés et administrés</w:t>
            </w:r>
          </w:p>
          <w:p w14:paraId="139931E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Les entreprises d’investissement déclarent chaque mois la moyenne des montants quotidiens totaux de fonds de clients conservés et administrés, mesurés à la </w:t>
            </w:r>
            <w:r w:rsidRPr="00BC256B">
              <w:rPr>
                <w:rFonts w:ascii="Times New Roman" w:hAnsi="Times New Roman"/>
                <w:bCs/>
                <w:sz w:val="24"/>
                <w:szCs w:val="24"/>
              </w:rPr>
              <w:t>fin de chaque jour ouvrable conformément à l’article 19, paragraphe 1, du règlement (UE) 2019/2033.</w:t>
            </w:r>
          </w:p>
        </w:tc>
      </w:tr>
    </w:tbl>
    <w:p w14:paraId="6BE65507"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7024726"/>
      <w:r w:rsidRPr="00BC256B">
        <w:rPr>
          <w:rFonts w:ascii="Times New Roman" w:hAnsi="Times New Roman"/>
          <w:sz w:val="24"/>
          <w:szCs w:val="24"/>
          <w:u w:val="single"/>
        </w:rPr>
        <w:t>3.8. I 06.07 – ORDRES DE CLIENTS TRAITÉS (COH) – DÉTAILS SUPPLÉMENTAIRES (I 6.7)</w:t>
      </w:r>
      <w:bookmarkEnd w:id="68"/>
    </w:p>
    <w:p w14:paraId="7E58DB76" w14:textId="77777777" w:rsidR="008C1FA5" w:rsidRPr="00BC256B" w:rsidRDefault="00BC256B">
      <w:pPr>
        <w:keepNext/>
        <w:spacing w:before="240" w:after="240" w:line="240" w:lineRule="auto"/>
        <w:ind w:left="357" w:hanging="215"/>
        <w:jc w:val="both"/>
        <w:outlineLvl w:val="1"/>
      </w:pPr>
      <w:bookmarkStart w:id="69" w:name="_Toc87024727"/>
      <w:r w:rsidRPr="00BC256B">
        <w:rPr>
          <w:rFonts w:ascii="Times New Roman" w:hAnsi="Times New Roman"/>
          <w:sz w:val="24"/>
          <w:szCs w:val="24"/>
        </w:rPr>
        <w:t>3.8.1.</w:t>
      </w:r>
      <w:r w:rsidRPr="00BC256B">
        <w:tab/>
      </w:r>
      <w:r w:rsidRPr="00BC256B">
        <w:rPr>
          <w:rFonts w:ascii="Times New Roman" w:hAnsi="Times New Roman"/>
          <w:sz w:val="24"/>
          <w:szCs w:val="24"/>
          <w:u w:val="single"/>
        </w:rPr>
        <w:t>Instructions concernant certaines positions</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79A0F09D" w14:textId="77777777">
        <w:tc>
          <w:tcPr>
            <w:tcW w:w="1129" w:type="dxa"/>
            <w:shd w:val="clear" w:color="auto" w:fill="D9D9D9"/>
          </w:tcPr>
          <w:p w14:paraId="31E829B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32942D7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w:t>
            </w:r>
            <w:r w:rsidRPr="00BC256B">
              <w:rPr>
                <w:rFonts w:ascii="Times New Roman" w:hAnsi="Times New Roman"/>
                <w:sz w:val="24"/>
                <w:szCs w:val="24"/>
              </w:rPr>
              <w:t>s et instructions</w:t>
            </w:r>
          </w:p>
        </w:tc>
      </w:tr>
      <w:tr w:rsidR="008C1FA5" w:rsidRPr="00BC256B" w14:paraId="45DE283B" w14:textId="77777777">
        <w:tc>
          <w:tcPr>
            <w:tcW w:w="1129" w:type="dxa"/>
          </w:tcPr>
          <w:p w14:paraId="2E3BB4B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38FB54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COH – Opérations au comptant (montants moyens)</w:t>
            </w:r>
          </w:p>
          <w:p w14:paraId="7B2B445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des COH - opérations au comptant au sens de l’article 4, paragraphe 1, point 30), du règlement (UE) 2019/2033, mesurée conformément à l’article 20, paragraphe 1, du </w:t>
            </w:r>
            <w:r w:rsidRPr="00BC256B">
              <w:rPr>
                <w:rFonts w:ascii="Times New Roman" w:hAnsi="Times New Roman"/>
                <w:bCs/>
                <w:sz w:val="24"/>
                <w:szCs w:val="24"/>
              </w:rPr>
              <w:t>règlement (UE) 2019/2033.</w:t>
            </w:r>
          </w:p>
          <w:p w14:paraId="45EA3A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Conformément à l’article 20, paragraphe 1, premier alinéa, du règlement (UE) 2019/2033, les entreprises d’investissement indiquent la moyenne arithmétique sur les six mois précédents, à l’exclusion des trois derniers mois, des COH</w:t>
            </w:r>
            <w:r w:rsidRPr="00BC256B">
              <w:rPr>
                <w:rFonts w:ascii="Times New Roman" w:hAnsi="Times New Roman"/>
                <w:bCs/>
                <w:sz w:val="24"/>
                <w:szCs w:val="24"/>
              </w:rPr>
              <w:t xml:space="preserve"> - opérations au comptant, mesurés conformément à l’article 20, paragraphe 2, point a), du règlement (UE) 2019/2033.</w:t>
            </w:r>
          </w:p>
        </w:tc>
      </w:tr>
      <w:tr w:rsidR="008C1FA5" w:rsidRPr="00BC256B" w14:paraId="244A6FE5" w14:textId="77777777">
        <w:tc>
          <w:tcPr>
            <w:tcW w:w="1129" w:type="dxa"/>
          </w:tcPr>
          <w:p w14:paraId="76BA38E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25A4B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Exécution d’ordres de clients</w:t>
            </w:r>
          </w:p>
          <w:p w14:paraId="7C2E217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COH pour des opérations au comptant pour lesquelles l’entreprise d’investissement fournit le serv</w:t>
            </w:r>
            <w:r w:rsidRPr="00BC256B">
              <w:rPr>
                <w:rFonts w:ascii="Times New Roman" w:hAnsi="Times New Roman"/>
                <w:bCs/>
                <w:sz w:val="24"/>
                <w:szCs w:val="24"/>
              </w:rPr>
              <w:t>ice d’exécution d’ordres pour le compte de clients défini à l’article 4, paragraphe 1, point 5), de la directive 2014/65/UE.</w:t>
            </w:r>
          </w:p>
          <w:p w14:paraId="10C658D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La valeur à déclarer est la moyenne arithmétique des montants de COH pour les six mois précédents, à l’exclusion des trois derniers</w:t>
            </w:r>
            <w:r w:rsidRPr="00BC256B">
              <w:rPr>
                <w:rFonts w:ascii="Times New Roman" w:hAnsi="Times New Roman"/>
                <w:bCs/>
                <w:sz w:val="24"/>
                <w:szCs w:val="24"/>
              </w:rPr>
              <w:t xml:space="preserve"> mois, conformément à l’article 20, paragraphe 1, premier alinéa, du règlement (UE) 2019/2033.</w:t>
            </w:r>
          </w:p>
        </w:tc>
      </w:tr>
      <w:tr w:rsidR="008C1FA5" w:rsidRPr="00BC256B" w14:paraId="51548A67" w14:textId="77777777">
        <w:tc>
          <w:tcPr>
            <w:tcW w:w="1129" w:type="dxa"/>
          </w:tcPr>
          <w:p w14:paraId="56B3647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2296A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Réception et transmission d’ordres de clients</w:t>
            </w:r>
          </w:p>
          <w:p w14:paraId="38FB5C7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COH pour des opérations au comptant pour lesquelles l’entreprise d’investissement fournit le </w:t>
            </w:r>
            <w:r w:rsidRPr="00BC256B">
              <w:rPr>
                <w:rFonts w:ascii="Times New Roman" w:hAnsi="Times New Roman"/>
                <w:bCs/>
                <w:sz w:val="24"/>
                <w:szCs w:val="24"/>
              </w:rPr>
              <w:t>service de réception et de transmission d’ordres de clients.</w:t>
            </w:r>
          </w:p>
          <w:p w14:paraId="1E161C9E"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La valeur à déclarer est la moyenne arithmétique des montants de COH pour les six mois précédents, à l’exclusion des trois derniers mois, conformément à l’article 20, paragraphe 1, premier alinéa</w:t>
            </w:r>
            <w:r w:rsidRPr="00BC256B">
              <w:rPr>
                <w:rFonts w:ascii="Times New Roman" w:hAnsi="Times New Roman"/>
                <w:bCs/>
                <w:sz w:val="24"/>
                <w:szCs w:val="24"/>
              </w:rPr>
              <w:t>, du règlement (UE) 2019/2033.</w:t>
            </w:r>
          </w:p>
        </w:tc>
      </w:tr>
      <w:tr w:rsidR="008C1FA5" w:rsidRPr="00BC256B" w14:paraId="0B284078" w14:textId="77777777">
        <w:tc>
          <w:tcPr>
            <w:tcW w:w="1129" w:type="dxa"/>
          </w:tcPr>
          <w:p w14:paraId="334E635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44E25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COH – Instruments dérivés (montants moyens)</w:t>
            </w:r>
          </w:p>
          <w:p w14:paraId="2AACA54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30), du règlement (UE) 2019/2033.</w:t>
            </w:r>
          </w:p>
          <w:p w14:paraId="3C4DAE6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Conformément à l’article 20, paragraphe 1, premier alinéa, du règlement (UE) 2019/2033, les entreprises d’inve</w:t>
            </w:r>
            <w:r w:rsidRPr="00BC256B">
              <w:rPr>
                <w:rFonts w:ascii="Times New Roman" w:hAnsi="Times New Roman"/>
                <w:bCs/>
                <w:sz w:val="24"/>
                <w:szCs w:val="24"/>
              </w:rPr>
              <w:t>stissement indiquent la moyenne arithmétique sur les six mois précédents, à l’exclusion des trois derniers mois, des COH - instruments dérivés, mesurés conformément à l’article 20, paragraphe 2, point b), du règlement (UE) 2019/2033.</w:t>
            </w:r>
          </w:p>
        </w:tc>
      </w:tr>
      <w:tr w:rsidR="008C1FA5" w:rsidRPr="00BC256B" w14:paraId="316B3983" w14:textId="77777777">
        <w:tc>
          <w:tcPr>
            <w:tcW w:w="1129" w:type="dxa"/>
          </w:tcPr>
          <w:p w14:paraId="223E050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53915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Exécution </w:t>
            </w:r>
            <w:r w:rsidRPr="00BC256B">
              <w:rPr>
                <w:rFonts w:ascii="Times New Roman" w:hAnsi="Times New Roman"/>
                <w:b/>
                <w:bCs/>
                <w:sz w:val="24"/>
                <w:szCs w:val="24"/>
                <w:u w:val="single"/>
              </w:rPr>
              <w:t>d’ordres de clients</w:t>
            </w:r>
          </w:p>
          <w:p w14:paraId="60FABDF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COH pour des opérations sur instruments dérivés pour lesquelles l’entreprise d’investissement fournit le service d’exécution d’ordres pour le compte de clients défini à l’article 4, paragraphe 1, point 5), de la directive 2014/65/UE.</w:t>
            </w:r>
          </w:p>
          <w:p w14:paraId="0E56C25E"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La</w:t>
            </w:r>
            <w:r w:rsidRPr="00BC256B">
              <w:rPr>
                <w:rFonts w:ascii="Times New Roman" w:hAnsi="Times New Roman"/>
                <w:bCs/>
                <w:sz w:val="24"/>
                <w:szCs w:val="24"/>
              </w:rPr>
              <w:t xml:space="preserve"> valeur à déclarer est la moyenne arithmétique des montants de COH pour les six mois précédents, à l’exclusion des trois derniers mois, conformément à l’article 20, paragraphe 1, premier alinéa, du règlement (UE) 2019/2033.</w:t>
            </w:r>
          </w:p>
        </w:tc>
      </w:tr>
      <w:tr w:rsidR="008C1FA5" w:rsidRPr="00BC256B" w14:paraId="28B29B8B" w14:textId="77777777">
        <w:tc>
          <w:tcPr>
            <w:tcW w:w="1129" w:type="dxa"/>
          </w:tcPr>
          <w:p w14:paraId="798A144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37EE4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Dont: Réception et </w:t>
            </w:r>
            <w:r w:rsidRPr="00BC256B">
              <w:rPr>
                <w:rFonts w:ascii="Times New Roman" w:hAnsi="Times New Roman"/>
                <w:b/>
                <w:bCs/>
                <w:sz w:val="24"/>
                <w:szCs w:val="24"/>
                <w:u w:val="single"/>
              </w:rPr>
              <w:t>transmission d’ordres de clients</w:t>
            </w:r>
          </w:p>
          <w:p w14:paraId="19BC428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COH pour des opérations sur instruments dérivés pour lesquelles l’entreprise d’investissement fournit le service de réception et de transmission d’ordres de clients.</w:t>
            </w:r>
          </w:p>
          <w:p w14:paraId="6650113F"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La valeur à déclarer est la moyenne arithmétique des mont</w:t>
            </w:r>
            <w:r w:rsidRPr="00BC256B">
              <w:rPr>
                <w:rFonts w:ascii="Times New Roman" w:hAnsi="Times New Roman"/>
                <w:bCs/>
                <w:sz w:val="24"/>
                <w:szCs w:val="24"/>
              </w:rPr>
              <w:t>ants de COH pour les six mois précédents, à l’exclusion des trois derniers mois, conformément à l’article 20, paragraphe 1, premier alinéa, du règlement (UE) 2019/2033.</w:t>
            </w:r>
          </w:p>
        </w:tc>
      </w:tr>
    </w:tbl>
    <w:p w14:paraId="6705EE6C" w14:textId="77777777" w:rsidR="008C1FA5" w:rsidRPr="00BC256B" w:rsidRDefault="008C1FA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4CC605EE" w14:textId="77777777">
        <w:tc>
          <w:tcPr>
            <w:tcW w:w="1129" w:type="dxa"/>
            <w:shd w:val="clear" w:color="auto" w:fill="D9D9D9"/>
          </w:tcPr>
          <w:p w14:paraId="699897A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1DFEA32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E6C13C3" w14:textId="77777777">
        <w:tc>
          <w:tcPr>
            <w:tcW w:w="1129" w:type="dxa"/>
          </w:tcPr>
          <w:p w14:paraId="63DE517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62E8A33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w:t>
            </w:r>
          </w:p>
          <w:p w14:paraId="11CB46E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des COH à la fin du troisième mois (c’est-à-dire le plus récent) du trimestre auquel se rapporte la déclaration. </w:t>
            </w:r>
          </w:p>
        </w:tc>
      </w:tr>
      <w:tr w:rsidR="008C1FA5" w:rsidRPr="00BC256B" w14:paraId="2EE07CA5" w14:textId="77777777">
        <w:trPr>
          <w:trHeight w:val="1051"/>
        </w:trPr>
        <w:tc>
          <w:tcPr>
            <w:tcW w:w="1129" w:type="dxa"/>
          </w:tcPr>
          <w:p w14:paraId="533F05B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Pr>
          <w:p w14:paraId="33CC251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t-1</w:t>
            </w:r>
          </w:p>
          <w:p w14:paraId="39B6A4E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 COH à la fin du deuxième mois du trimestre auquel se rapporte la déclaration</w:t>
            </w:r>
          </w:p>
        </w:tc>
      </w:tr>
      <w:tr w:rsidR="008C1FA5" w:rsidRPr="00BC256B" w14:paraId="0705FB2C" w14:textId="77777777">
        <w:tc>
          <w:tcPr>
            <w:tcW w:w="1129" w:type="dxa"/>
          </w:tcPr>
          <w:p w14:paraId="751A9A2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1898F70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du facteur – Mois t-2</w:t>
            </w:r>
          </w:p>
          <w:p w14:paraId="3F49A32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 COH à la fin du premier mois du trimestre auquel se rapporte la déclaration</w:t>
            </w:r>
          </w:p>
        </w:tc>
      </w:tr>
    </w:tbl>
    <w:p w14:paraId="0B818A33"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7024728"/>
      <w:r w:rsidRPr="00BC256B">
        <w:rPr>
          <w:rFonts w:ascii="Times New Roman" w:hAnsi="Times New Roman"/>
          <w:sz w:val="24"/>
          <w:szCs w:val="24"/>
          <w:u w:val="single"/>
        </w:rPr>
        <w:t>3.9. I 06.08 – VALEUR MOYENNE DES MONTANTS QUOTIDIENS TOTAUX D’ORDRES DE CLIENTS TRAITÉS (I 6.8)</w:t>
      </w:r>
      <w:bookmarkEnd w:id="70"/>
    </w:p>
    <w:p w14:paraId="039F7762"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7024729"/>
      <w:r w:rsidRPr="00BC256B">
        <w:rPr>
          <w:rFonts w:ascii="Times New Roman" w:hAnsi="Times New Roman"/>
          <w:sz w:val="24"/>
          <w:szCs w:val="24"/>
        </w:rPr>
        <w:t>3.9.1.</w:t>
      </w:r>
      <w:r w:rsidRPr="00BC256B">
        <w:tab/>
      </w:r>
      <w:r w:rsidRPr="00BC256B">
        <w:rPr>
          <w:rFonts w:ascii="Times New Roman" w:hAnsi="Times New Roman"/>
          <w:sz w:val="24"/>
          <w:szCs w:val="24"/>
          <w:u w:val="single"/>
        </w:rPr>
        <w:t xml:space="preserve">Instructions concernant </w:t>
      </w:r>
      <w:r w:rsidRPr="00BC256B">
        <w:rPr>
          <w:rFonts w:ascii="Times New Roman" w:hAnsi="Times New Roman"/>
          <w:sz w:val="24"/>
          <w:szCs w:val="24"/>
          <w:u w:val="single"/>
        </w:rPr>
        <w:t>certaines positions</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26FF6E86" w14:textId="77777777">
        <w:tc>
          <w:tcPr>
            <w:tcW w:w="1129" w:type="dxa"/>
            <w:shd w:val="clear" w:color="auto" w:fill="D9D9D9"/>
          </w:tcPr>
          <w:p w14:paraId="17B3AE9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633C9A7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8ECEC33" w14:textId="77777777">
        <w:tc>
          <w:tcPr>
            <w:tcW w:w="1129" w:type="dxa"/>
          </w:tcPr>
          <w:p w14:paraId="303FDE9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D4B7E3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Montants quotidiens totaux d’ordres de clients traités – Opérations au comptant</w:t>
            </w:r>
          </w:p>
          <w:p w14:paraId="74357CE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 paragraphe 1, point 30), du règlement (UE) 2019/2033.</w:t>
            </w:r>
          </w:p>
          <w:p w14:paraId="4306DA2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moyenne, au sens de </w:t>
            </w:r>
            <w:r w:rsidRPr="00BC256B">
              <w:rPr>
                <w:rFonts w:ascii="Times New Roman" w:hAnsi="Times New Roman"/>
                <w:bCs/>
                <w:sz w:val="24"/>
                <w:szCs w:val="24"/>
              </w:rPr>
              <w:t>l’article 20, paragraphe 1, du règlement (UE) 2019/2033, des montants quotidiens totaux d’ordres de clients traités (opérations au comptant) du mois concerné, mesurés conformément à l’article 20, paragraphe 2, point a), du règlement (UE) 2019/2033.</w:t>
            </w:r>
          </w:p>
        </w:tc>
      </w:tr>
      <w:tr w:rsidR="008C1FA5" w:rsidRPr="00BC256B" w14:paraId="3E3CA18F" w14:textId="77777777">
        <w:tc>
          <w:tcPr>
            <w:tcW w:w="1129" w:type="dxa"/>
          </w:tcPr>
          <w:p w14:paraId="342E6A6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B486E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w:t>
            </w:r>
            <w:r w:rsidRPr="00BC256B">
              <w:rPr>
                <w:rFonts w:ascii="Times New Roman" w:hAnsi="Times New Roman"/>
                <w:b/>
                <w:bCs/>
                <w:sz w:val="24"/>
                <w:szCs w:val="24"/>
                <w:u w:val="single"/>
              </w:rPr>
              <w:t>ont: Exécution d’ordres de clients</w:t>
            </w:r>
          </w:p>
          <w:p w14:paraId="6FA8EA9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moyenne des montants quotidiens totaux d’ordres de clients traités pour des opérations au comptant pour lesquelles l’entreprise d’investissement fournit le service d’exécution d’ordres pour le compte de </w:t>
            </w:r>
            <w:r w:rsidRPr="00BC256B">
              <w:rPr>
                <w:rFonts w:ascii="Times New Roman" w:hAnsi="Times New Roman"/>
                <w:bCs/>
                <w:sz w:val="24"/>
                <w:szCs w:val="24"/>
              </w:rPr>
              <w:t>clients défini à l’article 4, paragraphe 1, point 5), de la directive 2014/65/UE.</w:t>
            </w:r>
          </w:p>
        </w:tc>
      </w:tr>
      <w:tr w:rsidR="008C1FA5" w:rsidRPr="00BC256B" w14:paraId="258BF3C5" w14:textId="77777777">
        <w:tc>
          <w:tcPr>
            <w:tcW w:w="1129" w:type="dxa"/>
          </w:tcPr>
          <w:p w14:paraId="370ECAC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8640B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Réception et transmission d’ordres de clients</w:t>
            </w:r>
          </w:p>
          <w:p w14:paraId="326D48BB"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Valeur moyenne des montants quotidiens totaux d’ordres de clients traités pour des opérations au comptant pour lesqu</w:t>
            </w:r>
            <w:r w:rsidRPr="00BC256B">
              <w:rPr>
                <w:rFonts w:ascii="Times New Roman" w:hAnsi="Times New Roman"/>
                <w:bCs/>
                <w:sz w:val="24"/>
                <w:szCs w:val="24"/>
              </w:rPr>
              <w:t>elles l’entreprise d’investissement fournit le service de réception et de transmission d’ordres de clients.</w:t>
            </w:r>
          </w:p>
        </w:tc>
      </w:tr>
      <w:tr w:rsidR="008C1FA5" w:rsidRPr="00BC256B" w14:paraId="01A0C74B" w14:textId="77777777">
        <w:tc>
          <w:tcPr>
            <w:tcW w:w="1129" w:type="dxa"/>
          </w:tcPr>
          <w:p w14:paraId="05138B2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CD648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Montants quotidiens totaux d’ordres de clients traités – Instruments dérivés</w:t>
            </w:r>
          </w:p>
          <w:p w14:paraId="37966C5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 paragraphe 1, point 30), du règlement (UE) 2019/2033.</w:t>
            </w:r>
          </w:p>
          <w:p w14:paraId="20C6B1D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moyenne, au sens de l’article 20, paragraphe 1, du règlement (UE) 2019/2033, des montants quotidiens totaux d’ordres de clients traités (opérations sur instruments dérivés) du mois concerné, mesurés conformément à l’article 20, paragraphe 2, point b</w:t>
            </w:r>
            <w:r w:rsidRPr="00BC256B">
              <w:rPr>
                <w:rFonts w:ascii="Times New Roman" w:hAnsi="Times New Roman"/>
                <w:bCs/>
                <w:sz w:val="24"/>
                <w:szCs w:val="24"/>
              </w:rPr>
              <w:t>), du règlement (UE) 2019/2033.</w:t>
            </w:r>
          </w:p>
        </w:tc>
      </w:tr>
      <w:tr w:rsidR="008C1FA5" w:rsidRPr="00BC256B" w14:paraId="0398A99C" w14:textId="77777777">
        <w:tc>
          <w:tcPr>
            <w:tcW w:w="1129" w:type="dxa"/>
          </w:tcPr>
          <w:p w14:paraId="100A415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79902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Exécution d’ordres de clients</w:t>
            </w:r>
          </w:p>
          <w:p w14:paraId="769D176D"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Valeur moyenne des montants quotidiens totaux d’ordres de clients traités pour des opérations sur instruments dérivés pour lesquelles l’entreprise d’investissement fournit le service</w:t>
            </w:r>
            <w:r w:rsidRPr="00BC256B">
              <w:rPr>
                <w:rFonts w:ascii="Times New Roman" w:hAnsi="Times New Roman"/>
                <w:bCs/>
                <w:sz w:val="24"/>
                <w:szCs w:val="24"/>
              </w:rPr>
              <w:t xml:space="preserve"> d’exécution d’ordres pour le compte de clients défini à l’article 4, paragraphe 1, point 5), de la directive 2014/65/UE.</w:t>
            </w:r>
          </w:p>
        </w:tc>
      </w:tr>
      <w:tr w:rsidR="008C1FA5" w:rsidRPr="00BC256B" w14:paraId="3E3AADEA" w14:textId="77777777">
        <w:tc>
          <w:tcPr>
            <w:tcW w:w="1129" w:type="dxa"/>
          </w:tcPr>
          <w:p w14:paraId="12AF86A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CCE13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Réception et transmission d’ordres de clients</w:t>
            </w:r>
          </w:p>
          <w:p w14:paraId="38E82E08"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 xml:space="preserve">Valeur moyenne des montants quotidiens totaux d’ordres de clients </w:t>
            </w:r>
            <w:r w:rsidRPr="00BC256B">
              <w:rPr>
                <w:rFonts w:ascii="Times New Roman" w:hAnsi="Times New Roman"/>
                <w:bCs/>
                <w:sz w:val="24"/>
                <w:szCs w:val="24"/>
              </w:rPr>
              <w:t>traités pour des opérations sur instruments dérivés pour lesquelles l’entreprise d’investissement fournit le service de réception et de transmission d’ordres de clients.</w:t>
            </w:r>
          </w:p>
        </w:tc>
      </w:tr>
    </w:tbl>
    <w:p w14:paraId="6C2ECF02" w14:textId="77777777" w:rsidR="008C1FA5" w:rsidRPr="00BC256B" w:rsidRDefault="008C1FA5">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7F6124EB" w14:textId="77777777">
        <w:tc>
          <w:tcPr>
            <w:tcW w:w="1129" w:type="dxa"/>
            <w:shd w:val="clear" w:color="auto" w:fill="D9D9D9"/>
          </w:tcPr>
          <w:p w14:paraId="5AC87A3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5806290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C82878C" w14:textId="77777777">
        <w:tc>
          <w:tcPr>
            <w:tcW w:w="1129" w:type="dxa"/>
          </w:tcPr>
          <w:p w14:paraId="4CD245B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0010-0050</w:t>
            </w:r>
          </w:p>
        </w:tc>
        <w:tc>
          <w:tcPr>
            <w:tcW w:w="7620" w:type="dxa"/>
          </w:tcPr>
          <w:p w14:paraId="39C9E23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 xml:space="preserve">Moyennes mensuelles des </w:t>
            </w:r>
            <w:r w:rsidRPr="00BC256B">
              <w:rPr>
                <w:rFonts w:ascii="Times New Roman" w:hAnsi="Times New Roman"/>
                <w:b/>
                <w:bCs/>
                <w:sz w:val="24"/>
                <w:szCs w:val="24"/>
                <w:u w:val="single"/>
              </w:rPr>
              <w:t>montants quotidiens totaux d’ordres de clients traités</w:t>
            </w:r>
          </w:p>
          <w:p w14:paraId="10F906B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Les entreprises d’investissement déclarent chaque mois la valeur mensuelle moyenne des montants quotidiens totaux d’ordres de clients traités, conformément à l’article 20, paragraphe 1.</w:t>
            </w:r>
          </w:p>
        </w:tc>
      </w:tr>
    </w:tbl>
    <w:p w14:paraId="7696D821"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7024730"/>
      <w:r w:rsidRPr="00BC256B">
        <w:rPr>
          <w:rFonts w:ascii="Times New Roman" w:hAnsi="Times New Roman"/>
          <w:sz w:val="24"/>
          <w:szCs w:val="24"/>
          <w:u w:val="single"/>
        </w:rPr>
        <w:t xml:space="preserve">3.10. I 06.09 </w:t>
      </w:r>
      <w:r w:rsidRPr="00BC256B">
        <w:rPr>
          <w:rFonts w:ascii="Times New Roman" w:hAnsi="Times New Roman"/>
          <w:sz w:val="24"/>
          <w:szCs w:val="24"/>
          <w:u w:val="single"/>
        </w:rPr>
        <w:t>– K-RISQUE DE POSITION NETTE – DÉTAILS SUPPLÉMENTAIRES (I 6.9)</w:t>
      </w:r>
      <w:bookmarkEnd w:id="72"/>
    </w:p>
    <w:p w14:paraId="13EE54C4" w14:textId="77777777" w:rsidR="008C1FA5" w:rsidRPr="00BC256B" w:rsidRDefault="00BC256B">
      <w:pPr>
        <w:keepNext/>
        <w:spacing w:before="240" w:after="240" w:line="240" w:lineRule="auto"/>
        <w:ind w:left="357" w:hanging="215"/>
        <w:jc w:val="both"/>
        <w:outlineLvl w:val="1"/>
      </w:pPr>
      <w:bookmarkStart w:id="73" w:name="_Toc87024731"/>
      <w:r w:rsidRPr="00BC256B">
        <w:rPr>
          <w:rFonts w:ascii="Times New Roman" w:hAnsi="Times New Roman"/>
          <w:sz w:val="24"/>
          <w:szCs w:val="24"/>
        </w:rPr>
        <w:t>3.10.1.</w:t>
      </w:r>
      <w:r w:rsidRPr="00BC256B">
        <w:tab/>
      </w:r>
      <w:r w:rsidRPr="00BC256B">
        <w:rPr>
          <w:rFonts w:ascii="Times New Roman" w:hAnsi="Times New Roman"/>
          <w:sz w:val="24"/>
          <w:szCs w:val="24"/>
          <w:u w:val="single"/>
        </w:rPr>
        <w:t>Instructions concernant certaines positions</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E336676" w14:textId="77777777">
        <w:tc>
          <w:tcPr>
            <w:tcW w:w="1129" w:type="dxa"/>
            <w:shd w:val="clear" w:color="auto" w:fill="D9D9D9"/>
          </w:tcPr>
          <w:p w14:paraId="3936908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7D53AD7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1485AF5B" w14:textId="77777777">
        <w:tc>
          <w:tcPr>
            <w:tcW w:w="1129" w:type="dxa"/>
          </w:tcPr>
          <w:p w14:paraId="64EE6C7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C3385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Approche standard globale</w:t>
            </w:r>
          </w:p>
          <w:p w14:paraId="415637A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22, point a), du règlement (UE) 2019/2033.</w:t>
            </w:r>
          </w:p>
          <w:p w14:paraId="23A1E2C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Positions pour lesquelles une exigence de fonds propres est déterminée conformément à la troisième partie, titre IV, chapitres 2, 3 ou 4,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6E61E6EC" w14:textId="77777777">
        <w:tc>
          <w:tcPr>
            <w:tcW w:w="1129" w:type="dxa"/>
          </w:tcPr>
          <w:p w14:paraId="67A4FF5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FE478C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risque de position</w:t>
            </w:r>
          </w:p>
          <w:p w14:paraId="3AFB6CA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22, point a), et article 21, paragraphe 3, du </w:t>
            </w:r>
            <w:r w:rsidRPr="00BC256B">
              <w:rPr>
                <w:rFonts w:ascii="Times New Roman" w:hAnsi="Times New Roman"/>
                <w:bCs/>
                <w:sz w:val="24"/>
                <w:szCs w:val="24"/>
              </w:rPr>
              <w:t>règlement (UE) 2019/2033.</w:t>
            </w:r>
          </w:p>
          <w:p w14:paraId="5A82FE4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Positions du portefeuille de négociation pour lesquelles une exigence de fonds propres pour risque de position est déterminée conformément à la troisième partie, titre IV, chapitre 2,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174B2330" w14:textId="77777777">
        <w:tc>
          <w:tcPr>
            <w:tcW w:w="1129" w:type="dxa"/>
          </w:tcPr>
          <w:p w14:paraId="3CE4D29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7093A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Instruments de capitaux propres</w:t>
            </w:r>
          </w:p>
          <w:p w14:paraId="46DD0D23"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Article 22, point a), et article 21, paragraphe 3, du règlement (UE) 2019/2033.</w:t>
            </w:r>
          </w:p>
          <w:p w14:paraId="294DDCA5" w14:textId="77777777" w:rsidR="008C1FA5" w:rsidRPr="00BC256B" w:rsidRDefault="00BC256B">
            <w:pPr>
              <w:pStyle w:val="Default"/>
              <w:jc w:val="both"/>
              <w:rPr>
                <w:szCs w:val="23"/>
              </w:rPr>
            </w:pPr>
            <w:r w:rsidRPr="00BC256B">
              <w:t>Positions sur instruments de fonds propres du portefeuille de négociation pour lesquelles une exigence de fonds propres est déterminée conformém</w:t>
            </w:r>
            <w:r w:rsidRPr="00BC256B">
              <w:t>ent à la troisième partie, titre IV, chapitre 2, section 3, du règlement (UE) n</w:t>
            </w:r>
            <w:r w:rsidRPr="00BC256B">
              <w:rPr>
                <w:vertAlign w:val="superscript"/>
              </w:rPr>
              <w:t>o</w:t>
            </w:r>
            <w:r w:rsidRPr="00BC256B">
              <w:t> 575/2013</w:t>
            </w:r>
          </w:p>
          <w:p w14:paraId="2B16731F" w14:textId="77777777" w:rsidR="008C1FA5" w:rsidRPr="00BC256B" w:rsidRDefault="008C1FA5">
            <w:pPr>
              <w:pStyle w:val="Default"/>
              <w:jc w:val="both"/>
              <w:rPr>
                <w:sz w:val="23"/>
                <w:szCs w:val="23"/>
              </w:rPr>
            </w:pPr>
          </w:p>
        </w:tc>
      </w:tr>
      <w:tr w:rsidR="008C1FA5" w:rsidRPr="00BC256B" w14:paraId="2B0D28AD" w14:textId="77777777">
        <w:tc>
          <w:tcPr>
            <w:tcW w:w="1129" w:type="dxa"/>
          </w:tcPr>
          <w:p w14:paraId="3891A16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E9083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Titres de créance</w:t>
            </w:r>
          </w:p>
          <w:p w14:paraId="17EDEB9F"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Article 22, point a), et article 21, paragraphe 3, du règlement (UE) 2019/2033.</w:t>
            </w:r>
          </w:p>
          <w:p w14:paraId="1D74F5F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3"/>
              </w:rPr>
              <w:t xml:space="preserve">Positions sur titres de créances du portefeuille de </w:t>
            </w:r>
            <w:r w:rsidRPr="00BC256B">
              <w:rPr>
                <w:rFonts w:ascii="Times New Roman" w:hAnsi="Times New Roman"/>
                <w:sz w:val="24"/>
                <w:szCs w:val="23"/>
              </w:rPr>
              <w:t>négociation pour lesquelles une exigence de fonds propres est déterminée conformément à la troisième partie, titre IV, chapitre 2, section 2, du règlement (UE) n</w:t>
            </w:r>
            <w:r w:rsidRPr="00BC256B">
              <w:rPr>
                <w:rFonts w:ascii="Times New Roman" w:hAnsi="Times New Roman"/>
                <w:sz w:val="24"/>
                <w:szCs w:val="23"/>
                <w:vertAlign w:val="superscript"/>
              </w:rPr>
              <w:t>o</w:t>
            </w:r>
            <w:r w:rsidRPr="00BC256B">
              <w:rPr>
                <w:rFonts w:ascii="Times New Roman" w:hAnsi="Times New Roman"/>
                <w:sz w:val="24"/>
                <w:szCs w:val="23"/>
              </w:rPr>
              <w:t> 575/2013</w:t>
            </w:r>
          </w:p>
        </w:tc>
      </w:tr>
      <w:tr w:rsidR="008C1FA5" w:rsidRPr="00BC256B" w14:paraId="3805B4A4" w14:textId="77777777">
        <w:tc>
          <w:tcPr>
            <w:tcW w:w="1129" w:type="dxa"/>
          </w:tcPr>
          <w:p w14:paraId="32DE38C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362D6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titrisations</w:t>
            </w:r>
          </w:p>
          <w:p w14:paraId="43777CFD" w14:textId="77777777" w:rsidR="008C1FA5" w:rsidRPr="00BC256B" w:rsidRDefault="00BC256B">
            <w:pPr>
              <w:spacing w:after="120" w:line="240" w:lineRule="auto"/>
              <w:jc w:val="both"/>
              <w:rPr>
                <w:rFonts w:ascii="Times New Roman" w:hAnsi="Times New Roman" w:cs="Times New Roman"/>
                <w:sz w:val="24"/>
                <w:szCs w:val="24"/>
              </w:rPr>
            </w:pPr>
            <w:r w:rsidRPr="00BC256B">
              <w:rPr>
                <w:rFonts w:ascii="Times New Roman" w:hAnsi="Times New Roman"/>
                <w:bCs/>
                <w:sz w:val="24"/>
                <w:szCs w:val="24"/>
              </w:rPr>
              <w:lastRenderedPageBreak/>
              <w:t>Article 22, point a), et article 21, paragraphe 3, du règle</w:t>
            </w:r>
            <w:r w:rsidRPr="00BC256B">
              <w:rPr>
                <w:rFonts w:ascii="Times New Roman" w:hAnsi="Times New Roman"/>
                <w:bCs/>
                <w:sz w:val="24"/>
                <w:szCs w:val="24"/>
              </w:rPr>
              <w:t>ment (UE) 2019/2033.</w:t>
            </w:r>
          </w:p>
          <w:p w14:paraId="5A02C9D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Positions sur des instruments de titrisation visés par l’article 337 du règlement (UE) n</w:t>
            </w:r>
            <w:r w:rsidRPr="00BC256B">
              <w:rPr>
                <w:rFonts w:ascii="Times New Roman" w:hAnsi="Times New Roman"/>
                <w:sz w:val="24"/>
                <w:szCs w:val="24"/>
                <w:vertAlign w:val="superscript"/>
              </w:rPr>
              <w:t>o</w:t>
            </w:r>
            <w:r w:rsidRPr="00BC256B">
              <w:rPr>
                <w:rFonts w:ascii="Times New Roman" w:hAnsi="Times New Roman"/>
                <w:sz w:val="24"/>
                <w:szCs w:val="24"/>
              </w:rPr>
              <w:t> 575/2013 et positions sur des portefeuilles de négociation en corrélation au sens de l’article 338 du règlement (UE) n</w:t>
            </w:r>
            <w:r w:rsidRPr="00BC256B">
              <w:rPr>
                <w:rFonts w:ascii="Times New Roman" w:hAnsi="Times New Roman"/>
                <w:sz w:val="24"/>
                <w:szCs w:val="24"/>
                <w:vertAlign w:val="superscript"/>
              </w:rPr>
              <w:t>o</w:t>
            </w:r>
            <w:r w:rsidRPr="00BC256B">
              <w:rPr>
                <w:rFonts w:ascii="Times New Roman" w:hAnsi="Times New Roman"/>
                <w:sz w:val="24"/>
                <w:szCs w:val="24"/>
              </w:rPr>
              <w:t> 575/2013.</w:t>
            </w:r>
          </w:p>
        </w:tc>
      </w:tr>
      <w:tr w:rsidR="008C1FA5" w:rsidRPr="00BC256B" w14:paraId="7D65906D" w14:textId="77777777">
        <w:tc>
          <w:tcPr>
            <w:tcW w:w="1129" w:type="dxa"/>
            <w:tcBorders>
              <w:bottom w:val="single" w:sz="4" w:space="0" w:color="auto"/>
            </w:tcBorders>
          </w:tcPr>
          <w:p w14:paraId="4DEFBD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3C8A5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Approche</w:t>
            </w:r>
            <w:r w:rsidRPr="00BC256B">
              <w:rPr>
                <w:rFonts w:ascii="Times New Roman" w:hAnsi="Times New Roman"/>
                <w:b/>
                <w:bCs/>
                <w:sz w:val="24"/>
                <w:szCs w:val="24"/>
                <w:u w:val="single"/>
              </w:rPr>
              <w:t xml:space="preserve"> spécifique du risque de position sur OPC</w:t>
            </w:r>
          </w:p>
          <w:p w14:paraId="0A93B44D" w14:textId="77777777" w:rsidR="008C1FA5" w:rsidRPr="00BC256B" w:rsidRDefault="00BC256B">
            <w:pPr>
              <w:spacing w:after="120" w:line="240" w:lineRule="auto"/>
              <w:jc w:val="both"/>
              <w:rPr>
                <w:rFonts w:ascii="Times New Roman" w:hAnsi="Times New Roman" w:cs="Times New Roman"/>
                <w:sz w:val="24"/>
                <w:szCs w:val="24"/>
              </w:rPr>
            </w:pPr>
            <w:r w:rsidRPr="00BC256B">
              <w:rPr>
                <w:rFonts w:ascii="Times New Roman" w:hAnsi="Times New Roman"/>
                <w:bCs/>
                <w:sz w:val="24"/>
                <w:szCs w:val="24"/>
              </w:rPr>
              <w:t>Article 22, point a), et article 21, paragraphe 3, du règlement (UE) 2019/2033.</w:t>
            </w:r>
          </w:p>
          <w:p w14:paraId="5F78A425" w14:textId="77777777" w:rsidR="008C1FA5" w:rsidRPr="00BC256B" w:rsidRDefault="00BC256B">
            <w:pPr>
              <w:spacing w:after="120" w:line="240" w:lineRule="auto"/>
              <w:jc w:val="both"/>
              <w:rPr>
                <w:rFonts w:ascii="Times New Roman" w:hAnsi="Times New Roman" w:cs="Times New Roman"/>
                <w:sz w:val="24"/>
                <w:szCs w:val="24"/>
              </w:rPr>
            </w:pPr>
            <w:r w:rsidRPr="00BC256B">
              <w:rPr>
                <w:rFonts w:ascii="Times New Roman" w:hAnsi="Times New Roman"/>
                <w:sz w:val="24"/>
                <w:szCs w:val="24"/>
              </w:rPr>
              <w:t xml:space="preserve">Montant total d’exposition au risque pour les positions sur OPC, lorsque les exigences de fonds propres sont calculées conformément à </w:t>
            </w:r>
            <w:r w:rsidRPr="00BC256B">
              <w:rPr>
                <w:rFonts w:ascii="Times New Roman" w:hAnsi="Times New Roman"/>
                <w:sz w:val="24"/>
                <w:szCs w:val="24"/>
              </w:rPr>
              <w:t>l’article 348, paragraphe 1, du CRR soit immédiatement, soit en conséquence du plafond fixé à l’article 350, paragraphe 3, point c), du règlement (UE) n</w:t>
            </w:r>
            <w:r w:rsidRPr="00BC256B">
              <w:rPr>
                <w:rFonts w:ascii="Times New Roman" w:hAnsi="Times New Roman"/>
                <w:sz w:val="24"/>
                <w:szCs w:val="24"/>
                <w:vertAlign w:val="superscript"/>
              </w:rPr>
              <w:t>o</w:t>
            </w:r>
            <w:r w:rsidRPr="00BC256B">
              <w:rPr>
                <w:rFonts w:ascii="Times New Roman" w:hAnsi="Times New Roman"/>
                <w:sz w:val="24"/>
                <w:szCs w:val="24"/>
              </w:rPr>
              <w:t xml:space="preserve"> 575/2013. </w:t>
            </w:r>
            <w:r w:rsidRPr="00BC256B">
              <w:rPr>
                <w:rFonts w:ascii="Times New Roman" w:hAnsi="Times New Roman"/>
                <w:sz w:val="24"/>
              </w:rPr>
              <w:t>Le règlement (UE) n</w:t>
            </w:r>
            <w:r w:rsidRPr="00BC256B">
              <w:rPr>
                <w:rFonts w:ascii="Times New Roman" w:hAnsi="Times New Roman"/>
                <w:sz w:val="24"/>
                <w:vertAlign w:val="superscript"/>
              </w:rPr>
              <w:t>o</w:t>
            </w:r>
            <w:r w:rsidRPr="00BC256B">
              <w:rPr>
                <w:rFonts w:ascii="Times New Roman" w:hAnsi="Times New Roman"/>
                <w:sz w:val="24"/>
              </w:rPr>
              <w:t> 575/2013 n’affecte pas explicitement ces positions au risque de taux d’</w:t>
            </w:r>
            <w:r w:rsidRPr="00BC256B">
              <w:rPr>
                <w:rFonts w:ascii="Times New Roman" w:hAnsi="Times New Roman"/>
                <w:sz w:val="24"/>
              </w:rPr>
              <w:t>intérêt ou au risque lié aux actions.</w:t>
            </w:r>
          </w:p>
          <w:p w14:paraId="323E114C" w14:textId="77777777" w:rsidR="008C1FA5" w:rsidRPr="00BC256B" w:rsidRDefault="00BC256B">
            <w:pPr>
              <w:spacing w:after="120" w:line="240" w:lineRule="auto"/>
              <w:jc w:val="both"/>
              <w:rPr>
                <w:rFonts w:ascii="Times New Roman" w:hAnsi="Times New Roman" w:cs="Times New Roman"/>
                <w:sz w:val="24"/>
                <w:szCs w:val="24"/>
              </w:rPr>
            </w:pPr>
            <w:r w:rsidRPr="00BC256B">
              <w:rPr>
                <w:rFonts w:ascii="Times New Roman" w:hAnsi="Times New Roman"/>
                <w:sz w:val="24"/>
                <w:szCs w:val="24"/>
              </w:rPr>
              <w:t>Si l’on suit l’approche particulière prévue dans la première phrase de l’article 348, paragraphe 1, du règlement (UE) n</w:t>
            </w:r>
            <w:r w:rsidRPr="00BC256B">
              <w:rPr>
                <w:rFonts w:ascii="Times New Roman" w:hAnsi="Times New Roman"/>
                <w:sz w:val="24"/>
                <w:szCs w:val="24"/>
                <w:vertAlign w:val="superscript"/>
              </w:rPr>
              <w:t>o</w:t>
            </w:r>
            <w:r w:rsidRPr="00BC256B">
              <w:rPr>
                <w:rFonts w:ascii="Times New Roman" w:hAnsi="Times New Roman"/>
                <w:sz w:val="24"/>
                <w:szCs w:val="24"/>
              </w:rPr>
              <w:t> 575/2013, le montant à déclarer est égal à 32 % de la position nette de l’exposition sur OPC en q</w:t>
            </w:r>
            <w:r w:rsidRPr="00BC256B">
              <w:rPr>
                <w:rFonts w:ascii="Times New Roman" w:hAnsi="Times New Roman"/>
                <w:sz w:val="24"/>
                <w:szCs w:val="24"/>
              </w:rPr>
              <w:t>uestion.</w:t>
            </w:r>
          </w:p>
          <w:p w14:paraId="122A575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Si l’on suit l’approche particulière prévue dans la deuxième phrase de l’article 348, paragraphe 1, du règlement (UE) n</w:t>
            </w:r>
            <w:r w:rsidRPr="00BC256B">
              <w:rPr>
                <w:rFonts w:ascii="Times New Roman" w:hAnsi="Times New Roman"/>
                <w:sz w:val="24"/>
                <w:szCs w:val="24"/>
                <w:vertAlign w:val="superscript"/>
              </w:rPr>
              <w:t>o</w:t>
            </w:r>
            <w:r w:rsidRPr="00BC256B">
              <w:rPr>
                <w:rFonts w:ascii="Times New Roman" w:hAnsi="Times New Roman"/>
                <w:sz w:val="24"/>
                <w:szCs w:val="24"/>
              </w:rPr>
              <w:t xml:space="preserve"> 575/2013, le montant à déclarer est la plus petite des deux valeurs suivantes: 32 % de la position nette de </w:t>
            </w:r>
            <w:r w:rsidRPr="00BC256B">
              <w:rPr>
                <w:rFonts w:ascii="Times New Roman" w:hAnsi="Times New Roman"/>
                <w:sz w:val="24"/>
                <w:szCs w:val="24"/>
              </w:rPr>
              <w:t>l’exposition sur OPC concernée, et la différence entre 40 % de cette position nette et les exigences de fonds propres découlant du risque de change associé à cette exposition sur OPC.</w:t>
            </w:r>
          </w:p>
        </w:tc>
      </w:tr>
      <w:tr w:rsidR="008C1FA5" w:rsidRPr="00BC256B" w14:paraId="4721167F" w14:textId="77777777">
        <w:tc>
          <w:tcPr>
            <w:tcW w:w="1129" w:type="dxa"/>
            <w:tcBorders>
              <w:bottom w:val="single" w:sz="4" w:space="0" w:color="auto"/>
            </w:tcBorders>
          </w:tcPr>
          <w:p w14:paraId="3C628E0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F0444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Risque de change</w:t>
            </w:r>
          </w:p>
          <w:p w14:paraId="3B78B43C"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Article 22 </w:t>
            </w:r>
            <w:r w:rsidRPr="00BC256B">
              <w:rPr>
                <w:rFonts w:ascii="Times New Roman" w:hAnsi="Times New Roman"/>
                <w:bCs/>
                <w:i/>
                <w:sz w:val="24"/>
                <w:szCs w:val="24"/>
              </w:rPr>
              <w:t>bis</w:t>
            </w:r>
            <w:r w:rsidRPr="00BC256B">
              <w:rPr>
                <w:rFonts w:ascii="Times New Roman" w:hAnsi="Times New Roman"/>
                <w:bCs/>
                <w:sz w:val="24"/>
                <w:szCs w:val="24"/>
              </w:rPr>
              <w:t xml:space="preserve"> et article 21, paragraphes 3 et 4 </w:t>
            </w:r>
            <w:r w:rsidRPr="00BC256B">
              <w:rPr>
                <w:rFonts w:ascii="Times New Roman" w:hAnsi="Times New Roman"/>
                <w:bCs/>
                <w:sz w:val="24"/>
                <w:szCs w:val="24"/>
              </w:rPr>
              <w:t>du règlement (UE) 2019/2033</w:t>
            </w:r>
          </w:p>
          <w:p w14:paraId="20A7241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rPr>
              <w:t>Positions comportant un risque de change et pour lesquelles une exigence de fonds propres est déterminée conformément à la troisième partie, titre IV, chapitre 3, du règlement (UE) n</w:t>
            </w:r>
            <w:r w:rsidRPr="00BC256B">
              <w:rPr>
                <w:rFonts w:ascii="Times New Roman" w:hAnsi="Times New Roman"/>
                <w:vertAlign w:val="superscript"/>
              </w:rPr>
              <w:t>o</w:t>
            </w:r>
            <w:r w:rsidRPr="00BC256B">
              <w:rPr>
                <w:rFonts w:ascii="Times New Roman" w:hAnsi="Times New Roman"/>
              </w:rPr>
              <w:t> 575/2013.</w:t>
            </w:r>
          </w:p>
        </w:tc>
      </w:tr>
      <w:tr w:rsidR="008C1FA5" w:rsidRPr="00BC256B" w14:paraId="24D79AAA" w14:textId="77777777">
        <w:tc>
          <w:tcPr>
            <w:tcW w:w="1129" w:type="dxa"/>
            <w:tcBorders>
              <w:top w:val="single" w:sz="4" w:space="0" w:color="auto"/>
            </w:tcBorders>
          </w:tcPr>
          <w:p w14:paraId="5B68D52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C75E1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Risque sur matières première</w:t>
            </w:r>
            <w:r w:rsidRPr="00BC256B">
              <w:rPr>
                <w:rFonts w:ascii="Times New Roman" w:hAnsi="Times New Roman"/>
                <w:b/>
                <w:bCs/>
                <w:sz w:val="24"/>
                <w:szCs w:val="24"/>
                <w:u w:val="single"/>
              </w:rPr>
              <w:t>s</w:t>
            </w:r>
          </w:p>
          <w:p w14:paraId="7E7269E7"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bCs/>
                <w:sz w:val="24"/>
                <w:szCs w:val="24"/>
              </w:rPr>
              <w:t>Article 22 </w:t>
            </w:r>
            <w:r w:rsidRPr="00BC256B">
              <w:rPr>
                <w:rFonts w:ascii="Times New Roman" w:hAnsi="Times New Roman"/>
                <w:bCs/>
                <w:i/>
                <w:sz w:val="24"/>
                <w:szCs w:val="24"/>
              </w:rPr>
              <w:t>bis</w:t>
            </w:r>
            <w:r w:rsidRPr="00BC256B">
              <w:rPr>
                <w:rFonts w:ascii="Times New Roman" w:hAnsi="Times New Roman"/>
                <w:bCs/>
                <w:sz w:val="24"/>
                <w:szCs w:val="24"/>
              </w:rPr>
              <w:t xml:space="preserve"> et article 21, paragraphes 3 et 4 du règlement (UE) 2019/2033</w:t>
            </w:r>
          </w:p>
          <w:p w14:paraId="0655CE4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rPr>
              <w:t xml:space="preserve">Positions comportant un risque sur matières premières et pour lesquelles une exigence de fonds propres est déterminée conformément à la troisième partie, titre IV, </w:t>
            </w:r>
            <w:r w:rsidRPr="00BC256B">
              <w:rPr>
                <w:rFonts w:ascii="Times New Roman" w:hAnsi="Times New Roman"/>
              </w:rPr>
              <w:t>chapitre 4, du règlement (UE) n</w:t>
            </w:r>
            <w:r w:rsidRPr="00BC256B">
              <w:rPr>
                <w:rFonts w:ascii="Times New Roman" w:hAnsi="Times New Roman"/>
                <w:vertAlign w:val="superscript"/>
              </w:rPr>
              <w:t>o</w:t>
            </w:r>
            <w:r w:rsidRPr="00BC256B">
              <w:rPr>
                <w:rFonts w:ascii="Times New Roman" w:hAnsi="Times New Roman"/>
              </w:rPr>
              <w:t> 575/2013.</w:t>
            </w:r>
          </w:p>
        </w:tc>
      </w:tr>
      <w:tr w:rsidR="008C1FA5" w:rsidRPr="00BC256B" w14:paraId="1D31872E" w14:textId="77777777">
        <w:tc>
          <w:tcPr>
            <w:tcW w:w="1129" w:type="dxa"/>
            <w:tcBorders>
              <w:top w:val="single" w:sz="4" w:space="0" w:color="auto"/>
              <w:left w:val="single" w:sz="4" w:space="0" w:color="auto"/>
              <w:bottom w:val="single" w:sz="4" w:space="0" w:color="auto"/>
              <w:right w:val="single" w:sz="4" w:space="0" w:color="auto"/>
            </w:tcBorders>
          </w:tcPr>
          <w:p w14:paraId="7E5544E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841F16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Méthode fondée sur les modèles internes</w:t>
            </w:r>
          </w:p>
          <w:p w14:paraId="04D76E11" w14:textId="77777777" w:rsidR="008C1FA5" w:rsidRPr="00BC256B" w:rsidRDefault="00BC256B">
            <w:pPr>
              <w:spacing w:after="120" w:line="240" w:lineRule="auto"/>
              <w:jc w:val="both"/>
              <w:rPr>
                <w:rFonts w:ascii="Times New Roman" w:hAnsi="Times New Roman" w:cs="Times New Roman"/>
                <w:sz w:val="24"/>
                <w:szCs w:val="24"/>
              </w:rPr>
            </w:pPr>
            <w:r w:rsidRPr="00BC256B">
              <w:rPr>
                <w:rFonts w:ascii="Times New Roman" w:hAnsi="Times New Roman"/>
                <w:sz w:val="24"/>
                <w:szCs w:val="24"/>
              </w:rPr>
              <w:t xml:space="preserve">Article 57, paragraphe 2, </w:t>
            </w:r>
            <w:r w:rsidRPr="00BC256B">
              <w:rPr>
                <w:rFonts w:ascii="Times New Roman" w:hAnsi="Times New Roman"/>
                <w:bCs/>
                <w:sz w:val="24"/>
                <w:szCs w:val="24"/>
              </w:rPr>
              <w:t>article 21, paragraphes 3 et 4 du règlement (UE) 2019/2033</w:t>
            </w:r>
          </w:p>
          <w:p w14:paraId="57A62DA2" w14:textId="77777777" w:rsidR="008C1FA5" w:rsidRPr="00BC256B" w:rsidRDefault="00BC256B">
            <w:pPr>
              <w:spacing w:after="120" w:line="240" w:lineRule="auto"/>
              <w:jc w:val="both"/>
              <w:rPr>
                <w:rFonts w:ascii="Times New Roman" w:eastAsia="Times New Roman" w:hAnsi="Times New Roman" w:cs="Times New Roman"/>
                <w:b/>
                <w:bCs/>
                <w:sz w:val="24"/>
                <w:szCs w:val="24"/>
              </w:rPr>
            </w:pPr>
            <w:r w:rsidRPr="00BC256B">
              <w:rPr>
                <w:rFonts w:ascii="Times New Roman" w:hAnsi="Times New Roman"/>
                <w:sz w:val="24"/>
                <w:szCs w:val="24"/>
              </w:rPr>
              <w:t xml:space="preserve">Positions du portefeuille de négociation et positions du portefeuille hors </w:t>
            </w:r>
            <w:r w:rsidRPr="00BC256B">
              <w:rPr>
                <w:rFonts w:ascii="Times New Roman" w:hAnsi="Times New Roman"/>
                <w:sz w:val="24"/>
                <w:szCs w:val="24"/>
              </w:rPr>
              <w:t>négociation comportant un risque de change ou un risque sur matières premières pour lesquelles une exigence de fonds propres est déterminée conformément à la troisième partie, titre IV, chapitre 5, du règlement (UE) n</w:t>
            </w:r>
            <w:r w:rsidRPr="00BC256B">
              <w:rPr>
                <w:rFonts w:ascii="Times New Roman" w:hAnsi="Times New Roman"/>
                <w:sz w:val="24"/>
                <w:szCs w:val="24"/>
                <w:vertAlign w:val="superscript"/>
              </w:rPr>
              <w:t>o</w:t>
            </w:r>
            <w:r w:rsidRPr="00BC256B">
              <w:rPr>
                <w:rFonts w:ascii="Times New Roman" w:hAnsi="Times New Roman"/>
                <w:sz w:val="24"/>
                <w:szCs w:val="24"/>
              </w:rPr>
              <w:t> 575/2013</w:t>
            </w:r>
          </w:p>
        </w:tc>
      </w:tr>
    </w:tbl>
    <w:p w14:paraId="101BB5B2"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7024732"/>
      <w:r w:rsidRPr="00BC256B">
        <w:rPr>
          <w:rFonts w:ascii="Times New Roman" w:hAnsi="Times New Roman"/>
          <w:sz w:val="24"/>
          <w:szCs w:val="24"/>
          <w:u w:val="single"/>
        </w:rPr>
        <w:lastRenderedPageBreak/>
        <w:t xml:space="preserve">3.11. I 06.10 – MARGE DE </w:t>
      </w:r>
      <w:r w:rsidRPr="00BC256B">
        <w:rPr>
          <w:rFonts w:ascii="Times New Roman" w:hAnsi="Times New Roman"/>
          <w:sz w:val="24"/>
          <w:szCs w:val="24"/>
          <w:u w:val="single"/>
        </w:rPr>
        <w:t>COMPENSATION FOURNIE (CMG) – DÉTAILS SUPPLÉMENTAIRES (I 6.10)</w:t>
      </w:r>
      <w:bookmarkEnd w:id="74"/>
    </w:p>
    <w:p w14:paraId="12163A2B"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15.</w:t>
      </w:r>
      <w:r w:rsidRPr="00BC256B">
        <w:rPr>
          <w:rFonts w:ascii="Times New Roman" w:hAnsi="Times New Roman" w:cs="Times New Roman"/>
          <w:sz w:val="24"/>
        </w:rPr>
        <w:tab/>
      </w:r>
      <w:r w:rsidRPr="00BC256B">
        <w:rPr>
          <w:rFonts w:ascii="Times New Roman" w:hAnsi="Times New Roman"/>
          <w:sz w:val="24"/>
        </w:rPr>
        <w:t>Dans ce modèle, une entreprise négociant pour compte propre déclare tous les membres compensateurs des contreparties centrales éligibles sous la responsabilité desquelles ont lieu l’exécutio</w:t>
      </w:r>
      <w:r w:rsidRPr="00BC256B">
        <w:rPr>
          <w:rFonts w:ascii="Times New Roman" w:hAnsi="Times New Roman"/>
          <w:sz w:val="24"/>
        </w:rPr>
        <w:t>n et le règlement de ses transactions.</w:t>
      </w:r>
    </w:p>
    <w:p w14:paraId="79C2488D"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7024733"/>
      <w:r w:rsidRPr="00BC256B">
        <w:rPr>
          <w:rFonts w:ascii="Times New Roman" w:hAnsi="Times New Roman"/>
          <w:sz w:val="24"/>
          <w:szCs w:val="24"/>
        </w:rPr>
        <w:t xml:space="preserve">3.11.1. </w:t>
      </w:r>
      <w:r w:rsidRPr="00BC256B">
        <w:rPr>
          <w:rFonts w:ascii="Times New Roman" w:hAnsi="Times New Roman"/>
          <w:sz w:val="24"/>
          <w:szCs w:val="24"/>
          <w:u w:val="single"/>
        </w:rPr>
        <w:t>Instructions concernant certaines positions</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0816B635" w14:textId="77777777">
        <w:tc>
          <w:tcPr>
            <w:tcW w:w="1129" w:type="dxa"/>
            <w:shd w:val="clear" w:color="auto" w:fill="D9D9D9"/>
          </w:tcPr>
          <w:p w14:paraId="2D664D9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w:t>
            </w:r>
          </w:p>
        </w:tc>
        <w:tc>
          <w:tcPr>
            <w:tcW w:w="7620" w:type="dxa"/>
            <w:shd w:val="clear" w:color="auto" w:fill="D9D9D9"/>
          </w:tcPr>
          <w:p w14:paraId="48BCA51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50F750B" w14:textId="77777777">
        <w:tc>
          <w:tcPr>
            <w:tcW w:w="1129" w:type="dxa"/>
          </w:tcPr>
          <w:p w14:paraId="6A58C7F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AFC888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Membre compensateur</w:t>
            </w:r>
          </w:p>
        </w:tc>
      </w:tr>
      <w:tr w:rsidR="008C1FA5" w:rsidRPr="00BC256B" w14:paraId="751F2148" w14:textId="77777777">
        <w:tc>
          <w:tcPr>
            <w:tcW w:w="1129" w:type="dxa"/>
          </w:tcPr>
          <w:p w14:paraId="6D0A0F8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024A2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10E3256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L’entreprise d’investissement négociant pour compte propre indique le nom de </w:t>
            </w:r>
            <w:r w:rsidRPr="00BC256B">
              <w:rPr>
                <w:rFonts w:ascii="Times New Roman" w:hAnsi="Times New Roman"/>
                <w:bCs/>
                <w:sz w:val="24"/>
                <w:szCs w:val="24"/>
              </w:rPr>
              <w:t>tous les membres compensateurs des contreparties centrales éligibles sous la responsabilité desquelles ont lieu l’exécution et le règlement de ses transactions.</w:t>
            </w:r>
          </w:p>
        </w:tc>
      </w:tr>
      <w:tr w:rsidR="008C1FA5" w:rsidRPr="00BC256B" w14:paraId="3CC61AD7" w14:textId="77777777">
        <w:tc>
          <w:tcPr>
            <w:tcW w:w="1129" w:type="dxa"/>
          </w:tcPr>
          <w:p w14:paraId="464CB5D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E8446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Code</w:t>
            </w:r>
          </w:p>
          <w:p w14:paraId="74961590" w14:textId="77777777" w:rsidR="008C1FA5" w:rsidRPr="00BC256B" w:rsidRDefault="00BC256B">
            <w:pPr>
              <w:spacing w:after="120" w:line="240" w:lineRule="auto"/>
              <w:jc w:val="both"/>
              <w:rPr>
                <w:rFonts w:eastAsia="Times New Roman"/>
                <w:sz w:val="24"/>
                <w:szCs w:val="24"/>
              </w:rPr>
            </w:pPr>
            <w:r w:rsidRPr="00BC256B">
              <w:rPr>
                <w:rFonts w:ascii="Times New Roman" w:hAnsi="Times New Roman"/>
                <w:sz w:val="24"/>
                <w:szCs w:val="24"/>
              </w:rPr>
              <w:t>Ce code, en tant que partie d’un identifiant de ligne, doit être propre à chaque ent</w:t>
            </w:r>
            <w:r w:rsidRPr="00BC256B">
              <w:rPr>
                <w:rFonts w:ascii="Times New Roman" w:hAnsi="Times New Roman"/>
                <w:sz w:val="24"/>
                <w:szCs w:val="24"/>
              </w:rPr>
              <w:t>ité déclarée. Pour les entreprises d’investissement, il s’agit du code LEI. Pour les autres entités, il s’agit du code LEI ou, à défaut, d’un code national. Ce code est unique et il est utilisé de manière constante dans tous les modèles et au fil du temps.</w:t>
            </w:r>
            <w:r w:rsidRPr="00BC256B">
              <w:rPr>
                <w:rFonts w:ascii="Times New Roman" w:hAnsi="Times New Roman"/>
                <w:sz w:val="24"/>
                <w:szCs w:val="24"/>
              </w:rPr>
              <w:t xml:space="preserve"> Sa valeur ne peut pas être nulle.</w:t>
            </w:r>
          </w:p>
        </w:tc>
      </w:tr>
      <w:tr w:rsidR="008C1FA5" w:rsidRPr="00BC256B" w14:paraId="1BCEEC4E" w14:textId="77777777">
        <w:tc>
          <w:tcPr>
            <w:tcW w:w="1129" w:type="dxa"/>
          </w:tcPr>
          <w:p w14:paraId="170088B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8AA45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Type de code</w:t>
            </w:r>
          </w:p>
          <w:p w14:paraId="03CE48E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 xml:space="preserve">Le type de code déclaré dans la colonne 0020 doit être signalé comme étant un </w:t>
            </w:r>
            <w:r w:rsidRPr="00BC256B">
              <w:rPr>
                <w:rStyle w:val="FormatvorlageInstructionsTabelleText"/>
                <w:rFonts w:ascii="Times New Roman" w:hAnsi="Times New Roman"/>
                <w:sz w:val="24"/>
                <w:szCs w:val="24"/>
              </w:rPr>
              <w:t>«Code LEI» ou un «Code national».</w:t>
            </w:r>
          </w:p>
        </w:tc>
      </w:tr>
      <w:tr w:rsidR="008C1FA5" w:rsidRPr="00BC256B" w14:paraId="382DF06A" w14:textId="77777777">
        <w:tc>
          <w:tcPr>
            <w:tcW w:w="1129" w:type="dxa"/>
          </w:tcPr>
          <w:p w14:paraId="6C4C3CE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3C88E0E" w14:textId="77777777" w:rsidR="008C1FA5" w:rsidRPr="00BC256B" w:rsidRDefault="00BC256B">
            <w:pPr>
              <w:spacing w:after="120" w:line="240" w:lineRule="auto"/>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Contribution à la marge totale requise quotidiennement</w:t>
            </w:r>
          </w:p>
          <w:p w14:paraId="7FFE94E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L’entreprise d’investissement fournit les informations relatives aux trois jours, sur les trois mois précédents, pour lesquels ont été calculés le montant de marge totale requise quotidiennement le plus élevé et les deuxièmes et troisième plus élevés, comm</w:t>
            </w:r>
            <w:r w:rsidRPr="00BC256B">
              <w:rPr>
                <w:rFonts w:ascii="Times New Roman" w:hAnsi="Times New Roman"/>
                <w:bCs/>
                <w:sz w:val="24"/>
                <w:szCs w:val="24"/>
              </w:rPr>
              <w:t>e indiqué à l’article 23, paragraphe 2, du règlement (UE) 2019/2033.</w:t>
            </w:r>
          </w:p>
          <w:p w14:paraId="64A3A91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Elle inclut tous les membres compensateurs auxquels il a été fait appel au moins l’un de ces trois jours.</w:t>
            </w:r>
          </w:p>
          <w:p w14:paraId="759A369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La contribution à la marge totale requise quotidiennement est le montant obtenu a</w:t>
            </w:r>
            <w:r w:rsidRPr="00BC256B">
              <w:rPr>
                <w:rFonts w:ascii="Times New Roman" w:hAnsi="Times New Roman"/>
                <w:bCs/>
                <w:sz w:val="24"/>
                <w:szCs w:val="24"/>
              </w:rPr>
              <w:t xml:space="preserve">vant multiplication par le facteur de 1,3 prévu par l’article 23, paragraphe 2, du règlement (UE) 2019/2033. </w:t>
            </w:r>
          </w:p>
        </w:tc>
      </w:tr>
      <w:tr w:rsidR="008C1FA5" w:rsidRPr="00BC256B" w14:paraId="50D6929F" w14:textId="77777777">
        <w:tc>
          <w:tcPr>
            <w:tcW w:w="1129" w:type="dxa"/>
          </w:tcPr>
          <w:p w14:paraId="556CE22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2CF59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Contribution à la marge totale requise quotidiennement – le jour du montant le plus élevé de marge totale requise</w:t>
            </w:r>
          </w:p>
        </w:tc>
      </w:tr>
      <w:tr w:rsidR="008C1FA5" w:rsidRPr="00BC256B" w14:paraId="37EE9420" w14:textId="77777777">
        <w:tc>
          <w:tcPr>
            <w:tcW w:w="1129" w:type="dxa"/>
          </w:tcPr>
          <w:p w14:paraId="52C3C5C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B86A82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Contribution à la marge totale requise quotidiennement — le jour du deuxième montant le plus élevé de marge totale requise</w:t>
            </w:r>
          </w:p>
        </w:tc>
      </w:tr>
      <w:tr w:rsidR="008C1FA5" w:rsidRPr="00BC256B" w14:paraId="0F8D6BE5" w14:textId="77777777">
        <w:tc>
          <w:tcPr>
            <w:tcW w:w="1129" w:type="dxa"/>
          </w:tcPr>
          <w:p w14:paraId="56B557E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5FB2A2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Contribution à la marge totale requise quotidiennement — le jour du troisième montant le plus élevé de marge totale requise</w:t>
            </w:r>
          </w:p>
        </w:tc>
      </w:tr>
    </w:tbl>
    <w:p w14:paraId="3F70F37A"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7024734"/>
      <w:r w:rsidRPr="00BC256B">
        <w:rPr>
          <w:rFonts w:ascii="Times New Roman" w:hAnsi="Times New Roman"/>
          <w:sz w:val="24"/>
          <w:szCs w:val="24"/>
          <w:u w:val="single"/>
        </w:rPr>
        <w:lastRenderedPageBreak/>
        <w:t>3.</w:t>
      </w:r>
      <w:r w:rsidRPr="00BC256B">
        <w:rPr>
          <w:rFonts w:ascii="Times New Roman" w:hAnsi="Times New Roman"/>
          <w:sz w:val="24"/>
          <w:szCs w:val="24"/>
          <w:u w:val="single"/>
        </w:rPr>
        <w:t>12. I 06.11 – DÉFAUT DE CONTREPARTIE (TCD) – DÉTAILS SUPPLÉMENTAIRES (I 6.11)</w:t>
      </w:r>
      <w:bookmarkEnd w:id="76"/>
    </w:p>
    <w:p w14:paraId="6B396D81"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7024735"/>
      <w:r w:rsidRPr="00BC256B">
        <w:rPr>
          <w:rFonts w:ascii="Times New Roman" w:hAnsi="Times New Roman"/>
          <w:sz w:val="24"/>
          <w:szCs w:val="24"/>
        </w:rPr>
        <w:t>3.12.1.</w:t>
      </w:r>
      <w:r w:rsidRPr="00BC256B">
        <w:tab/>
      </w:r>
      <w:r w:rsidRPr="00BC256B">
        <w:rPr>
          <w:rFonts w:ascii="Times New Roman" w:hAnsi="Times New Roman"/>
          <w:sz w:val="24"/>
          <w:szCs w:val="24"/>
          <w:u w:val="single"/>
        </w:rPr>
        <w:t>Instructions concernant certaines positions</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20897D2A" w14:textId="77777777">
        <w:tc>
          <w:tcPr>
            <w:tcW w:w="1129" w:type="dxa"/>
            <w:shd w:val="clear" w:color="auto" w:fill="D9D9D9"/>
          </w:tcPr>
          <w:p w14:paraId="152AD41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271660B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AE02634" w14:textId="77777777">
        <w:tc>
          <w:tcPr>
            <w:tcW w:w="1129" w:type="dxa"/>
          </w:tcPr>
          <w:p w14:paraId="5593739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4C5948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Ventilation par méthode de détermination de la valeur exposée au </w:t>
            </w:r>
            <w:r w:rsidRPr="00BC256B">
              <w:rPr>
                <w:rFonts w:ascii="Times New Roman" w:hAnsi="Times New Roman"/>
                <w:b/>
                <w:bCs/>
                <w:sz w:val="24"/>
                <w:szCs w:val="24"/>
                <w:u w:val="single"/>
              </w:rPr>
              <w:t>risque</w:t>
            </w:r>
          </w:p>
        </w:tc>
      </w:tr>
      <w:tr w:rsidR="008C1FA5" w:rsidRPr="00BC256B" w14:paraId="30500E16" w14:textId="77777777">
        <w:tc>
          <w:tcPr>
            <w:tcW w:w="1129" w:type="dxa"/>
          </w:tcPr>
          <w:p w14:paraId="0426A25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92D8FA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Application du règlement (UE) 2019/2033: K-TCD</w:t>
            </w:r>
          </w:p>
          <w:p w14:paraId="43EC190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26 du règlement (UE) 2019/2033.</w:t>
            </w:r>
          </w:p>
          <w:p w14:paraId="538855C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Expositions pour lesquelles l’exigence de fonds propres est le résultat du calcul de K-TCD conformément à l’article 26 du règlement (UE) 2019/2033.</w:t>
            </w:r>
          </w:p>
        </w:tc>
      </w:tr>
      <w:tr w:rsidR="008C1FA5" w:rsidRPr="00BC256B" w14:paraId="493A5F77" w14:textId="77777777">
        <w:tc>
          <w:tcPr>
            <w:tcW w:w="1129" w:type="dxa"/>
          </w:tcPr>
          <w:p w14:paraId="0A39247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38546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Approches alternatives: Valeur exposée au risque déterminée conformément au règlement (UE) n</w:t>
            </w:r>
            <w:r w:rsidRPr="00BC256B">
              <w:rPr>
                <w:rFonts w:ascii="Times New Roman" w:hAnsi="Times New Roman"/>
                <w:b/>
                <w:bCs/>
                <w:sz w:val="24"/>
                <w:szCs w:val="24"/>
                <w:u w:val="single"/>
                <w:vertAlign w:val="superscript"/>
              </w:rPr>
              <w:t>o</w:t>
            </w:r>
            <w:r w:rsidRPr="00BC256B">
              <w:rPr>
                <w:rFonts w:ascii="Times New Roman" w:hAnsi="Times New Roman"/>
                <w:b/>
                <w:bCs/>
                <w:sz w:val="24"/>
                <w:szCs w:val="24"/>
                <w:u w:val="single"/>
              </w:rPr>
              <w:t> 575/2013</w:t>
            </w:r>
          </w:p>
          <w:p w14:paraId="050ABA3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25, paragraphe 4, premier alinéa, du règlement (UE) 2019/2033</w:t>
            </w:r>
          </w:p>
          <w:p w14:paraId="07970F8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Expositions pour lesquelles la valeur exposée au risque est déterminée conform</w:t>
            </w:r>
            <w:r w:rsidRPr="00BC256B">
              <w:rPr>
                <w:rFonts w:ascii="Times New Roman" w:hAnsi="Times New Roman"/>
                <w:bCs/>
                <w:sz w:val="24"/>
                <w:szCs w:val="24"/>
              </w:rPr>
              <w:t>ément au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 et les exigences de fonds propres correspondantes sont calculées en multipliant cette valeur par le facteur de risque indiqué dans le tableau 2 de l’article 26 du règlement (UE) 2019/2033</w:t>
            </w:r>
          </w:p>
        </w:tc>
      </w:tr>
      <w:tr w:rsidR="008C1FA5" w:rsidRPr="00BC256B" w14:paraId="0D5A0C76" w14:textId="77777777">
        <w:tc>
          <w:tcPr>
            <w:tcW w:w="1129" w:type="dxa"/>
          </w:tcPr>
          <w:p w14:paraId="5F6D3A6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65BFD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SA-CCR</w:t>
            </w:r>
          </w:p>
          <w:p w14:paraId="667E10D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274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5724D159" w14:textId="77777777">
        <w:tc>
          <w:tcPr>
            <w:tcW w:w="1129" w:type="dxa"/>
          </w:tcPr>
          <w:p w14:paraId="529CCF5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CB8A4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SA-CCR simplifiée:</w:t>
            </w:r>
          </w:p>
          <w:p w14:paraId="6F84DD25" w14:textId="77777777" w:rsidR="008C1FA5" w:rsidRPr="00BC256B" w:rsidRDefault="00BC256B">
            <w:pPr>
              <w:spacing w:after="120" w:line="240" w:lineRule="auto"/>
              <w:jc w:val="both"/>
              <w:rPr>
                <w:rFonts w:ascii="Times New Roman" w:eastAsia="Times New Roman" w:hAnsi="Times New Roman" w:cs="Times New Roman"/>
                <w:sz w:val="24"/>
                <w:szCs w:val="24"/>
              </w:rPr>
            </w:pPr>
            <w:r w:rsidRPr="00BC256B">
              <w:rPr>
                <w:rFonts w:ascii="Times New Roman" w:hAnsi="Times New Roman"/>
                <w:bCs/>
                <w:sz w:val="24"/>
                <w:szCs w:val="24"/>
              </w:rPr>
              <w:t>Article 281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55BB985F" w14:textId="77777777">
        <w:tc>
          <w:tcPr>
            <w:tcW w:w="1129" w:type="dxa"/>
          </w:tcPr>
          <w:p w14:paraId="3A80156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C1001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Méthode de l’exposition initiale</w:t>
            </w:r>
          </w:p>
          <w:p w14:paraId="2D2DEBCB" w14:textId="77777777" w:rsidR="008C1FA5" w:rsidRPr="00BC256B" w:rsidRDefault="00BC256B">
            <w:pPr>
              <w:spacing w:after="120" w:line="240" w:lineRule="auto"/>
              <w:jc w:val="both"/>
              <w:rPr>
                <w:rFonts w:ascii="Times New Roman" w:eastAsia="Times New Roman" w:hAnsi="Times New Roman" w:cs="Times New Roman"/>
                <w:b/>
                <w:bCs/>
                <w:u w:val="single"/>
              </w:rPr>
            </w:pPr>
            <w:r w:rsidRPr="00BC256B">
              <w:rPr>
                <w:rFonts w:ascii="Times New Roman" w:hAnsi="Times New Roman"/>
                <w:sz w:val="24"/>
              </w:rPr>
              <w:t>Article 282 du règlement (UE) n</w:t>
            </w:r>
            <w:r w:rsidRPr="00BC256B">
              <w:rPr>
                <w:rFonts w:ascii="Times New Roman" w:hAnsi="Times New Roman"/>
                <w:sz w:val="24"/>
                <w:vertAlign w:val="superscript"/>
              </w:rPr>
              <w:t>o</w:t>
            </w:r>
            <w:r w:rsidRPr="00BC256B">
              <w:rPr>
                <w:rFonts w:ascii="Times New Roman" w:hAnsi="Times New Roman"/>
                <w:sz w:val="24"/>
              </w:rPr>
              <w:t> 575/2013.</w:t>
            </w:r>
          </w:p>
        </w:tc>
      </w:tr>
      <w:tr w:rsidR="008C1FA5" w:rsidRPr="00BC256B" w14:paraId="63C8E21F" w14:textId="77777777">
        <w:tc>
          <w:tcPr>
            <w:tcW w:w="1129" w:type="dxa"/>
          </w:tcPr>
          <w:p w14:paraId="18D1553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C0187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Approches alternatives: Application totale du cadre du rè</w:t>
            </w:r>
            <w:r w:rsidRPr="00BC256B">
              <w:rPr>
                <w:rFonts w:ascii="Times New Roman" w:hAnsi="Times New Roman"/>
                <w:b/>
                <w:bCs/>
                <w:sz w:val="24"/>
                <w:szCs w:val="24"/>
                <w:u w:val="single"/>
              </w:rPr>
              <w:t>glement (UE) n</w:t>
            </w:r>
            <w:r w:rsidRPr="00BC256B">
              <w:rPr>
                <w:rFonts w:ascii="Times New Roman" w:hAnsi="Times New Roman"/>
                <w:b/>
                <w:bCs/>
                <w:sz w:val="24"/>
                <w:szCs w:val="24"/>
                <w:u w:val="single"/>
                <w:vertAlign w:val="superscript"/>
              </w:rPr>
              <w:t>o</w:t>
            </w:r>
            <w:r w:rsidRPr="00BC256B">
              <w:rPr>
                <w:rFonts w:ascii="Times New Roman" w:hAnsi="Times New Roman"/>
                <w:b/>
                <w:bCs/>
                <w:sz w:val="24"/>
                <w:szCs w:val="24"/>
                <w:u w:val="single"/>
              </w:rPr>
              <w:t> 575/2013</w:t>
            </w:r>
          </w:p>
          <w:p w14:paraId="3177917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25, paragraphe 4, second alinéa, du règlement (UE) 2019/2033</w:t>
            </w:r>
          </w:p>
          <w:p w14:paraId="5314E60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Expositions pour lesquelles la valeur exposée au risque et les exigences de fonds propres sont déterminées conformément au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xml:space="preserve"> 575/2013. </w:t>
            </w:r>
          </w:p>
        </w:tc>
      </w:tr>
      <w:tr w:rsidR="008C1FA5" w:rsidRPr="00BC256B" w14:paraId="29BFD851" w14:textId="77777777">
        <w:tc>
          <w:tcPr>
            <w:tcW w:w="1129" w:type="dxa"/>
          </w:tcPr>
          <w:p w14:paraId="2C97A1B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23DD3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Postes pour mémoire: Composante CVA</w:t>
            </w:r>
          </w:p>
          <w:p w14:paraId="0AEB85B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25, paragraphe 5, et article 26 du règlement (UE) 2019/2033.</w:t>
            </w:r>
          </w:p>
          <w:p w14:paraId="0875906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Si l’établissement applique l’approche prévue à l’article 26 du règlement (UE) 2019/2033 ou la dérogation prévue à l’article 26, paragraphe 5, premier </w:t>
            </w:r>
            <w:r w:rsidRPr="00BC256B">
              <w:rPr>
                <w:rFonts w:ascii="Times New Roman" w:hAnsi="Times New Roman"/>
                <w:bCs/>
                <w:sz w:val="24"/>
                <w:szCs w:val="24"/>
              </w:rPr>
              <w:t>alinéa, dudit règlement, la composante CVA correspond à la différence entre le montant en question après application du facteur multiplicateur CVA et le montant en question avant application de ce facteur.</w:t>
            </w:r>
          </w:p>
          <w:p w14:paraId="2132825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Si l’établissement applique la dérogation prévue à</w:t>
            </w:r>
            <w:r w:rsidRPr="00BC256B">
              <w:rPr>
                <w:rFonts w:ascii="Times New Roman" w:hAnsi="Times New Roman"/>
                <w:bCs/>
                <w:sz w:val="24"/>
                <w:szCs w:val="24"/>
              </w:rPr>
              <w:t xml:space="preserve"> l’article 25, paragraphe 5, second alinéa, du règlement (UE) 2019/2033, la composante CVA est </w:t>
            </w:r>
            <w:r w:rsidRPr="00BC256B">
              <w:rPr>
                <w:rFonts w:ascii="Times New Roman" w:hAnsi="Times New Roman"/>
                <w:bCs/>
                <w:sz w:val="24"/>
                <w:szCs w:val="24"/>
              </w:rPr>
              <w:lastRenderedPageBreak/>
              <w:t>déterminée conformément à la troisième partie, titre VI,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4466610B" w14:textId="77777777">
        <w:tc>
          <w:tcPr>
            <w:tcW w:w="1129" w:type="dxa"/>
          </w:tcPr>
          <w:p w14:paraId="3FDA6D8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A970B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dont: calcul effectué conformément au cadre du règlement (UE) n</w:t>
            </w:r>
            <w:r w:rsidRPr="00BC256B">
              <w:rPr>
                <w:rFonts w:ascii="Times New Roman" w:hAnsi="Times New Roman"/>
                <w:b/>
                <w:bCs/>
                <w:sz w:val="24"/>
                <w:szCs w:val="24"/>
                <w:u w:val="single"/>
                <w:vertAlign w:val="superscript"/>
              </w:rPr>
              <w:t>o</w:t>
            </w:r>
            <w:r w:rsidRPr="00BC256B">
              <w:rPr>
                <w:rFonts w:ascii="Times New Roman" w:hAnsi="Times New Roman"/>
                <w:b/>
                <w:bCs/>
                <w:sz w:val="24"/>
                <w:szCs w:val="24"/>
                <w:u w:val="single"/>
              </w:rPr>
              <w:t> 575/2013</w:t>
            </w:r>
          </w:p>
          <w:p w14:paraId="3455388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25, paragraphe 5, second alinéa, du règlement (UE) 2019/2033</w:t>
            </w:r>
          </w:p>
        </w:tc>
      </w:tr>
      <w:tr w:rsidR="008C1FA5" w:rsidRPr="00BC256B" w14:paraId="53BD34E7" w14:textId="77777777">
        <w:tc>
          <w:tcPr>
            <w:tcW w:w="1129" w:type="dxa"/>
          </w:tcPr>
          <w:p w14:paraId="26A5C03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CB899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Ventilation par type de contrepartie</w:t>
            </w:r>
          </w:p>
          <w:p w14:paraId="7E6A6BF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La ventilation par contrepartie repose sur les types de contreparties visés au tableau 2 de l’article 26 du règlement (UE) 2019</w:t>
            </w:r>
            <w:r w:rsidRPr="00BC256B">
              <w:rPr>
                <w:rFonts w:ascii="Times New Roman" w:hAnsi="Times New Roman"/>
                <w:bCs/>
                <w:sz w:val="24"/>
                <w:szCs w:val="24"/>
              </w:rPr>
              <w:t>/2033.</w:t>
            </w:r>
          </w:p>
        </w:tc>
      </w:tr>
      <w:tr w:rsidR="008C1FA5" w:rsidRPr="00BC256B" w14:paraId="4F8A89FC" w14:textId="77777777">
        <w:tc>
          <w:tcPr>
            <w:tcW w:w="1129" w:type="dxa"/>
          </w:tcPr>
          <w:p w14:paraId="1CA36F1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4E991C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Administrations centrales, banques centrales et entités du secteur public</w:t>
            </w:r>
          </w:p>
        </w:tc>
      </w:tr>
      <w:tr w:rsidR="008C1FA5" w:rsidRPr="00BC256B" w14:paraId="6EE5CD77" w14:textId="77777777">
        <w:tc>
          <w:tcPr>
            <w:tcW w:w="1129" w:type="dxa"/>
          </w:tcPr>
          <w:p w14:paraId="10DC6AB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F6534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Établissements de crédit et entreprises d’investissement</w:t>
            </w:r>
          </w:p>
        </w:tc>
      </w:tr>
      <w:tr w:rsidR="008C1FA5" w:rsidRPr="00BC256B" w14:paraId="3847A125" w14:textId="77777777">
        <w:tc>
          <w:tcPr>
            <w:tcW w:w="1129" w:type="dxa"/>
          </w:tcPr>
          <w:p w14:paraId="0108460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73D88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Autres contreparties</w:t>
            </w:r>
          </w:p>
        </w:tc>
      </w:tr>
    </w:tbl>
    <w:p w14:paraId="2EFDDA6A" w14:textId="77777777" w:rsidR="008C1FA5" w:rsidRPr="00BC256B" w:rsidRDefault="008C1FA5">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8C1FA5" w:rsidRPr="00BC256B" w14:paraId="20F601B8" w14:textId="77777777">
        <w:trPr>
          <w:trHeight w:val="382"/>
        </w:trPr>
        <w:tc>
          <w:tcPr>
            <w:tcW w:w="1140" w:type="dxa"/>
            <w:shd w:val="clear" w:color="auto" w:fill="D9D9D9"/>
          </w:tcPr>
          <w:p w14:paraId="5BB0E36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w:t>
            </w:r>
          </w:p>
        </w:tc>
        <w:tc>
          <w:tcPr>
            <w:tcW w:w="7700" w:type="dxa"/>
            <w:shd w:val="clear" w:color="auto" w:fill="D9D9D9"/>
          </w:tcPr>
          <w:p w14:paraId="2C10F0E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02A0862" w14:textId="77777777">
        <w:trPr>
          <w:trHeight w:val="1019"/>
        </w:trPr>
        <w:tc>
          <w:tcPr>
            <w:tcW w:w="1140" w:type="dxa"/>
          </w:tcPr>
          <w:p w14:paraId="18ACADB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391E07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Exigence basée sur les </w:t>
            </w:r>
            <w:r w:rsidRPr="00BC256B">
              <w:rPr>
                <w:rFonts w:ascii="Times New Roman" w:hAnsi="Times New Roman"/>
                <w:b/>
                <w:bCs/>
                <w:sz w:val="24"/>
                <w:szCs w:val="24"/>
                <w:u w:val="single"/>
              </w:rPr>
              <w:t>facteurs K</w:t>
            </w:r>
          </w:p>
          <w:p w14:paraId="7E5DD10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L’exigence de fonds propres à déclarer est calculée conformément à l’article 26 du règlement (UE) 2019/2033 ou aux dispositions applicables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24957F8A" w14:textId="77777777">
        <w:trPr>
          <w:trHeight w:val="764"/>
        </w:trPr>
        <w:tc>
          <w:tcPr>
            <w:tcW w:w="1140" w:type="dxa"/>
          </w:tcPr>
          <w:p w14:paraId="1790930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06493D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Valeur exposée au risque</w:t>
            </w:r>
          </w:p>
          <w:p w14:paraId="4D893A7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Valeur exposée au risque calculée conformém</w:t>
            </w:r>
            <w:r w:rsidRPr="00BC256B">
              <w:rPr>
                <w:rFonts w:ascii="Times New Roman" w:hAnsi="Times New Roman"/>
                <w:bCs/>
                <w:sz w:val="24"/>
                <w:szCs w:val="24"/>
              </w:rPr>
              <w:t>ent à l’article 27 du règlement (UE) 2019/2033 ou aux dispositions applicables du règlement (UE) n</w:t>
            </w:r>
            <w:r w:rsidRPr="00BC256B">
              <w:rPr>
                <w:rFonts w:ascii="Times New Roman" w:hAnsi="Times New Roman"/>
                <w:bCs/>
                <w:sz w:val="24"/>
                <w:szCs w:val="24"/>
                <w:vertAlign w:val="superscript"/>
              </w:rPr>
              <w:t>o</w:t>
            </w:r>
            <w:r w:rsidRPr="00BC256B">
              <w:rPr>
                <w:rFonts w:ascii="Times New Roman" w:hAnsi="Times New Roman"/>
                <w:bCs/>
                <w:sz w:val="24"/>
                <w:szCs w:val="24"/>
              </w:rPr>
              <w:t> 575/2013.</w:t>
            </w:r>
          </w:p>
        </w:tc>
      </w:tr>
      <w:tr w:rsidR="008C1FA5" w:rsidRPr="00BC256B" w14:paraId="03CEB862" w14:textId="77777777">
        <w:trPr>
          <w:trHeight w:val="764"/>
        </w:trPr>
        <w:tc>
          <w:tcPr>
            <w:tcW w:w="1140" w:type="dxa"/>
          </w:tcPr>
          <w:p w14:paraId="164A987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6C7E41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Coût de remplacement (RC)</w:t>
            </w:r>
          </w:p>
          <w:p w14:paraId="7D85746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28 du règlement (UE) 2019/2033.</w:t>
            </w:r>
          </w:p>
        </w:tc>
      </w:tr>
      <w:tr w:rsidR="008C1FA5" w:rsidRPr="00BC256B" w14:paraId="2D7F8308" w14:textId="77777777">
        <w:trPr>
          <w:trHeight w:val="764"/>
        </w:trPr>
        <w:tc>
          <w:tcPr>
            <w:tcW w:w="1140" w:type="dxa"/>
          </w:tcPr>
          <w:p w14:paraId="2C8446E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9A16B8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Exposition future potentielle (PFE)</w:t>
            </w:r>
          </w:p>
          <w:p w14:paraId="70A60E4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29 du règlement (UE) </w:t>
            </w:r>
            <w:r w:rsidRPr="00BC256B">
              <w:rPr>
                <w:rFonts w:ascii="Times New Roman" w:hAnsi="Times New Roman"/>
                <w:bCs/>
                <w:sz w:val="24"/>
                <w:szCs w:val="24"/>
              </w:rPr>
              <w:t>2019/2033.</w:t>
            </w:r>
          </w:p>
        </w:tc>
      </w:tr>
      <w:tr w:rsidR="008C1FA5" w:rsidRPr="00BC256B" w14:paraId="0B984ECD" w14:textId="77777777">
        <w:trPr>
          <w:trHeight w:val="810"/>
        </w:trPr>
        <w:tc>
          <w:tcPr>
            <w:tcW w:w="1140" w:type="dxa"/>
          </w:tcPr>
          <w:p w14:paraId="0FD2827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9E4617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Sûretés (C)</w:t>
            </w:r>
          </w:p>
          <w:p w14:paraId="697C796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30, paragraphes 2 et 3, du règlement (UE) 2019/2033.</w:t>
            </w:r>
          </w:p>
          <w:p w14:paraId="67498C4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La valeur déclarée est la valeur de la sûreté utilisée pour calculer la valeur exposée au risque et donc, le cas échéant, la valeur après application de la correction</w:t>
            </w:r>
            <w:r w:rsidRPr="00BC256B">
              <w:rPr>
                <w:rFonts w:ascii="Times New Roman" w:hAnsi="Times New Roman"/>
                <w:bCs/>
                <w:sz w:val="24"/>
                <w:szCs w:val="24"/>
              </w:rPr>
              <w:t xml:space="preserve"> pour volatilité et de la correction pour volatilité pour asymétrie de devises prévues aux articles 30, paragraphes 1 et 3, du règlement (UE) 2019/2033.</w:t>
            </w:r>
          </w:p>
        </w:tc>
      </w:tr>
    </w:tbl>
    <w:p w14:paraId="6D13C65E" w14:textId="77777777" w:rsidR="008C1FA5" w:rsidRPr="00BC256B" w:rsidRDefault="008C1FA5">
      <w:pPr>
        <w:rPr>
          <w:sz w:val="10"/>
          <w:szCs w:val="10"/>
        </w:rPr>
      </w:pPr>
    </w:p>
    <w:p w14:paraId="2AADF152"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7024736"/>
      <w:r w:rsidRPr="00BC256B">
        <w:rPr>
          <w:rFonts w:ascii="Times New Roman" w:hAnsi="Times New Roman"/>
          <w:sz w:val="24"/>
          <w:szCs w:val="24"/>
          <w:u w:val="single"/>
        </w:rPr>
        <w:t>3.13. I 06.12 – FLUX D’ÉCHANGES QUOTIDIENS (DTF) – DÉTAILS SUPPLÉMENTAIRES (I 6.12)</w:t>
      </w:r>
      <w:bookmarkEnd w:id="78"/>
    </w:p>
    <w:p w14:paraId="6E0FA34A"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7024737"/>
      <w:r w:rsidRPr="00BC256B">
        <w:rPr>
          <w:rFonts w:ascii="Times New Roman" w:hAnsi="Times New Roman"/>
          <w:sz w:val="24"/>
          <w:szCs w:val="24"/>
        </w:rPr>
        <w:t>3.13.1.</w:t>
      </w:r>
      <w:r w:rsidRPr="00BC256B">
        <w:rPr>
          <w:rFonts w:ascii="Times New Roman" w:hAnsi="Times New Roman"/>
          <w:sz w:val="24"/>
          <w:szCs w:val="24"/>
        </w:rPr>
        <w:tab/>
      </w:r>
      <w:r w:rsidRPr="00BC256B">
        <w:rPr>
          <w:rFonts w:ascii="Times New Roman" w:hAnsi="Times New Roman"/>
          <w:sz w:val="24"/>
          <w:szCs w:val="24"/>
        </w:rPr>
        <w:t>Instructions concernant certaines positions</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141CB2A8" w14:textId="77777777">
        <w:tc>
          <w:tcPr>
            <w:tcW w:w="1129" w:type="dxa"/>
            <w:shd w:val="clear" w:color="auto" w:fill="D9D9D9"/>
          </w:tcPr>
          <w:p w14:paraId="68F8392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15B677C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951E9AA" w14:textId="77777777">
        <w:tc>
          <w:tcPr>
            <w:tcW w:w="1129" w:type="dxa"/>
          </w:tcPr>
          <w:p w14:paraId="2BFE897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EEC30B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DTF – opérations au comptant (montants moyens)</w:t>
            </w:r>
          </w:p>
          <w:p w14:paraId="26157C7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Conformément à l’article 33, paragraphe 1, premier alinéa, du règlement (UE) 2019/2033, les </w:t>
            </w:r>
            <w:r w:rsidRPr="00BC256B">
              <w:rPr>
                <w:rFonts w:ascii="Times New Roman" w:hAnsi="Times New Roman"/>
                <w:bCs/>
                <w:sz w:val="24"/>
                <w:szCs w:val="24"/>
              </w:rPr>
              <w:t>entreprises d’investissement indiquent la moyenne arithmétique, sur les six mois restants, des DTF - opérations au comptant mesurés conformément à l’article 33, paragraphe 2, point a), du règlement (UE) 2019/2033.</w:t>
            </w:r>
          </w:p>
          <w:p w14:paraId="21551D4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 montant indiqué dans cette cellule tien</w:t>
            </w:r>
            <w:r w:rsidRPr="00BC256B">
              <w:rPr>
                <w:rFonts w:ascii="Times New Roman" w:hAnsi="Times New Roman"/>
                <w:bCs/>
                <w:sz w:val="24"/>
                <w:szCs w:val="24"/>
              </w:rPr>
              <w:t>t compte de l’article 33, paragraphe 3, du règlement (UE) 2019/2033.</w:t>
            </w:r>
          </w:p>
        </w:tc>
      </w:tr>
      <w:tr w:rsidR="008C1FA5" w:rsidRPr="00BC256B" w14:paraId="0BE78205" w14:textId="77777777">
        <w:tc>
          <w:tcPr>
            <w:tcW w:w="1129" w:type="dxa"/>
          </w:tcPr>
          <w:p w14:paraId="367DFEA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9FACC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DTF – opérations sur instruments dérivés (montants moyens)</w:t>
            </w:r>
          </w:p>
          <w:p w14:paraId="7AB4332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33, paragraphe 2, point b), du règlement (UE) 2019/2033.</w:t>
            </w:r>
          </w:p>
          <w:p w14:paraId="6E1AFF0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Conformément à l’article 33, </w:t>
            </w:r>
            <w:r w:rsidRPr="00BC256B">
              <w:rPr>
                <w:rFonts w:ascii="Times New Roman" w:hAnsi="Times New Roman"/>
                <w:bCs/>
                <w:sz w:val="24"/>
                <w:szCs w:val="24"/>
              </w:rPr>
              <w:t>paragraphe 1, premier alinéa, du règlement (UE) 2019/2033, les entreprises d’investissement indiquent la moyenne arithmétique, sur les six mois restants, des DTF - opérations sur instruments dérivés mesurés conformément à l’article 33, paragraphe 2, point </w:t>
            </w:r>
            <w:r w:rsidRPr="00BC256B">
              <w:rPr>
                <w:rFonts w:ascii="Times New Roman" w:hAnsi="Times New Roman"/>
                <w:bCs/>
                <w:sz w:val="24"/>
                <w:szCs w:val="24"/>
              </w:rPr>
              <w:t>b), du règlement (UE) 2019/2033.</w:t>
            </w:r>
          </w:p>
          <w:p w14:paraId="1CB5F793" w14:textId="77777777" w:rsidR="008C1FA5" w:rsidRPr="00BC256B" w:rsidRDefault="00BC256B">
            <w:pPr>
              <w:spacing w:after="120" w:line="240" w:lineRule="auto"/>
              <w:jc w:val="both"/>
              <w:rPr>
                <w:rFonts w:ascii="Times New Roman" w:eastAsia="Times New Roman" w:hAnsi="Times New Roman" w:cs="Times New Roman"/>
                <w:bCs/>
                <w:sz w:val="24"/>
                <w:szCs w:val="24"/>
                <w:u w:val="single"/>
              </w:rPr>
            </w:pPr>
            <w:r w:rsidRPr="00BC256B">
              <w:rPr>
                <w:rFonts w:ascii="Times New Roman" w:hAnsi="Times New Roman"/>
                <w:bCs/>
                <w:sz w:val="24"/>
                <w:szCs w:val="24"/>
              </w:rPr>
              <w:t>Le montant indiqué dans cette cellule tient compte de l’article 33, paragraphe 3, du règlement (UE) 2019/2033.</w:t>
            </w:r>
          </w:p>
        </w:tc>
      </w:tr>
    </w:tbl>
    <w:p w14:paraId="4B73B575" w14:textId="77777777" w:rsidR="008C1FA5" w:rsidRPr="00BC256B" w:rsidRDefault="008C1FA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6F215C2A" w14:textId="77777777">
        <w:tc>
          <w:tcPr>
            <w:tcW w:w="1129" w:type="dxa"/>
            <w:shd w:val="clear" w:color="auto" w:fill="D9D9D9"/>
          </w:tcPr>
          <w:p w14:paraId="310539D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308811D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B170A0C" w14:textId="77777777">
        <w:tc>
          <w:tcPr>
            <w:tcW w:w="1129" w:type="dxa"/>
          </w:tcPr>
          <w:p w14:paraId="6DD9A92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523AF43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moyen du facteur – Mois t</w:t>
            </w:r>
          </w:p>
          <w:p w14:paraId="3AB8B57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des DTF à la fin </w:t>
            </w:r>
            <w:r w:rsidRPr="00BC256B">
              <w:rPr>
                <w:rFonts w:ascii="Times New Roman" w:hAnsi="Times New Roman"/>
                <w:bCs/>
                <w:sz w:val="24"/>
                <w:szCs w:val="24"/>
              </w:rPr>
              <w:t>du troisième mois (c’est-à-dire le plus récent) du trimestre auquel se rapporte la déclaration.</w:t>
            </w:r>
          </w:p>
        </w:tc>
      </w:tr>
      <w:tr w:rsidR="008C1FA5" w:rsidRPr="00BC256B" w14:paraId="751DE2AD" w14:textId="77777777">
        <w:tc>
          <w:tcPr>
            <w:tcW w:w="1129" w:type="dxa"/>
          </w:tcPr>
          <w:p w14:paraId="1DE94A7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19D9DA5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moyen du facteur – Mois t-1</w:t>
            </w:r>
          </w:p>
          <w:p w14:paraId="55994CA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 DTF à la fin du deuxième mois du trimestre auquel se rapporte la déclaration.</w:t>
            </w:r>
          </w:p>
        </w:tc>
      </w:tr>
      <w:tr w:rsidR="008C1FA5" w:rsidRPr="00BC256B" w14:paraId="49F7842C" w14:textId="77777777">
        <w:tc>
          <w:tcPr>
            <w:tcW w:w="1129" w:type="dxa"/>
          </w:tcPr>
          <w:p w14:paraId="168E026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60FF177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moyen du facteu</w:t>
            </w:r>
            <w:r w:rsidRPr="00BC256B">
              <w:rPr>
                <w:rFonts w:ascii="Times New Roman" w:hAnsi="Times New Roman"/>
                <w:b/>
                <w:bCs/>
                <w:sz w:val="24"/>
                <w:szCs w:val="24"/>
                <w:u w:val="single"/>
              </w:rPr>
              <w:t>r – Mois t-2</w:t>
            </w:r>
          </w:p>
          <w:p w14:paraId="3534E9B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Valeur des DTF à la fin du premier mois du trimestre auquel se rapporte la déclaration.</w:t>
            </w:r>
          </w:p>
        </w:tc>
      </w:tr>
    </w:tbl>
    <w:p w14:paraId="379672A3" w14:textId="77777777" w:rsidR="008C1FA5" w:rsidRPr="00BC256B" w:rsidRDefault="008C1FA5">
      <w:pPr>
        <w:rPr>
          <w:rFonts w:ascii="Times New Roman" w:eastAsia="Arial" w:hAnsi="Times New Roman" w:cs="Times New Roman"/>
          <w:sz w:val="24"/>
          <w:szCs w:val="24"/>
          <w:u w:val="single"/>
        </w:rPr>
      </w:pPr>
    </w:p>
    <w:p w14:paraId="21B8AB36" w14:textId="77777777" w:rsidR="008C1FA5" w:rsidRPr="00BC256B" w:rsidRDefault="00BC256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7024738"/>
      <w:r w:rsidRPr="00BC256B">
        <w:rPr>
          <w:rFonts w:ascii="Times New Roman" w:hAnsi="Times New Roman"/>
          <w:sz w:val="24"/>
          <w:szCs w:val="24"/>
          <w:u w:val="single"/>
        </w:rPr>
        <w:t>3.14. I 06.13 – VALEUR MOYENNE DES FLUX D’ÉCHANGES QUOTIDIENS TOTAUX (I 6.13)</w:t>
      </w:r>
      <w:bookmarkEnd w:id="80"/>
    </w:p>
    <w:p w14:paraId="448D01D8" w14:textId="77777777" w:rsidR="008C1FA5" w:rsidRPr="00BC256B" w:rsidRDefault="00BC256B">
      <w:pPr>
        <w:pStyle w:val="Instructionsberschrift2"/>
        <w:ind w:left="357" w:hanging="215"/>
        <w:rPr>
          <w:rFonts w:ascii="Times New Roman" w:hAnsi="Times New Roman" w:cs="Times New Roman"/>
          <w:sz w:val="24"/>
        </w:rPr>
      </w:pPr>
      <w:bookmarkStart w:id="81" w:name="_Toc87024739"/>
      <w:r w:rsidRPr="00BC256B">
        <w:rPr>
          <w:rFonts w:ascii="Times New Roman" w:hAnsi="Times New Roman"/>
          <w:sz w:val="24"/>
          <w:u w:val="none"/>
        </w:rPr>
        <w:t xml:space="preserve">3.14.1. </w:t>
      </w:r>
      <w:r w:rsidRPr="00BC256B">
        <w:rPr>
          <w:rFonts w:ascii="Times New Roman" w:hAnsi="Times New Roman"/>
          <w:sz w:val="24"/>
        </w:rPr>
        <w:t>Instructions concernant certaines positions</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6B17DE7E" w14:textId="77777777">
        <w:tc>
          <w:tcPr>
            <w:tcW w:w="1129" w:type="dxa"/>
            <w:shd w:val="clear" w:color="auto" w:fill="D9D9D9"/>
          </w:tcPr>
          <w:p w14:paraId="708CA36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5E65310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5F46C85" w14:textId="77777777">
        <w:tc>
          <w:tcPr>
            <w:tcW w:w="1129" w:type="dxa"/>
          </w:tcPr>
          <w:p w14:paraId="0DBF840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37FA8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Flux d’échanges quotidiens – Opérations au comptant</w:t>
            </w:r>
          </w:p>
          <w:p w14:paraId="0991B5B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Valeur moyenne, au sens de l’article 33, paragraphe 1, du règlement (UE) 2019/2033, des flux d’échanges quotidiens totaux (opérations au comptant) du mois </w:t>
            </w:r>
            <w:r w:rsidRPr="00BC256B">
              <w:rPr>
                <w:rFonts w:ascii="Times New Roman" w:hAnsi="Times New Roman"/>
                <w:bCs/>
                <w:sz w:val="24"/>
                <w:szCs w:val="24"/>
              </w:rPr>
              <w:t>concerné, mesurés conformément à l’article 33, paragraphe 2, point a), du règlement (UE) 2019/2033.</w:t>
            </w:r>
          </w:p>
        </w:tc>
      </w:tr>
      <w:tr w:rsidR="008C1FA5" w:rsidRPr="00BC256B" w14:paraId="088A0E2C" w14:textId="77777777">
        <w:tc>
          <w:tcPr>
            <w:tcW w:w="1129" w:type="dxa"/>
          </w:tcPr>
          <w:p w14:paraId="7CF3F1A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8A442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Flux d’échanges quotidiens – Opérations sur instruments dérivés</w:t>
            </w:r>
          </w:p>
          <w:p w14:paraId="14652D5D" w14:textId="77777777" w:rsidR="008C1FA5" w:rsidRPr="00BC256B" w:rsidRDefault="00BC256B">
            <w:pPr>
              <w:spacing w:after="120" w:line="240" w:lineRule="auto"/>
              <w:jc w:val="both"/>
              <w:rPr>
                <w:rFonts w:ascii="Times New Roman" w:eastAsia="Times New Roman" w:hAnsi="Times New Roman" w:cs="Times New Roman"/>
                <w:bCs/>
                <w:sz w:val="24"/>
                <w:szCs w:val="24"/>
                <w:u w:val="single"/>
              </w:rPr>
            </w:pPr>
            <w:r w:rsidRPr="00BC256B">
              <w:rPr>
                <w:rFonts w:ascii="Times New Roman" w:hAnsi="Times New Roman"/>
                <w:bCs/>
                <w:sz w:val="24"/>
                <w:szCs w:val="24"/>
              </w:rPr>
              <w:t>Valeur moyenne, au sens de l’article 33, paragraphe 1, du règlement (UE) 2019/2033, de</w:t>
            </w:r>
            <w:r w:rsidRPr="00BC256B">
              <w:rPr>
                <w:rFonts w:ascii="Times New Roman" w:hAnsi="Times New Roman"/>
                <w:bCs/>
                <w:sz w:val="24"/>
                <w:szCs w:val="24"/>
              </w:rPr>
              <w:t>s flux d’échanges quotidiens totaux (opérations sur instruments dérivés) du mois concerné, mesurés conformément à l’article 33, paragraphe 2, point b), du règlement (UE) 2019/2033.</w:t>
            </w:r>
          </w:p>
        </w:tc>
      </w:tr>
    </w:tbl>
    <w:p w14:paraId="334E691B" w14:textId="77777777" w:rsidR="008C1FA5" w:rsidRPr="00BC256B" w:rsidRDefault="008C1FA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3F834796" w14:textId="77777777">
        <w:tc>
          <w:tcPr>
            <w:tcW w:w="1129" w:type="dxa"/>
            <w:shd w:val="clear" w:color="auto" w:fill="D9D9D9"/>
          </w:tcPr>
          <w:p w14:paraId="6222F05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716B615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4F491CB9" w14:textId="77777777">
        <w:tc>
          <w:tcPr>
            <w:tcW w:w="1129" w:type="dxa"/>
          </w:tcPr>
          <w:p w14:paraId="2A5E29D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0010-0080</w:t>
            </w:r>
          </w:p>
        </w:tc>
        <w:tc>
          <w:tcPr>
            <w:tcW w:w="7620" w:type="dxa"/>
          </w:tcPr>
          <w:p w14:paraId="79773F7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
                <w:bCs/>
                <w:sz w:val="24"/>
                <w:szCs w:val="24"/>
                <w:u w:val="single"/>
              </w:rPr>
              <w:t xml:space="preserve">Moyennes </w:t>
            </w:r>
            <w:r w:rsidRPr="00BC256B">
              <w:rPr>
                <w:rFonts w:ascii="Times New Roman" w:hAnsi="Times New Roman"/>
                <w:b/>
                <w:bCs/>
                <w:sz w:val="24"/>
                <w:szCs w:val="24"/>
                <w:u w:val="single"/>
              </w:rPr>
              <w:t>mensuelles des montants totaux de flux d’échanges quotidiens</w:t>
            </w:r>
          </w:p>
          <w:p w14:paraId="6EC9D04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Les entreprises d’investissement déclarent dans chaque colonne correspondant à un mois donné la valeur mensuelle moyenne des montants totaux de flux d’échanges quotidiens, mesurés pour </w:t>
            </w:r>
            <w:r w:rsidRPr="00BC256B">
              <w:rPr>
                <w:rFonts w:ascii="Times New Roman" w:hAnsi="Times New Roman"/>
                <w:bCs/>
                <w:sz w:val="24"/>
                <w:szCs w:val="24"/>
              </w:rPr>
              <w:t>chaque jour ouvrable conformément à l’article 33, paragraphe 1, du règlement (UE) 2019/2033.</w:t>
            </w:r>
          </w:p>
        </w:tc>
      </w:tr>
    </w:tbl>
    <w:p w14:paraId="42DFBDB3" w14:textId="77777777" w:rsidR="008C1FA5" w:rsidRPr="00BC256B" w:rsidRDefault="008C1FA5">
      <w:pPr>
        <w:rPr>
          <w:rFonts w:ascii="Times New Roman" w:eastAsia="Arial" w:hAnsi="Times New Roman" w:cs="Times New Roman"/>
          <w:sz w:val="24"/>
          <w:szCs w:val="24"/>
          <w:u w:val="single"/>
        </w:rPr>
      </w:pPr>
    </w:p>
    <w:p w14:paraId="1C7D435D" w14:textId="77777777" w:rsidR="008C1FA5" w:rsidRPr="00BC256B" w:rsidRDefault="00BC256B">
      <w:pPr>
        <w:pStyle w:val="Instructionsberschrift2"/>
        <w:ind w:left="357" w:hanging="357"/>
        <w:rPr>
          <w:rFonts w:ascii="Times New Roman" w:hAnsi="Times New Roman" w:cs="Times New Roman"/>
          <w:b/>
          <w:sz w:val="24"/>
        </w:rPr>
      </w:pPr>
      <w:bookmarkStart w:id="82" w:name="_Toc87024740"/>
      <w:r w:rsidRPr="00BC256B">
        <w:rPr>
          <w:rFonts w:ascii="Times New Roman" w:hAnsi="Times New Roman"/>
          <w:b/>
          <w:sz w:val="24"/>
        </w:rPr>
        <w:t>4. DÉCLARATION DES RISQUES DE CONCENTRATION</w:t>
      </w:r>
      <w:bookmarkEnd w:id="82"/>
    </w:p>
    <w:p w14:paraId="0C8DF744" w14:textId="77777777" w:rsidR="008C1FA5" w:rsidRPr="00BC256B" w:rsidRDefault="00BC256B">
      <w:pPr>
        <w:pStyle w:val="Instructionsberschrift2"/>
        <w:ind w:left="357" w:hanging="357"/>
        <w:rPr>
          <w:rFonts w:ascii="Times New Roman" w:hAnsi="Times New Roman" w:cs="Times New Roman"/>
          <w:sz w:val="24"/>
        </w:rPr>
      </w:pPr>
      <w:bookmarkStart w:id="83" w:name="_Toc87024741"/>
      <w:r w:rsidRPr="00BC256B">
        <w:rPr>
          <w:rFonts w:ascii="Times New Roman" w:hAnsi="Times New Roman"/>
          <w:sz w:val="24"/>
        </w:rPr>
        <w:t>4.1. Remarques générales</w:t>
      </w:r>
      <w:bookmarkEnd w:id="83"/>
    </w:p>
    <w:p w14:paraId="3D53B32F"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16.</w:t>
      </w:r>
      <w:r w:rsidRPr="00BC256B">
        <w:rPr>
          <w:rFonts w:ascii="Times New Roman" w:hAnsi="Times New Roman" w:cs="Times New Roman"/>
          <w:sz w:val="24"/>
        </w:rPr>
        <w:tab/>
      </w:r>
      <w:r w:rsidRPr="00BC256B">
        <w:rPr>
          <w:rFonts w:ascii="Times New Roman" w:hAnsi="Times New Roman"/>
          <w:sz w:val="24"/>
        </w:rPr>
        <w:t xml:space="preserve">Les risques de concentration à déclarer sont les risques de concentration </w:t>
      </w:r>
      <w:r w:rsidRPr="00BC256B">
        <w:rPr>
          <w:rFonts w:ascii="Times New Roman" w:hAnsi="Times New Roman"/>
          <w:sz w:val="24"/>
        </w:rPr>
        <w:t>auxquels l’entreprise d’investissement est exposée en raison de ses positions de portefeuille de négociation, en cas de défaillance des contreparties. Il s’agit de calculer K-CON, une exigence de fonds propres supplémentaires liée aux expositions que l’ent</w:t>
      </w:r>
      <w:r w:rsidRPr="00BC256B">
        <w:rPr>
          <w:rFonts w:ascii="Times New Roman" w:hAnsi="Times New Roman"/>
          <w:sz w:val="24"/>
        </w:rPr>
        <w:t xml:space="preserve">reprise d’investissement détient au bilan. Cela correspond à la définition du «risque de concentration» de l’article 4, paragraphe 1, point 31) du règlement (UE) 2019/2033, selon laquelle on entend par: «risque de concentration» ou «CON»: les expositions, </w:t>
      </w:r>
      <w:r w:rsidRPr="00BC256B">
        <w:rPr>
          <w:rFonts w:ascii="Times New Roman" w:hAnsi="Times New Roman"/>
          <w:sz w:val="24"/>
        </w:rPr>
        <w:t>dans le portefeuille de négociation d’une entreprise d’investissement, à un client ou à un groupe de clients liés dont la valeur dépasse les limites prévues à l’article 37, paragraphe 1.</w:t>
      </w:r>
    </w:p>
    <w:p w14:paraId="4F0DF6DA"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17.</w:t>
      </w:r>
      <w:r w:rsidRPr="00BC256B">
        <w:rPr>
          <w:rFonts w:ascii="Times New Roman" w:hAnsi="Times New Roman" w:cs="Times New Roman"/>
          <w:sz w:val="24"/>
        </w:rPr>
        <w:tab/>
      </w:r>
      <w:r w:rsidRPr="00BC256B">
        <w:rPr>
          <w:rFonts w:ascii="Times New Roman" w:hAnsi="Times New Roman"/>
          <w:sz w:val="24"/>
        </w:rPr>
        <w:t>La déclaration des risques de concentration comprend aussi des in</w:t>
      </w:r>
      <w:r w:rsidRPr="00BC256B">
        <w:rPr>
          <w:rFonts w:ascii="Times New Roman" w:hAnsi="Times New Roman"/>
          <w:sz w:val="24"/>
        </w:rPr>
        <w:t>formations sur les éléments suivants:</w:t>
      </w:r>
    </w:p>
    <w:p w14:paraId="65C3EECC"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i.</w:t>
      </w:r>
      <w:r w:rsidRPr="00BC256B">
        <w:rPr>
          <w:rFonts w:ascii="Times New Roman" w:hAnsi="Times New Roman" w:cs="Times New Roman"/>
          <w:sz w:val="24"/>
        </w:rPr>
        <w:tab/>
      </w:r>
      <w:r w:rsidRPr="00BC256B">
        <w:rPr>
          <w:rFonts w:ascii="Times New Roman" w:hAnsi="Times New Roman"/>
          <w:sz w:val="24"/>
        </w:rPr>
        <w:t>Fonds de clients</w:t>
      </w:r>
    </w:p>
    <w:p w14:paraId="28ACEDA4"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ii.</w:t>
      </w:r>
      <w:r w:rsidRPr="00BC256B">
        <w:rPr>
          <w:rFonts w:ascii="Times New Roman" w:hAnsi="Times New Roman" w:cs="Times New Roman"/>
          <w:sz w:val="24"/>
        </w:rPr>
        <w:tab/>
      </w:r>
      <w:r w:rsidRPr="00BC256B">
        <w:rPr>
          <w:rFonts w:ascii="Times New Roman" w:hAnsi="Times New Roman"/>
          <w:sz w:val="24"/>
        </w:rPr>
        <w:t>Actifs de clients</w:t>
      </w:r>
    </w:p>
    <w:p w14:paraId="0D2564C7"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iii.</w:t>
      </w:r>
      <w:r w:rsidRPr="00BC256B">
        <w:rPr>
          <w:rFonts w:ascii="Times New Roman" w:hAnsi="Times New Roman" w:cs="Times New Roman"/>
          <w:sz w:val="24"/>
        </w:rPr>
        <w:tab/>
      </w:r>
      <w:r w:rsidRPr="00BC256B">
        <w:rPr>
          <w:rFonts w:ascii="Times New Roman" w:hAnsi="Times New Roman"/>
          <w:sz w:val="24"/>
        </w:rPr>
        <w:t>Trésorerie de l’entreprise</w:t>
      </w:r>
    </w:p>
    <w:p w14:paraId="6E97E29C"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iv.</w:t>
      </w:r>
      <w:r w:rsidRPr="00BC256B">
        <w:rPr>
          <w:rFonts w:ascii="Times New Roman" w:hAnsi="Times New Roman" w:cs="Times New Roman"/>
          <w:sz w:val="24"/>
        </w:rPr>
        <w:tab/>
      </w:r>
      <w:r w:rsidRPr="00BC256B">
        <w:rPr>
          <w:rFonts w:ascii="Times New Roman" w:hAnsi="Times New Roman"/>
          <w:sz w:val="24"/>
        </w:rPr>
        <w:t>Bénéfices liés aux clients</w:t>
      </w:r>
    </w:p>
    <w:p w14:paraId="53DD5CFA"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v.</w:t>
      </w:r>
      <w:r w:rsidRPr="00BC256B">
        <w:rPr>
          <w:rFonts w:ascii="Times New Roman" w:hAnsi="Times New Roman" w:cs="Times New Roman"/>
          <w:sz w:val="24"/>
        </w:rPr>
        <w:tab/>
      </w:r>
      <w:r w:rsidRPr="00BC256B">
        <w:rPr>
          <w:rFonts w:ascii="Times New Roman" w:hAnsi="Times New Roman"/>
          <w:sz w:val="24"/>
        </w:rPr>
        <w:t>Positions du portefeuille de négociation</w:t>
      </w:r>
    </w:p>
    <w:p w14:paraId="6E44C8A5" w14:textId="77777777" w:rsidR="008C1FA5" w:rsidRPr="00BC256B" w:rsidRDefault="00BC256B">
      <w:pPr>
        <w:spacing w:after="0" w:line="276" w:lineRule="auto"/>
        <w:ind w:left="2160" w:hanging="180"/>
        <w:jc w:val="both"/>
        <w:rPr>
          <w:rFonts w:ascii="Times New Roman" w:hAnsi="Times New Roman" w:cs="Times New Roman"/>
          <w:sz w:val="24"/>
        </w:rPr>
      </w:pPr>
      <w:r w:rsidRPr="00BC256B">
        <w:rPr>
          <w:rFonts w:ascii="Times New Roman" w:hAnsi="Times New Roman" w:cs="Times New Roman"/>
          <w:sz w:val="24"/>
        </w:rPr>
        <w:t>vi.</w:t>
      </w:r>
      <w:r w:rsidRPr="00BC256B">
        <w:rPr>
          <w:rFonts w:ascii="Times New Roman" w:hAnsi="Times New Roman" w:cs="Times New Roman"/>
          <w:sz w:val="24"/>
        </w:rPr>
        <w:tab/>
      </w:r>
      <w:r w:rsidRPr="00BC256B">
        <w:rPr>
          <w:rFonts w:ascii="Times New Roman" w:hAnsi="Times New Roman"/>
          <w:sz w:val="24"/>
        </w:rPr>
        <w:t>Expositions calculées en tenant compte des actifs et des éléments</w:t>
      </w:r>
      <w:r w:rsidRPr="00BC256B">
        <w:rPr>
          <w:rFonts w:ascii="Times New Roman" w:hAnsi="Times New Roman"/>
          <w:sz w:val="24"/>
        </w:rPr>
        <w:t xml:space="preserve"> de hors bilan non enregistrés dans le portefeuille de négociation.</w:t>
      </w:r>
    </w:p>
    <w:p w14:paraId="5FD25C5F"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18.</w:t>
      </w:r>
      <w:r w:rsidRPr="00BC256B">
        <w:rPr>
          <w:rFonts w:ascii="Times New Roman" w:hAnsi="Times New Roman" w:cs="Times New Roman"/>
          <w:sz w:val="24"/>
        </w:rPr>
        <w:tab/>
      </w:r>
      <w:r w:rsidRPr="00BC256B">
        <w:rPr>
          <w:rFonts w:ascii="Times New Roman" w:hAnsi="Times New Roman"/>
          <w:sz w:val="24"/>
        </w:rPr>
        <w:t>Bien que l’article 54, paragraphe 2, du règlement (UE) 2019/2033 fasse aussi référence au «risque de concentration», la définition de cette notion à l’article 4, paragraphe 1, point 31</w:t>
      </w:r>
      <w:r w:rsidRPr="00BC256B">
        <w:rPr>
          <w:rFonts w:ascii="Times New Roman" w:hAnsi="Times New Roman"/>
          <w:sz w:val="24"/>
        </w:rPr>
        <w:t>), dudit règlement et les limites fixées par son article 37, paragraphe 1, ne sont pas compatibles avec les éléments décrits dans son article 54, paragraphe 2, points b) à e). C’est la raison pour laquelle la déclaration requise se limite aux cinq position</w:t>
      </w:r>
      <w:r w:rsidRPr="00BC256B">
        <w:rPr>
          <w:rFonts w:ascii="Times New Roman" w:hAnsi="Times New Roman"/>
          <w:sz w:val="24"/>
        </w:rPr>
        <w:t xml:space="preserve">s les plus importantes, si elles sont disponibles, pour chacun des éléments i) à vi) du paragraphe 19 qui sont détenus auprès d’un établissement, </w:t>
      </w:r>
      <w:r w:rsidRPr="00BC256B">
        <w:rPr>
          <w:rFonts w:ascii="Times New Roman" w:hAnsi="Times New Roman"/>
          <w:sz w:val="24"/>
        </w:rPr>
        <w:lastRenderedPageBreak/>
        <w:t>d’un client ou d’une autre entité identifiable ou peuvent lui être attribuées. Cette déclaration permet aux au</w:t>
      </w:r>
      <w:r w:rsidRPr="00BC256B">
        <w:rPr>
          <w:rFonts w:ascii="Times New Roman" w:hAnsi="Times New Roman"/>
          <w:sz w:val="24"/>
        </w:rPr>
        <w:t>torités compétentes de mieux comprendre les risques qui pourraient en résulter pour les entreprises d’investissement.</w:t>
      </w:r>
    </w:p>
    <w:p w14:paraId="242EA139" w14:textId="77777777" w:rsidR="008C1FA5" w:rsidRPr="00BC256B" w:rsidRDefault="00BC256B">
      <w:pPr>
        <w:spacing w:line="256" w:lineRule="auto"/>
        <w:ind w:left="993" w:hanging="567"/>
        <w:jc w:val="both"/>
        <w:rPr>
          <w:rFonts w:ascii="Times New Roman" w:hAnsi="Times New Roman" w:cs="Times New Roman"/>
          <w:sz w:val="24"/>
        </w:rPr>
      </w:pPr>
      <w:r w:rsidRPr="00BC256B">
        <w:rPr>
          <w:rFonts w:ascii="Times New Roman" w:hAnsi="Times New Roman" w:cs="Times New Roman"/>
          <w:sz w:val="24"/>
        </w:rPr>
        <w:t>19.</w:t>
      </w:r>
      <w:r w:rsidRPr="00BC256B">
        <w:rPr>
          <w:rFonts w:ascii="Times New Roman" w:hAnsi="Times New Roman" w:cs="Times New Roman"/>
          <w:sz w:val="24"/>
        </w:rPr>
        <w:tab/>
      </w:r>
      <w:r w:rsidRPr="00BC256B">
        <w:rPr>
          <w:rFonts w:ascii="Times New Roman" w:hAnsi="Times New Roman"/>
          <w:sz w:val="24"/>
        </w:rPr>
        <w:t xml:space="preserve">La déclaration du risque de concentration se base sur les modèles I 07.00 et I 08.00, et conformément à l’article 54, </w:t>
      </w:r>
      <w:r w:rsidRPr="00BC256B">
        <w:rPr>
          <w:rFonts w:ascii="Times New Roman" w:hAnsi="Times New Roman"/>
          <w:sz w:val="24"/>
        </w:rPr>
        <w:t>paragraphe 2, du règlement (UE) 2019/2033, les entreprises qui remplissent les conditions définies à l’article 12, paragraphe 1, du règlement (UE) 2019/2033 pour pouvoir être considérées comme des petites entreprises d’investissement non interconnectées ne</w:t>
      </w:r>
      <w:r w:rsidRPr="00BC256B">
        <w:rPr>
          <w:rFonts w:ascii="Times New Roman" w:hAnsi="Times New Roman"/>
          <w:sz w:val="24"/>
        </w:rPr>
        <w:t xml:space="preserve"> sont pas tenues de fournir ces informations.</w:t>
      </w:r>
    </w:p>
    <w:p w14:paraId="2BEBD316" w14:textId="77777777" w:rsidR="008C1FA5" w:rsidRPr="00BC256B" w:rsidRDefault="00BC256B">
      <w:pPr>
        <w:pStyle w:val="Instructionsberschrift2"/>
        <w:ind w:left="0"/>
        <w:rPr>
          <w:rFonts w:ascii="Times New Roman" w:hAnsi="Times New Roman" w:cs="Times New Roman"/>
          <w:sz w:val="24"/>
        </w:rPr>
      </w:pPr>
      <w:bookmarkStart w:id="84" w:name="_Toc87024742"/>
      <w:r w:rsidRPr="00BC256B">
        <w:rPr>
          <w:rFonts w:ascii="Times New Roman" w:hAnsi="Times New Roman"/>
          <w:sz w:val="24"/>
        </w:rPr>
        <w:t>4.2. I 07.00 – K-CON – DÉTAILS SUPPLÉMENTAIRES (I7)</w:t>
      </w:r>
      <w:bookmarkEnd w:id="84"/>
    </w:p>
    <w:p w14:paraId="110DC27F" w14:textId="77777777" w:rsidR="008C1FA5" w:rsidRPr="00BC256B" w:rsidRDefault="00BC256B">
      <w:pPr>
        <w:pStyle w:val="Instructionsberschrift2"/>
        <w:ind w:left="0"/>
        <w:rPr>
          <w:rFonts w:ascii="Times New Roman" w:hAnsi="Times New Roman" w:cs="Times New Roman"/>
        </w:rPr>
      </w:pPr>
      <w:bookmarkStart w:id="85" w:name="_Toc87024743"/>
      <w:r w:rsidRPr="00BC256B">
        <w:rPr>
          <w:rFonts w:ascii="Times New Roman" w:hAnsi="Times New Roman"/>
          <w:sz w:val="24"/>
          <w:u w:val="none"/>
        </w:rPr>
        <w:t>4.2.1.</w:t>
      </w:r>
      <w:r w:rsidRPr="00BC256B">
        <w:rPr>
          <w:rFonts w:ascii="Times New Roman" w:hAnsi="Times New Roman"/>
          <w:sz w:val="24"/>
          <w:u w:val="none"/>
        </w:rPr>
        <w:tab/>
      </w:r>
      <w:r w:rsidRPr="00BC256B">
        <w:rPr>
          <w:rFonts w:ascii="Times New Roman" w:hAnsi="Times New Roman"/>
          <w:sz w:val="24"/>
        </w:rPr>
        <w:t>Instructions concernant certaines positions</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7BE467C6" w14:textId="77777777">
        <w:tc>
          <w:tcPr>
            <w:tcW w:w="1389" w:type="dxa"/>
            <w:shd w:val="clear" w:color="auto" w:fill="D9D9D9"/>
          </w:tcPr>
          <w:p w14:paraId="57EB2AE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73D98C3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083388CA" w14:textId="77777777">
        <w:tc>
          <w:tcPr>
            <w:tcW w:w="1389" w:type="dxa"/>
          </w:tcPr>
          <w:p w14:paraId="046E22D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0010-0060</w:t>
            </w:r>
          </w:p>
        </w:tc>
        <w:tc>
          <w:tcPr>
            <w:tcW w:w="7620" w:type="dxa"/>
          </w:tcPr>
          <w:p w14:paraId="103AB0E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Identifiant de la contrepartie</w:t>
            </w:r>
          </w:p>
          <w:p w14:paraId="36A2376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L’entreprise d’invest</w:t>
            </w:r>
            <w:r w:rsidRPr="00BC256B">
              <w:rPr>
                <w:rFonts w:ascii="Times New Roman" w:hAnsi="Times New Roman"/>
                <w:bCs/>
                <w:sz w:val="24"/>
                <w:szCs w:val="24"/>
              </w:rPr>
              <w:t>issement fournit l’identifiant des contreparties ou des groupes de clients liés sur lesquels elle détient une exposition supérieure aux limites fixées à l’article 37, paragraphe 1, du règlement (UE) 2019/2033.</w:t>
            </w:r>
          </w:p>
        </w:tc>
      </w:tr>
      <w:tr w:rsidR="008C1FA5" w:rsidRPr="00BC256B" w14:paraId="6BBDB15A" w14:textId="77777777">
        <w:tc>
          <w:tcPr>
            <w:tcW w:w="1389" w:type="dxa"/>
          </w:tcPr>
          <w:p w14:paraId="3C136D3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5051F441"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7314459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t xml:space="preserve">Ce code, en tant que partie </w:t>
            </w:r>
            <w:r w:rsidRPr="00BC256B">
              <w:rPr>
                <w:rStyle w:val="FormatvorlageInstructionsTabelleText"/>
                <w:rFonts w:ascii="Times New Roman" w:hAnsi="Times New Roman"/>
                <w:sz w:val="24"/>
                <w:szCs w:val="24"/>
              </w:rPr>
              <w:t>d’un identifiant de ligne, doit être propre à chaque entité déclarée. Pour les entreprises d’investissement et les entreprises d’assurance, ce code est le code LEI. Pour les autres entités, il s’agit du code LEI ou, à défaut, d’un code national. Ce code es</w:t>
            </w:r>
            <w:r w:rsidRPr="00BC256B">
              <w:rPr>
                <w:rStyle w:val="FormatvorlageInstructionsTabelleText"/>
                <w:rFonts w:ascii="Times New Roman" w:hAnsi="Times New Roman"/>
                <w:sz w:val="24"/>
                <w:szCs w:val="24"/>
              </w:rPr>
              <w:t>t unique et il est utilisé de manière constante dans tous les modèles et au fil du temps. Sa valeur ne peut pas être nulle.</w:t>
            </w:r>
          </w:p>
        </w:tc>
      </w:tr>
      <w:tr w:rsidR="008C1FA5" w:rsidRPr="00BC256B" w14:paraId="1E3D9300" w14:textId="77777777">
        <w:tc>
          <w:tcPr>
            <w:tcW w:w="1389" w:type="dxa"/>
          </w:tcPr>
          <w:p w14:paraId="6749B64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11E23030"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2D5F60F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L’entreprise d’investissement identifie le type de code déclaré dans la colonne 0010 par la mention «Code LEI» ou</w:t>
            </w:r>
            <w:r w:rsidRPr="00BC256B">
              <w:rPr>
                <w:rFonts w:ascii="Times New Roman" w:hAnsi="Times New Roman"/>
                <w:bCs/>
                <w:sz w:val="24"/>
                <w:szCs w:val="24"/>
              </w:rPr>
              <w:t xml:space="preserve"> «Code national».</w:t>
            </w:r>
          </w:p>
          <w:p w14:paraId="3F1831D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 type de code doit toujours être déclaré.</w:t>
            </w:r>
          </w:p>
        </w:tc>
      </w:tr>
      <w:tr w:rsidR="008C1FA5" w:rsidRPr="00BC256B" w14:paraId="0CBF4BF8" w14:textId="77777777">
        <w:tc>
          <w:tcPr>
            <w:tcW w:w="1389" w:type="dxa"/>
          </w:tcPr>
          <w:p w14:paraId="3B3D24D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33BA3A2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0A557D9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Le nom à déclarer est celui de l’entreprise mère pour tout groupe de clients liés déclaré. Dans tous les autres cas, il s’agit du nom de la contrepartie elle-même.</w:t>
            </w:r>
          </w:p>
        </w:tc>
      </w:tr>
      <w:tr w:rsidR="008C1FA5" w:rsidRPr="00BC256B" w14:paraId="4E9236CD" w14:textId="77777777">
        <w:tc>
          <w:tcPr>
            <w:tcW w:w="1389" w:type="dxa"/>
          </w:tcPr>
          <w:p w14:paraId="21D21B3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146B210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w:t>
            </w:r>
            <w:r w:rsidRPr="00BC256B">
              <w:rPr>
                <w:rFonts w:ascii="Times New Roman" w:hAnsi="Times New Roman"/>
                <w:b/>
                <w:bCs/>
                <w:sz w:val="24"/>
                <w:szCs w:val="24"/>
                <w:u w:val="single"/>
              </w:rPr>
              <w:t>uel</w:t>
            </w:r>
          </w:p>
          <w:p w14:paraId="6CDF537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L’entreprise d’investissement indique «1», pour la déclaration d’expositions sur des clients individuels, ou «2», pour la déclaration d’expositions sur des groupes de clients liés.</w:t>
            </w:r>
          </w:p>
        </w:tc>
      </w:tr>
      <w:tr w:rsidR="008C1FA5" w:rsidRPr="00BC256B" w14:paraId="362CD712" w14:textId="77777777">
        <w:tc>
          <w:tcPr>
            <w:tcW w:w="1389" w:type="dxa"/>
          </w:tcPr>
          <w:p w14:paraId="5A4D3B6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5FECAB9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Type de contrepartie</w:t>
            </w:r>
          </w:p>
          <w:p w14:paraId="157FC38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Pour chaque exposition, </w:t>
            </w:r>
            <w:r w:rsidRPr="00BC256B">
              <w:rPr>
                <w:rFonts w:ascii="Times New Roman" w:hAnsi="Times New Roman"/>
                <w:bCs/>
                <w:sz w:val="24"/>
                <w:szCs w:val="24"/>
              </w:rPr>
              <w:t>l’entreprise d’investissement indique si elle est associée:</w:t>
            </w:r>
          </w:p>
          <w:p w14:paraId="617C0B2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1. à un établissement de crédit ou à un groupe de clients liés comprenant un établissement de crédit;</w:t>
            </w:r>
          </w:p>
          <w:p w14:paraId="6EC5729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 xml:space="preserve">2. à une entreprise d’investissement ou à un groupe de clients liés comprenant une entreprise </w:t>
            </w:r>
            <w:r w:rsidRPr="00BC256B">
              <w:rPr>
                <w:rFonts w:ascii="Times New Roman" w:hAnsi="Times New Roman"/>
                <w:bCs/>
                <w:sz w:val="24"/>
                <w:szCs w:val="24"/>
              </w:rPr>
              <w:t>d’investissement</w:t>
            </w:r>
          </w:p>
          <w:p w14:paraId="27CB1D3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3. à une contrepartie qui n’est ni un établissement de crédit, ni une entreprise d’investissement, ni un groupe de clients liés comprenant une entreprise d’investissement ou un établissement de crédit.</w:t>
            </w:r>
          </w:p>
        </w:tc>
      </w:tr>
      <w:tr w:rsidR="008C1FA5" w:rsidRPr="00BC256B" w14:paraId="419C0F2B" w14:textId="77777777">
        <w:tc>
          <w:tcPr>
            <w:tcW w:w="1389" w:type="dxa"/>
          </w:tcPr>
          <w:p w14:paraId="71438C5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0060-0110</w:t>
            </w:r>
          </w:p>
        </w:tc>
        <w:tc>
          <w:tcPr>
            <w:tcW w:w="7620" w:type="dxa"/>
          </w:tcPr>
          <w:p w14:paraId="476B549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Expositions du portefeuill</w:t>
            </w:r>
            <w:r w:rsidRPr="00BC256B">
              <w:rPr>
                <w:rFonts w:ascii="Times New Roman" w:hAnsi="Times New Roman"/>
                <w:b/>
                <w:bCs/>
                <w:sz w:val="24"/>
                <w:szCs w:val="24"/>
                <w:u w:val="single"/>
              </w:rPr>
              <w:t>e de négociation dépassant les limites fixées à l’article 37, paragraphe 1, du règlement (UE) 2019/2033</w:t>
            </w:r>
          </w:p>
          <w:p w14:paraId="7B99429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d’investissement fournit des informations sur chaque exposition calculée conformément aux articles 36 et 39 du règlement (UE) 2019/2033 qui</w:t>
            </w:r>
            <w:r w:rsidRPr="00BC256B">
              <w:rPr>
                <w:rFonts w:ascii="Times New Roman" w:hAnsi="Times New Roman"/>
                <w:bCs/>
                <w:sz w:val="24"/>
                <w:szCs w:val="24"/>
              </w:rPr>
              <w:t xml:space="preserve"> dépasse les limites fixées à l’article 37, paragraphe 1, du règlement (UE) 2019/2033.</w:t>
            </w:r>
          </w:p>
        </w:tc>
      </w:tr>
      <w:tr w:rsidR="008C1FA5" w:rsidRPr="00BC256B" w14:paraId="2DEF4108" w14:textId="77777777">
        <w:tc>
          <w:tcPr>
            <w:tcW w:w="1389" w:type="dxa"/>
          </w:tcPr>
          <w:p w14:paraId="1AFEB19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Pr>
          <w:p w14:paraId="37EF1CC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Valeur exposée au risque (EV)</w:t>
            </w:r>
          </w:p>
          <w:p w14:paraId="6B30105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36 du règlement (UE) 2019/2033.</w:t>
            </w:r>
          </w:p>
        </w:tc>
      </w:tr>
      <w:tr w:rsidR="008C1FA5" w:rsidRPr="00BC256B" w14:paraId="6014084F" w14:textId="77777777">
        <w:tc>
          <w:tcPr>
            <w:tcW w:w="1389" w:type="dxa"/>
          </w:tcPr>
          <w:p w14:paraId="4E9E939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Pr>
          <w:p w14:paraId="348FFC5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Valeur exposée au risque (en% des fonds propres)</w:t>
            </w:r>
          </w:p>
          <w:p w14:paraId="12D0673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Exposition calculée </w:t>
            </w:r>
            <w:r w:rsidRPr="00BC256B">
              <w:rPr>
                <w:rFonts w:ascii="Times New Roman" w:hAnsi="Times New Roman"/>
                <w:bCs/>
                <w:sz w:val="24"/>
                <w:szCs w:val="24"/>
              </w:rPr>
              <w:t>conformément à l’article 36 du règlement (UE) 2019/2033 et exprimée en pourcentage des fonds propres de l’entreprise.</w:t>
            </w:r>
          </w:p>
        </w:tc>
      </w:tr>
      <w:tr w:rsidR="008C1FA5" w:rsidRPr="00BC256B" w14:paraId="6FBBD993" w14:textId="77777777">
        <w:tc>
          <w:tcPr>
            <w:tcW w:w="1389" w:type="dxa"/>
          </w:tcPr>
          <w:p w14:paraId="7B8FB76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0080</w:t>
            </w:r>
          </w:p>
        </w:tc>
        <w:tc>
          <w:tcPr>
            <w:tcW w:w="7620" w:type="dxa"/>
          </w:tcPr>
          <w:p w14:paraId="537C028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Exigence de fonds propres pour l’exposition totale (OFR)</w:t>
            </w:r>
          </w:p>
          <w:p w14:paraId="57799E54" w14:textId="77777777" w:rsidR="008C1FA5" w:rsidRPr="00BC256B" w:rsidRDefault="00BC256B">
            <w:pPr>
              <w:autoSpaceDE w:val="0"/>
              <w:autoSpaceDN w:val="0"/>
              <w:adjustRightInd w:val="0"/>
              <w:spacing w:after="120" w:line="240" w:lineRule="auto"/>
              <w:rPr>
                <w:rFonts w:ascii="Times New Roman" w:eastAsia="Times New Roman" w:hAnsi="Times New Roman" w:cs="Times New Roman"/>
                <w:bCs/>
                <w:sz w:val="24"/>
                <w:szCs w:val="24"/>
              </w:rPr>
            </w:pPr>
            <w:r w:rsidRPr="00BC256B">
              <w:rPr>
                <w:rFonts w:ascii="Times New Roman" w:hAnsi="Times New Roman"/>
                <w:sz w:val="24"/>
                <w:szCs w:val="24"/>
              </w:rPr>
              <w:t xml:space="preserve">Exigence de fonds propres pour l’exposition totale sur la </w:t>
            </w:r>
            <w:r w:rsidRPr="00BC256B">
              <w:rPr>
                <w:rFonts w:ascii="Times New Roman" w:hAnsi="Times New Roman"/>
                <w:sz w:val="24"/>
                <w:szCs w:val="24"/>
              </w:rPr>
              <w:t>contrepartie ou le groupe de clients liés, obtenue en faisant la somme du montant total de K-TCD et de l’exigence de risque spécifique pour K-NPR pour l’exposition concernée.</w:t>
            </w:r>
          </w:p>
        </w:tc>
      </w:tr>
      <w:tr w:rsidR="008C1FA5" w:rsidRPr="00BC256B" w14:paraId="781782BF" w14:textId="77777777">
        <w:tc>
          <w:tcPr>
            <w:tcW w:w="1389" w:type="dxa"/>
          </w:tcPr>
          <w:p w14:paraId="1496CD2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w:t>
            </w:r>
          </w:p>
        </w:tc>
        <w:tc>
          <w:tcPr>
            <w:tcW w:w="7620" w:type="dxa"/>
          </w:tcPr>
          <w:p w14:paraId="7849D2B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Dépassement de la valeur exposée au risque (EVE)</w:t>
            </w:r>
          </w:p>
          <w:p w14:paraId="4324DBF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Montant calculé conforméme</w:t>
            </w:r>
            <w:r w:rsidRPr="00BC256B">
              <w:rPr>
                <w:rFonts w:ascii="Times New Roman" w:hAnsi="Times New Roman"/>
                <w:bCs/>
                <w:sz w:val="24"/>
                <w:szCs w:val="24"/>
              </w:rPr>
              <w:t>nt à l’article 37, paragraphe 2, deuxième alinéa, du règlement (UE) 2019/2033 pour l’exposition concernée.</w:t>
            </w:r>
          </w:p>
        </w:tc>
      </w:tr>
      <w:tr w:rsidR="008C1FA5" w:rsidRPr="00BC256B" w14:paraId="29E888E6" w14:textId="77777777">
        <w:tc>
          <w:tcPr>
            <w:tcW w:w="1389" w:type="dxa"/>
          </w:tcPr>
          <w:p w14:paraId="38FFC86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0100</w:t>
            </w:r>
          </w:p>
        </w:tc>
        <w:tc>
          <w:tcPr>
            <w:tcW w:w="7620" w:type="dxa"/>
          </w:tcPr>
          <w:p w14:paraId="47B9054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Durée du dépassement (en jours)</w:t>
            </w:r>
          </w:p>
          <w:p w14:paraId="200CE63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Nombre de jours écoulés depuis que l’exposition a commencé à dépasser la limite.</w:t>
            </w:r>
          </w:p>
        </w:tc>
      </w:tr>
      <w:tr w:rsidR="008C1FA5" w:rsidRPr="00BC256B" w14:paraId="46B670B6" w14:textId="77777777">
        <w:tc>
          <w:tcPr>
            <w:tcW w:w="1389" w:type="dxa"/>
          </w:tcPr>
          <w:p w14:paraId="58D8ACE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0110</w:t>
            </w:r>
          </w:p>
        </w:tc>
        <w:tc>
          <w:tcPr>
            <w:tcW w:w="7620" w:type="dxa"/>
          </w:tcPr>
          <w:p w14:paraId="0B6D1EF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Exigence de fonds propre</w:t>
            </w:r>
            <w:r w:rsidRPr="00BC256B">
              <w:rPr>
                <w:rFonts w:ascii="Times New Roman" w:hAnsi="Times New Roman"/>
                <w:b/>
                <w:bCs/>
                <w:sz w:val="24"/>
                <w:szCs w:val="24"/>
                <w:u w:val="single"/>
              </w:rPr>
              <w:t>s K-CON pour le dépassement (OFRE)</w:t>
            </w:r>
          </w:p>
          <w:p w14:paraId="74499A6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Montant calculé conformément à l’article 39, paragraphe 2, du règlement (UE) 2019/2033 pour l’exposition concernée.</w:t>
            </w:r>
          </w:p>
        </w:tc>
      </w:tr>
    </w:tbl>
    <w:p w14:paraId="600ECE9B" w14:textId="77777777" w:rsidR="008C1FA5" w:rsidRPr="00BC256B" w:rsidRDefault="00BC256B">
      <w:pPr>
        <w:pStyle w:val="Instructionsberschrift2"/>
        <w:ind w:left="357" w:hanging="357"/>
        <w:rPr>
          <w:rFonts w:ascii="Times New Roman" w:hAnsi="Times New Roman" w:cs="Times New Roman"/>
          <w:sz w:val="24"/>
        </w:rPr>
      </w:pPr>
      <w:bookmarkStart w:id="86" w:name="_Toc87024744"/>
      <w:r w:rsidRPr="00BC256B">
        <w:rPr>
          <w:rFonts w:ascii="Times New Roman" w:hAnsi="Times New Roman"/>
          <w:sz w:val="24"/>
        </w:rPr>
        <w:t>4.3. I 08.01 – NIVEAU DE RISQUE DE CONCENTRATION – FONDS DE CLIENTS DÉTENUS (I 8.1)</w:t>
      </w:r>
      <w:bookmarkEnd w:id="86"/>
    </w:p>
    <w:p w14:paraId="3318FE01" w14:textId="77777777" w:rsidR="008C1FA5" w:rsidRPr="00BC256B" w:rsidRDefault="00BC256B">
      <w:pPr>
        <w:pStyle w:val="Instructionsberschrift2"/>
        <w:ind w:left="357" w:hanging="357"/>
        <w:rPr>
          <w:rFonts w:ascii="Times New Roman" w:hAnsi="Times New Roman" w:cs="Times New Roman"/>
          <w:sz w:val="24"/>
          <w:u w:val="none"/>
        </w:rPr>
      </w:pPr>
      <w:bookmarkStart w:id="87" w:name="_Toc87024745"/>
      <w:r w:rsidRPr="00BC256B">
        <w:rPr>
          <w:rFonts w:ascii="Times New Roman" w:hAnsi="Times New Roman"/>
          <w:sz w:val="24"/>
          <w:u w:val="none"/>
        </w:rPr>
        <w:t>4.3.1.</w:t>
      </w:r>
      <w:r w:rsidRPr="00BC256B">
        <w:rPr>
          <w:rFonts w:ascii="Times New Roman" w:hAnsi="Times New Roman"/>
          <w:sz w:val="24"/>
          <w:u w:val="none"/>
        </w:rPr>
        <w:tab/>
      </w:r>
      <w:r w:rsidRPr="00BC256B">
        <w:rPr>
          <w:rFonts w:ascii="Times New Roman" w:hAnsi="Times New Roman"/>
          <w:sz w:val="24"/>
        </w:rPr>
        <w:t>Instructions par colonne</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7BE88412" w14:textId="77777777">
        <w:tc>
          <w:tcPr>
            <w:tcW w:w="1389" w:type="dxa"/>
            <w:shd w:val="clear" w:color="auto" w:fill="D9D9D9"/>
          </w:tcPr>
          <w:p w14:paraId="60D5433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70800FB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9931E51" w14:textId="77777777">
        <w:tc>
          <w:tcPr>
            <w:tcW w:w="1389" w:type="dxa"/>
          </w:tcPr>
          <w:p w14:paraId="221FB29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0010-0060</w:t>
            </w:r>
          </w:p>
        </w:tc>
        <w:tc>
          <w:tcPr>
            <w:tcW w:w="7620" w:type="dxa"/>
          </w:tcPr>
          <w:p w14:paraId="3512C45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CMH</w:t>
            </w:r>
          </w:p>
          <w:p w14:paraId="2C02F8A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 b), du règlement (UE) 2019/2033.</w:t>
            </w:r>
          </w:p>
          <w:p w14:paraId="0909D73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L’entreprise d’investissement fournit l’identifiant des cinq contreparties ou groupes de contrepa</w:t>
            </w:r>
            <w:r w:rsidRPr="00BC256B">
              <w:rPr>
                <w:rFonts w:ascii="Times New Roman" w:hAnsi="Times New Roman"/>
                <w:bCs/>
                <w:sz w:val="24"/>
                <w:szCs w:val="24"/>
              </w:rPr>
              <w:t xml:space="preserve">rties liées dans lesquels sont détenus les plus gros montants de fonds de clients. </w:t>
            </w:r>
          </w:p>
        </w:tc>
      </w:tr>
      <w:tr w:rsidR="008C1FA5" w:rsidRPr="00BC256B" w14:paraId="671672E5" w14:textId="77777777">
        <w:tc>
          <w:tcPr>
            <w:tcW w:w="1389" w:type="dxa"/>
          </w:tcPr>
          <w:p w14:paraId="7BFEFD7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0010</w:t>
            </w:r>
          </w:p>
        </w:tc>
        <w:tc>
          <w:tcPr>
            <w:tcW w:w="7620" w:type="dxa"/>
          </w:tcPr>
          <w:p w14:paraId="004F8C1D"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06BEF70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t xml:space="preserve">Ce code, en tant que partie d’un identifiant de ligne, doit être propre à chaque entité déclarée. Pour les entreprises d’investissement et les </w:t>
            </w:r>
            <w:r w:rsidRPr="00BC256B">
              <w:rPr>
                <w:rStyle w:val="FormatvorlageInstructionsTabelleText"/>
                <w:rFonts w:ascii="Times New Roman" w:hAnsi="Times New Roman"/>
                <w:sz w:val="24"/>
                <w:szCs w:val="24"/>
              </w:rPr>
              <w:t>entreprises d’assurance, ce code est le code LEI. Pour les autres entités, il s’agit du code LEI ou, à défaut, d’un code national. Ce code est unique et il est utilisé de manière constante dans tous les modèles et au fil du temps. Sa valeur ne peut pas êtr</w:t>
            </w:r>
            <w:r w:rsidRPr="00BC256B">
              <w:rPr>
                <w:rStyle w:val="FormatvorlageInstructionsTabelleText"/>
                <w:rFonts w:ascii="Times New Roman" w:hAnsi="Times New Roman"/>
                <w:sz w:val="24"/>
                <w:szCs w:val="24"/>
              </w:rPr>
              <w:t>e nulle.</w:t>
            </w:r>
          </w:p>
        </w:tc>
      </w:tr>
      <w:tr w:rsidR="008C1FA5" w:rsidRPr="00BC256B" w14:paraId="52E16E44" w14:textId="77777777">
        <w:tc>
          <w:tcPr>
            <w:tcW w:w="1389" w:type="dxa"/>
          </w:tcPr>
          <w:p w14:paraId="6342B6B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11694F5F"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1016B9C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L’entreprise d’investissement identifie le type de code déclaré dans la colonne 0010 par la mention «Code LEI» ou «Code national».</w:t>
            </w:r>
          </w:p>
        </w:tc>
      </w:tr>
      <w:tr w:rsidR="008C1FA5" w:rsidRPr="00BC256B" w14:paraId="606818DC" w14:textId="77777777">
        <w:tc>
          <w:tcPr>
            <w:tcW w:w="1389" w:type="dxa"/>
          </w:tcPr>
          <w:p w14:paraId="2D500D4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731A502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5382EA6C" w14:textId="77777777" w:rsidR="008C1FA5" w:rsidRPr="00BC256B" w:rsidRDefault="00BC256B">
            <w:pPr>
              <w:pStyle w:val="Default"/>
              <w:spacing w:after="120"/>
              <w:jc w:val="both"/>
              <w:rPr>
                <w:szCs w:val="23"/>
              </w:rPr>
            </w:pPr>
            <w:r w:rsidRPr="00BC256B">
              <w:t>Le nom à déclarer est celui de l’entreprise mère pour tout groupe de contreparties liée</w:t>
            </w:r>
            <w:r w:rsidRPr="00BC256B">
              <w:t xml:space="preserve">s déclaré. Dans tous les autres cas, il s’agit du nom de la contrepartie elle-même. </w:t>
            </w:r>
          </w:p>
        </w:tc>
      </w:tr>
      <w:tr w:rsidR="008C1FA5" w:rsidRPr="00BC256B" w14:paraId="2934CA1B" w14:textId="77777777">
        <w:tc>
          <w:tcPr>
            <w:tcW w:w="1389" w:type="dxa"/>
          </w:tcPr>
          <w:p w14:paraId="148E91C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3C7B61A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645EF047" w14:textId="77777777" w:rsidR="008C1FA5" w:rsidRPr="00BC256B" w:rsidRDefault="00BC256B">
            <w:pPr>
              <w:pStyle w:val="Default"/>
              <w:jc w:val="both"/>
            </w:pPr>
            <w:r w:rsidRPr="00BC256B">
              <w:t xml:space="preserve">L’entreprise indique «1», pour la déclaration d’expositions sur des clients individuels, ou «2», pour la déclaration d’expositions sur des groupes </w:t>
            </w:r>
            <w:r w:rsidRPr="00BC256B">
              <w:t xml:space="preserve">de clients liés. </w:t>
            </w:r>
          </w:p>
        </w:tc>
      </w:tr>
      <w:tr w:rsidR="008C1FA5" w:rsidRPr="00BC256B" w14:paraId="0231EE2E" w14:textId="77777777">
        <w:tc>
          <w:tcPr>
            <w:tcW w:w="1389" w:type="dxa"/>
          </w:tcPr>
          <w:p w14:paraId="693A406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7AC4A98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CMH à la date de déclaration</w:t>
            </w:r>
          </w:p>
          <w:p w14:paraId="65A83CD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L’entreprise déclare le montant total des fonds de clients à la date de déclaration.</w:t>
            </w:r>
          </w:p>
        </w:tc>
      </w:tr>
      <w:tr w:rsidR="008C1FA5" w:rsidRPr="00BC256B" w14:paraId="73563ADA" w14:textId="77777777">
        <w:tc>
          <w:tcPr>
            <w:tcW w:w="1389" w:type="dxa"/>
          </w:tcPr>
          <w:p w14:paraId="508AFC6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Pr>
          <w:p w14:paraId="7F02D7C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Pourcentage des fonds de clients détenus dans cet établissement</w:t>
            </w:r>
          </w:p>
          <w:p w14:paraId="2B1C2F7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L’entreprise déclare le montant des </w:t>
            </w:r>
            <w:r w:rsidRPr="00BC256B">
              <w:rPr>
                <w:rFonts w:ascii="Times New Roman" w:hAnsi="Times New Roman"/>
                <w:bCs/>
                <w:sz w:val="24"/>
                <w:szCs w:val="24"/>
              </w:rPr>
              <w:t>fonds de clients détenus à la date de déclaration dans chacune des contreparties, ou dans chacun des groupes de contreparties liées, sur lesquels porte la déclaration, exprimé en pourcentage du total (déclaré dans la colonne 0050).</w:t>
            </w:r>
          </w:p>
        </w:tc>
      </w:tr>
    </w:tbl>
    <w:p w14:paraId="4E1CADBD" w14:textId="77777777" w:rsidR="008C1FA5" w:rsidRPr="00BC256B" w:rsidRDefault="008C1FA5">
      <w:pPr>
        <w:spacing w:after="0"/>
        <w:rPr>
          <w:rFonts w:ascii="Times New Roman" w:hAnsi="Times New Roman" w:cs="Times New Roman"/>
          <w:u w:val="single"/>
        </w:rPr>
      </w:pPr>
    </w:p>
    <w:p w14:paraId="3D41FEE8" w14:textId="77777777" w:rsidR="008C1FA5" w:rsidRPr="00BC256B" w:rsidRDefault="00BC256B">
      <w:pPr>
        <w:pStyle w:val="Instructionsberschrift2"/>
        <w:ind w:left="357" w:hanging="357"/>
        <w:rPr>
          <w:rFonts w:ascii="Times New Roman" w:hAnsi="Times New Roman" w:cs="Times New Roman"/>
          <w:sz w:val="24"/>
        </w:rPr>
      </w:pPr>
      <w:bookmarkStart w:id="88" w:name="_Toc87024746"/>
      <w:r w:rsidRPr="00BC256B">
        <w:rPr>
          <w:rFonts w:ascii="Times New Roman" w:hAnsi="Times New Roman"/>
          <w:sz w:val="24"/>
        </w:rPr>
        <w:t xml:space="preserve">4.4. I 08.02 – NIVEAU </w:t>
      </w:r>
      <w:r w:rsidRPr="00BC256B">
        <w:rPr>
          <w:rFonts w:ascii="Times New Roman" w:hAnsi="Times New Roman"/>
          <w:sz w:val="24"/>
        </w:rPr>
        <w:t>DE RISQUE DE CONCENTRATION – ACTIFS CONSERVÉS ET ADMINISTRÉS (I 8.2)</w:t>
      </w:r>
      <w:bookmarkEnd w:id="88"/>
    </w:p>
    <w:p w14:paraId="27DCDC8E" w14:textId="77777777" w:rsidR="008C1FA5" w:rsidRPr="00BC256B" w:rsidRDefault="00BC256B">
      <w:pPr>
        <w:pStyle w:val="Instructionsberschrift2"/>
        <w:ind w:left="357" w:hanging="357"/>
        <w:rPr>
          <w:rFonts w:ascii="Times New Roman" w:hAnsi="Times New Roman" w:cs="Times New Roman"/>
          <w:sz w:val="24"/>
          <w:u w:val="none"/>
        </w:rPr>
      </w:pPr>
      <w:bookmarkStart w:id="89" w:name="_Toc87024747"/>
      <w:r w:rsidRPr="00BC256B">
        <w:rPr>
          <w:rFonts w:ascii="Times New Roman" w:hAnsi="Times New Roman"/>
          <w:sz w:val="24"/>
          <w:u w:val="none"/>
        </w:rPr>
        <w:t>4.4.1.</w:t>
      </w:r>
      <w:r w:rsidRPr="00BC256B">
        <w:rPr>
          <w:rFonts w:ascii="Times New Roman" w:hAnsi="Times New Roman"/>
          <w:sz w:val="24"/>
          <w:u w:val="none"/>
        </w:rPr>
        <w:tab/>
      </w:r>
      <w:r w:rsidRPr="00BC256B">
        <w:rPr>
          <w:rFonts w:ascii="Times New Roman" w:hAnsi="Times New Roman"/>
          <w:sz w:val="24"/>
        </w:rPr>
        <w:t>Instructions par colonne</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5C2743BA" w14:textId="77777777">
        <w:tc>
          <w:tcPr>
            <w:tcW w:w="1389" w:type="dxa"/>
            <w:shd w:val="clear" w:color="auto" w:fill="D9D9D9"/>
          </w:tcPr>
          <w:p w14:paraId="5F05F7F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0307C5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4814E897" w14:textId="77777777">
        <w:tc>
          <w:tcPr>
            <w:tcW w:w="1389" w:type="dxa"/>
          </w:tcPr>
          <w:p w14:paraId="695E0CB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0010-0060</w:t>
            </w:r>
          </w:p>
        </w:tc>
        <w:tc>
          <w:tcPr>
            <w:tcW w:w="7620" w:type="dxa"/>
          </w:tcPr>
          <w:p w14:paraId="581B9B2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ASA</w:t>
            </w:r>
          </w:p>
          <w:p w14:paraId="361C27F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 c), du règlement (UE) 2019/2033.</w:t>
            </w:r>
          </w:p>
          <w:p w14:paraId="7136382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fournit l’identifiant des cinq contreparties, ou groupes de contreparties liées, auprès desquels sont déposés les plus gros montants de titres de clients. </w:t>
            </w:r>
          </w:p>
        </w:tc>
      </w:tr>
      <w:tr w:rsidR="008C1FA5" w:rsidRPr="00BC256B" w14:paraId="58DD61F6" w14:textId="77777777">
        <w:tc>
          <w:tcPr>
            <w:tcW w:w="1389" w:type="dxa"/>
          </w:tcPr>
          <w:p w14:paraId="652BBA2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59914714"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3560AD1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lastRenderedPageBreak/>
              <w:t>Ce code, en tant que partie d’un identifiant de ligne, doit être propre à ch</w:t>
            </w:r>
            <w:r w:rsidRPr="00BC256B">
              <w:rPr>
                <w:rStyle w:val="FormatvorlageInstructionsTabelleText"/>
                <w:rFonts w:ascii="Times New Roman" w:hAnsi="Times New Roman"/>
                <w:sz w:val="24"/>
                <w:szCs w:val="24"/>
              </w:rPr>
              <w:t xml:space="preserve">aque entité déclarée. Pour les entreprises d’investissement et les entreprises d’assurance, ce code est le code LEI. Pour les autres entités, il s’agit du code LEI ou, à défaut, d’un code national. Ce code est unique et il est utilisé de manière constante </w:t>
            </w:r>
            <w:r w:rsidRPr="00BC256B">
              <w:rPr>
                <w:rStyle w:val="FormatvorlageInstructionsTabelleText"/>
                <w:rFonts w:ascii="Times New Roman" w:hAnsi="Times New Roman"/>
                <w:sz w:val="24"/>
                <w:szCs w:val="24"/>
              </w:rPr>
              <w:t>dans tous les modèles et au fil du temps. Sa valeur ne peut pas être nulle.</w:t>
            </w:r>
          </w:p>
        </w:tc>
      </w:tr>
      <w:tr w:rsidR="008C1FA5" w:rsidRPr="00BC256B" w14:paraId="15A112DA" w14:textId="77777777">
        <w:tc>
          <w:tcPr>
            <w:tcW w:w="1389" w:type="dxa"/>
          </w:tcPr>
          <w:p w14:paraId="4003F7F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Pr>
          <w:p w14:paraId="734C2075"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4A861A0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d’investissement identifie le type de code déclaré dans la colonne 0010 par la mention «Code LEI» ou «Code national».</w:t>
            </w:r>
          </w:p>
        </w:tc>
      </w:tr>
      <w:tr w:rsidR="008C1FA5" w:rsidRPr="00BC256B" w14:paraId="19D02E48" w14:textId="77777777">
        <w:tc>
          <w:tcPr>
            <w:tcW w:w="1389" w:type="dxa"/>
          </w:tcPr>
          <w:p w14:paraId="5F5CF14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0BA1714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4B83C95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 xml:space="preserve">Le nom à </w:t>
            </w:r>
            <w:r w:rsidRPr="00BC256B">
              <w:rPr>
                <w:rFonts w:ascii="Times New Roman" w:hAnsi="Times New Roman"/>
                <w:sz w:val="24"/>
                <w:szCs w:val="23"/>
              </w:rPr>
              <w:t>déclarer est celui de l’entreprise mère, pour chaque groupe de contreparties liées déclaré. Dans tous les autres cas, il s’agit du nom de la contrepartie elle-même.</w:t>
            </w:r>
          </w:p>
        </w:tc>
      </w:tr>
      <w:tr w:rsidR="008C1FA5" w:rsidRPr="00BC256B" w14:paraId="75517358" w14:textId="77777777">
        <w:tc>
          <w:tcPr>
            <w:tcW w:w="1389" w:type="dxa"/>
          </w:tcPr>
          <w:p w14:paraId="628C368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3815BA7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349FD2CE" w14:textId="77777777" w:rsidR="008C1FA5" w:rsidRPr="00BC256B" w:rsidRDefault="00BC256B">
            <w:pPr>
              <w:pStyle w:val="Default"/>
              <w:jc w:val="both"/>
              <w:rPr>
                <w:szCs w:val="23"/>
              </w:rPr>
            </w:pPr>
            <w:r w:rsidRPr="00BC256B">
              <w:t xml:space="preserve">L’entreprise indique «1», pour la déclaration </w:t>
            </w:r>
            <w:r w:rsidRPr="00BC256B">
              <w:t>d’expositions sur des clients individuels, ou «2», pour la déclaration d’expositions sur des groupes de clients liés.</w:t>
            </w:r>
          </w:p>
          <w:p w14:paraId="726705AB" w14:textId="77777777" w:rsidR="008C1FA5" w:rsidRPr="00BC256B" w:rsidRDefault="008C1FA5">
            <w:pPr>
              <w:pStyle w:val="Default"/>
              <w:jc w:val="both"/>
              <w:rPr>
                <w:szCs w:val="23"/>
              </w:rPr>
            </w:pPr>
          </w:p>
        </w:tc>
      </w:tr>
      <w:tr w:rsidR="008C1FA5" w:rsidRPr="00BC256B" w14:paraId="701FF9B7" w14:textId="77777777">
        <w:tc>
          <w:tcPr>
            <w:tcW w:w="1389" w:type="dxa"/>
          </w:tcPr>
          <w:p w14:paraId="50C2EB7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60D0B8E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ASA à la date de déclaration</w:t>
            </w:r>
          </w:p>
          <w:p w14:paraId="4252735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indique le montant total des titres de clients déposés auprès de chaque établis</w:t>
            </w:r>
            <w:r w:rsidRPr="00BC256B">
              <w:rPr>
                <w:rFonts w:ascii="Times New Roman" w:hAnsi="Times New Roman"/>
                <w:bCs/>
                <w:sz w:val="24"/>
                <w:szCs w:val="24"/>
              </w:rPr>
              <w:t>sement à la date de déclaration.</w:t>
            </w:r>
          </w:p>
        </w:tc>
      </w:tr>
      <w:tr w:rsidR="008C1FA5" w:rsidRPr="00BC256B" w14:paraId="03BC682B" w14:textId="77777777">
        <w:tc>
          <w:tcPr>
            <w:tcW w:w="1389" w:type="dxa"/>
          </w:tcPr>
          <w:p w14:paraId="15BBE04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Pr>
          <w:p w14:paraId="63972AB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Pourcentage de titres de clients déposés auprès de cet établissement</w:t>
            </w:r>
          </w:p>
          <w:p w14:paraId="394E165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indique le montant, à la date de déclaration, des titres de clients déposés auprès de chacune des contreparties, ou de chacun des </w:t>
            </w:r>
            <w:r w:rsidRPr="00BC256B">
              <w:rPr>
                <w:rFonts w:ascii="Times New Roman" w:hAnsi="Times New Roman"/>
                <w:bCs/>
                <w:sz w:val="24"/>
                <w:szCs w:val="24"/>
              </w:rPr>
              <w:t>groupes de contreparties liées, sur lesquels porte la déclaration, exprimé en pourcentage du total (déclaré dans la colonne 0050).</w:t>
            </w:r>
          </w:p>
        </w:tc>
      </w:tr>
    </w:tbl>
    <w:p w14:paraId="6DF4FB8E" w14:textId="77777777" w:rsidR="008C1FA5" w:rsidRPr="00BC256B" w:rsidRDefault="008C1FA5">
      <w:pPr>
        <w:spacing w:after="0"/>
        <w:rPr>
          <w:rFonts w:ascii="Times New Roman" w:hAnsi="Times New Roman" w:cs="Times New Roman"/>
          <w:u w:val="single"/>
        </w:rPr>
      </w:pPr>
    </w:p>
    <w:p w14:paraId="6A6370CB" w14:textId="77777777" w:rsidR="008C1FA5" w:rsidRPr="00BC256B" w:rsidRDefault="00BC256B">
      <w:pPr>
        <w:pStyle w:val="Instructionsberschrift2"/>
        <w:ind w:left="357" w:hanging="357"/>
        <w:rPr>
          <w:rFonts w:ascii="Times New Roman" w:hAnsi="Times New Roman" w:cs="Times New Roman"/>
          <w:sz w:val="24"/>
        </w:rPr>
      </w:pPr>
      <w:bookmarkStart w:id="90" w:name="_Toc87024748"/>
      <w:r w:rsidRPr="00BC256B">
        <w:rPr>
          <w:rFonts w:ascii="Times New Roman" w:hAnsi="Times New Roman"/>
          <w:sz w:val="24"/>
        </w:rPr>
        <w:t>4.5. I 08.03 – NIVEAU DE RISQUE DE CONCENTRATION – TOTAL DES DÉPÔTS DE TRÉSORERIE (I 8.3)</w:t>
      </w:r>
      <w:bookmarkEnd w:id="90"/>
    </w:p>
    <w:p w14:paraId="03EAFF7B" w14:textId="77777777" w:rsidR="008C1FA5" w:rsidRPr="00BC256B" w:rsidRDefault="00BC256B">
      <w:pPr>
        <w:pStyle w:val="Instructionsberschrift2"/>
        <w:ind w:left="357" w:hanging="357"/>
        <w:rPr>
          <w:rFonts w:ascii="Times New Roman" w:hAnsi="Times New Roman" w:cs="Times New Roman"/>
          <w:sz w:val="24"/>
          <w:u w:val="none"/>
        </w:rPr>
      </w:pPr>
      <w:bookmarkStart w:id="91" w:name="_Toc87024749"/>
      <w:r w:rsidRPr="00BC256B">
        <w:rPr>
          <w:rFonts w:ascii="Times New Roman" w:hAnsi="Times New Roman"/>
          <w:sz w:val="24"/>
          <w:u w:val="none"/>
        </w:rPr>
        <w:t>4.5.1.</w:t>
      </w:r>
      <w:r w:rsidRPr="00BC256B">
        <w:rPr>
          <w:rFonts w:ascii="Times New Roman" w:hAnsi="Times New Roman"/>
          <w:sz w:val="24"/>
          <w:u w:val="none"/>
        </w:rPr>
        <w:tab/>
      </w:r>
      <w:r w:rsidRPr="00BC256B">
        <w:rPr>
          <w:rFonts w:ascii="Times New Roman" w:hAnsi="Times New Roman"/>
          <w:sz w:val="24"/>
        </w:rPr>
        <w:t>Instructions par colonne</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1F9C924C" w14:textId="77777777">
        <w:tc>
          <w:tcPr>
            <w:tcW w:w="1389" w:type="dxa"/>
            <w:shd w:val="clear" w:color="auto" w:fill="D9D9D9"/>
          </w:tcPr>
          <w:p w14:paraId="6957BC1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w:t>
            </w:r>
            <w:r w:rsidRPr="00BC256B">
              <w:rPr>
                <w:rFonts w:ascii="Times New Roman" w:hAnsi="Times New Roman"/>
                <w:sz w:val="24"/>
                <w:szCs w:val="24"/>
              </w:rPr>
              <w:t>olonnes</w:t>
            </w:r>
          </w:p>
        </w:tc>
        <w:tc>
          <w:tcPr>
            <w:tcW w:w="7620" w:type="dxa"/>
            <w:shd w:val="clear" w:color="auto" w:fill="D9D9D9"/>
          </w:tcPr>
          <w:p w14:paraId="65D7B73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3F124513" w14:textId="77777777">
        <w:tc>
          <w:tcPr>
            <w:tcW w:w="1389" w:type="dxa"/>
          </w:tcPr>
          <w:p w14:paraId="54A534D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0010-0060</w:t>
            </w:r>
          </w:p>
        </w:tc>
        <w:tc>
          <w:tcPr>
            <w:tcW w:w="7620" w:type="dxa"/>
          </w:tcPr>
          <w:p w14:paraId="60E9F88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dépôts de trésorerie</w:t>
            </w:r>
          </w:p>
          <w:p w14:paraId="0AEFF84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points d) et f), du règlement (UE) 2019/2033.</w:t>
            </w:r>
          </w:p>
          <w:p w14:paraId="3314C69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fournit l’identifiant des cinq contreparties ou groupes de contreparties liées auprès desquels sont déposés ses plus gros montants de trésorerie. </w:t>
            </w:r>
          </w:p>
        </w:tc>
      </w:tr>
      <w:tr w:rsidR="008C1FA5" w:rsidRPr="00BC256B" w14:paraId="48421DE3" w14:textId="77777777">
        <w:tc>
          <w:tcPr>
            <w:tcW w:w="1389" w:type="dxa"/>
          </w:tcPr>
          <w:p w14:paraId="3AF0BDA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40A94C2C"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39DC01E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t xml:space="preserve">Ce code, en tant que partie d’un identifiant de ligne, doit être propre à </w:t>
            </w:r>
            <w:r w:rsidRPr="00BC256B">
              <w:rPr>
                <w:rStyle w:val="FormatvorlageInstructionsTabelleText"/>
                <w:rFonts w:ascii="Times New Roman" w:hAnsi="Times New Roman"/>
                <w:sz w:val="24"/>
                <w:szCs w:val="24"/>
              </w:rPr>
              <w:t xml:space="preserve">chaque entité déclarée. Pour les entreprises d’investissement et les entreprises d’assurance, ce code est le code LEI. Pour les autres entités, il s’agit du code LEI ou, à défaut, d’un code national. Ce code est unique et il est utilisé de </w:t>
            </w:r>
            <w:r w:rsidRPr="00BC256B">
              <w:rPr>
                <w:rStyle w:val="FormatvorlageInstructionsTabelleText"/>
                <w:rFonts w:ascii="Times New Roman" w:hAnsi="Times New Roman"/>
                <w:sz w:val="24"/>
                <w:szCs w:val="24"/>
              </w:rPr>
              <w:lastRenderedPageBreak/>
              <w:t>manière constant</w:t>
            </w:r>
            <w:r w:rsidRPr="00BC256B">
              <w:rPr>
                <w:rStyle w:val="FormatvorlageInstructionsTabelleText"/>
                <w:rFonts w:ascii="Times New Roman" w:hAnsi="Times New Roman"/>
                <w:sz w:val="24"/>
                <w:szCs w:val="24"/>
              </w:rPr>
              <w:t>e dans tous les modèles et au fil du temps. Sa valeur ne peut pas être nulle.</w:t>
            </w:r>
          </w:p>
        </w:tc>
      </w:tr>
      <w:tr w:rsidR="008C1FA5" w:rsidRPr="00BC256B" w14:paraId="09222739" w14:textId="77777777">
        <w:tc>
          <w:tcPr>
            <w:tcW w:w="1389" w:type="dxa"/>
          </w:tcPr>
          <w:p w14:paraId="2B8169E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Pr>
          <w:p w14:paraId="1EC9887C" w14:textId="77777777" w:rsidR="008C1FA5" w:rsidRPr="00BC256B" w:rsidRDefault="00BC256B">
            <w:pPr>
              <w:pStyle w:val="InstructionsText"/>
              <w:rPr>
                <w:rStyle w:val="InstructionsTabelleberschrift"/>
                <w:rFonts w:ascii="Times New Roman" w:eastAsiaTheme="minorHAnsi" w:hAnsi="Times New Roman"/>
                <w:bCs/>
                <w:sz w:val="24"/>
                <w:szCs w:val="22"/>
              </w:rPr>
            </w:pPr>
            <w:r w:rsidRPr="00BC256B">
              <w:rPr>
                <w:rStyle w:val="InstructionsTabelleberschrift"/>
                <w:rFonts w:ascii="Times New Roman" w:hAnsi="Times New Roman"/>
                <w:sz w:val="24"/>
              </w:rPr>
              <w:t>Type de code</w:t>
            </w:r>
          </w:p>
          <w:p w14:paraId="3485B94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d’investissement identifie le type de code déclaré dans la colonne 0010 par la mention «Code LEI» ou «Code national».</w:t>
            </w:r>
          </w:p>
        </w:tc>
      </w:tr>
      <w:tr w:rsidR="008C1FA5" w:rsidRPr="00BC256B" w14:paraId="42963CFC" w14:textId="77777777">
        <w:tc>
          <w:tcPr>
            <w:tcW w:w="1389" w:type="dxa"/>
          </w:tcPr>
          <w:p w14:paraId="7E47794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170505F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36C1C45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 xml:space="preserve">Le nom à </w:t>
            </w:r>
            <w:r w:rsidRPr="00BC256B">
              <w:rPr>
                <w:rFonts w:ascii="Times New Roman" w:hAnsi="Times New Roman"/>
                <w:sz w:val="24"/>
                <w:szCs w:val="23"/>
              </w:rPr>
              <w:t>déclarer est celui de l’entreprise mère, pour chaque groupe de contreparties liées déclaré. Dans tous les autres cas, il s’agit du nom de la contrepartie elle-même.</w:t>
            </w:r>
          </w:p>
        </w:tc>
      </w:tr>
      <w:tr w:rsidR="008C1FA5" w:rsidRPr="00BC256B" w14:paraId="3051CCB6" w14:textId="77777777">
        <w:tc>
          <w:tcPr>
            <w:tcW w:w="1389" w:type="dxa"/>
          </w:tcPr>
          <w:p w14:paraId="18AE614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74D75A9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04BBB66B" w14:textId="77777777" w:rsidR="008C1FA5" w:rsidRPr="00BC256B" w:rsidRDefault="00BC256B">
            <w:pPr>
              <w:pStyle w:val="Default"/>
              <w:spacing w:after="120"/>
              <w:jc w:val="both"/>
              <w:rPr>
                <w:szCs w:val="23"/>
              </w:rPr>
            </w:pPr>
            <w:r w:rsidRPr="00BC256B">
              <w:t>L’entreprise indique «1», pour la déclaration d’expositions sur des</w:t>
            </w:r>
            <w:r w:rsidRPr="00BC256B">
              <w:t xml:space="preserve"> clients individuels, ou «2», pour la déclaration d’expositions sur des groupes de clients liés. </w:t>
            </w:r>
          </w:p>
        </w:tc>
      </w:tr>
      <w:tr w:rsidR="008C1FA5" w:rsidRPr="00BC256B" w14:paraId="1B48435A" w14:textId="77777777">
        <w:tc>
          <w:tcPr>
            <w:tcW w:w="1389" w:type="dxa"/>
          </w:tcPr>
          <w:p w14:paraId="4D27318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73A469A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Montant des dépôts de trésorerie de l’entreprise constitués auprès de l’établissement</w:t>
            </w:r>
          </w:p>
          <w:p w14:paraId="0576027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indique le montant total de trésorerie détenu auprès </w:t>
            </w:r>
            <w:r w:rsidRPr="00BC256B">
              <w:rPr>
                <w:rFonts w:ascii="Times New Roman" w:hAnsi="Times New Roman"/>
                <w:bCs/>
                <w:sz w:val="24"/>
                <w:szCs w:val="24"/>
              </w:rPr>
              <w:t>de chaque établissement à la date de déclaration.</w:t>
            </w:r>
          </w:p>
        </w:tc>
      </w:tr>
      <w:tr w:rsidR="008C1FA5" w:rsidRPr="00BC256B" w14:paraId="4CE77DEE" w14:textId="77777777">
        <w:tc>
          <w:tcPr>
            <w:tcW w:w="1389" w:type="dxa"/>
          </w:tcPr>
          <w:p w14:paraId="3E4CA42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Pr>
          <w:p w14:paraId="1D42E29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Pourcentage de trésorerie de l’entreprise déposé auprès de l’établissement</w:t>
            </w:r>
          </w:p>
          <w:p w14:paraId="29FC3E1C"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indique le montant, à la date de déclaration, de ses dépôts de trésorerie</w:t>
            </w:r>
            <w:r w:rsidRPr="00BC256B">
              <w:rPr>
                <w:rFonts w:ascii="Times New Roman" w:hAnsi="Times New Roman"/>
                <w:b/>
                <w:bCs/>
                <w:sz w:val="24"/>
                <w:szCs w:val="24"/>
              </w:rPr>
              <w:t xml:space="preserve"> </w:t>
            </w:r>
            <w:r w:rsidRPr="00BC256B">
              <w:rPr>
                <w:rFonts w:ascii="Times New Roman" w:hAnsi="Times New Roman"/>
                <w:bCs/>
                <w:sz w:val="24"/>
                <w:szCs w:val="24"/>
              </w:rPr>
              <w:t xml:space="preserve">auprès de chacune des </w:t>
            </w:r>
            <w:r w:rsidRPr="00BC256B">
              <w:rPr>
                <w:rFonts w:ascii="Times New Roman" w:hAnsi="Times New Roman"/>
                <w:bCs/>
                <w:sz w:val="24"/>
                <w:szCs w:val="24"/>
              </w:rPr>
              <w:t>contreparties, ou de chacun des groupes de contreparties liées, mentionnés dans la déclaration, exprimé en pourcentage du montant total de sa trésorerie.</w:t>
            </w:r>
          </w:p>
        </w:tc>
      </w:tr>
    </w:tbl>
    <w:p w14:paraId="67D6F16B" w14:textId="77777777" w:rsidR="008C1FA5" w:rsidRPr="00BC256B" w:rsidRDefault="008C1FA5">
      <w:pPr>
        <w:spacing w:after="0"/>
        <w:rPr>
          <w:rFonts w:ascii="Times New Roman" w:hAnsi="Times New Roman" w:cs="Times New Roman"/>
          <w:u w:val="single"/>
        </w:rPr>
      </w:pPr>
    </w:p>
    <w:p w14:paraId="3BF88D88" w14:textId="77777777" w:rsidR="008C1FA5" w:rsidRPr="00BC256B" w:rsidRDefault="00BC256B">
      <w:pPr>
        <w:pStyle w:val="Instructionsberschrift2"/>
        <w:ind w:left="357" w:hanging="357"/>
        <w:rPr>
          <w:rFonts w:ascii="Times New Roman" w:hAnsi="Times New Roman" w:cs="Times New Roman"/>
          <w:sz w:val="24"/>
        </w:rPr>
      </w:pPr>
      <w:bookmarkStart w:id="92" w:name="_Toc87024750"/>
      <w:r w:rsidRPr="00BC256B">
        <w:rPr>
          <w:rFonts w:ascii="Times New Roman" w:hAnsi="Times New Roman"/>
          <w:sz w:val="24"/>
        </w:rPr>
        <w:t>4.6.</w:t>
      </w:r>
      <w:r w:rsidRPr="00BC256B">
        <w:rPr>
          <w:rFonts w:ascii="Times New Roman" w:hAnsi="Times New Roman"/>
          <w:sz w:val="24"/>
          <w:u w:val="none"/>
        </w:rPr>
        <w:t xml:space="preserve"> </w:t>
      </w:r>
      <w:r w:rsidRPr="00BC256B">
        <w:rPr>
          <w:rFonts w:ascii="Times New Roman" w:hAnsi="Times New Roman"/>
          <w:sz w:val="24"/>
        </w:rPr>
        <w:t>I 08.04 – NIVEAU DE RISQUE DE CONCENTRATION – TOTAL DES BÉNÉFICES (I 8.4)</w:t>
      </w:r>
      <w:bookmarkEnd w:id="92"/>
    </w:p>
    <w:p w14:paraId="495A7751" w14:textId="77777777" w:rsidR="008C1FA5" w:rsidRPr="00BC256B" w:rsidRDefault="00BC256B">
      <w:pPr>
        <w:pStyle w:val="Instructionsberschrift2"/>
        <w:ind w:left="357" w:hanging="357"/>
        <w:rPr>
          <w:rFonts w:ascii="Times New Roman" w:hAnsi="Times New Roman" w:cs="Times New Roman"/>
        </w:rPr>
      </w:pPr>
      <w:bookmarkStart w:id="93" w:name="_Toc87024751"/>
      <w:r w:rsidRPr="00BC256B">
        <w:rPr>
          <w:rFonts w:ascii="Times New Roman" w:hAnsi="Times New Roman"/>
          <w:sz w:val="24"/>
          <w:u w:val="none"/>
        </w:rPr>
        <w:t>4.6.1.</w:t>
      </w:r>
      <w:r w:rsidRPr="00BC256B">
        <w:rPr>
          <w:rFonts w:ascii="Times New Roman" w:hAnsi="Times New Roman"/>
          <w:sz w:val="24"/>
          <w:u w:val="none"/>
        </w:rPr>
        <w:tab/>
      </w:r>
      <w:r w:rsidRPr="00BC256B">
        <w:rPr>
          <w:rFonts w:ascii="Times New Roman" w:hAnsi="Times New Roman"/>
          <w:sz w:val="24"/>
        </w:rPr>
        <w:t>Instructions par colonne</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3AE89125" w14:textId="77777777">
        <w:tc>
          <w:tcPr>
            <w:tcW w:w="1389" w:type="dxa"/>
            <w:shd w:val="clear" w:color="auto" w:fill="D9D9D9"/>
          </w:tcPr>
          <w:p w14:paraId="2EA0414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54F44AD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3CAD5C1" w14:textId="77777777">
        <w:tc>
          <w:tcPr>
            <w:tcW w:w="1389" w:type="dxa"/>
          </w:tcPr>
          <w:p w14:paraId="07150D4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0010-0080</w:t>
            </w:r>
          </w:p>
        </w:tc>
        <w:tc>
          <w:tcPr>
            <w:tcW w:w="7620" w:type="dxa"/>
          </w:tcPr>
          <w:p w14:paraId="4DAA8E7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bénéfices</w:t>
            </w:r>
          </w:p>
          <w:p w14:paraId="232958B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 e), du règlement (UE) 2019/2033.</w:t>
            </w:r>
          </w:p>
          <w:p w14:paraId="043DD96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fournit l’identifiant des cinq clients ou groupes de clients liés dont </w:t>
            </w:r>
            <w:r w:rsidRPr="00BC256B">
              <w:rPr>
                <w:rFonts w:ascii="Times New Roman" w:hAnsi="Times New Roman"/>
                <w:bCs/>
                <w:sz w:val="24"/>
                <w:szCs w:val="24"/>
              </w:rPr>
              <w:t>elle tire ses plus gros bénéfices.</w:t>
            </w:r>
          </w:p>
        </w:tc>
      </w:tr>
      <w:tr w:rsidR="008C1FA5" w:rsidRPr="00BC256B" w14:paraId="5C6FDF40" w14:textId="77777777">
        <w:tc>
          <w:tcPr>
            <w:tcW w:w="1389" w:type="dxa"/>
          </w:tcPr>
          <w:p w14:paraId="27773EE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24B606EE"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7634A37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Style w:val="FormatvorlageInstructionsTabelleText"/>
                <w:rFonts w:ascii="Times New Roman" w:hAnsi="Times New Roman"/>
                <w:sz w:val="24"/>
                <w:szCs w:val="24"/>
              </w:rPr>
              <w:t>Ce code, en tant que partie d’un identifiant de ligne, doit être propre à chaque entité déclarée. Pour les entreprises d’investissement et les entreprises d’assurance, ce code est le code LEI. Pour les autres e</w:t>
            </w:r>
            <w:r w:rsidRPr="00BC256B">
              <w:rPr>
                <w:rStyle w:val="FormatvorlageInstructionsTabelleText"/>
                <w:rFonts w:ascii="Times New Roman" w:hAnsi="Times New Roman"/>
                <w:sz w:val="24"/>
                <w:szCs w:val="24"/>
              </w:rPr>
              <w:t>ntités, il s’agit du code LEI ou, à défaut, d’un code national. Ce code est unique et il est utilisé de manière constante dans tous les modèles et au fil du temps. Sa valeur ne peut pas être nulle.</w:t>
            </w:r>
          </w:p>
        </w:tc>
      </w:tr>
      <w:tr w:rsidR="008C1FA5" w:rsidRPr="00BC256B" w14:paraId="3D53D2D1" w14:textId="77777777">
        <w:tc>
          <w:tcPr>
            <w:tcW w:w="1389" w:type="dxa"/>
          </w:tcPr>
          <w:p w14:paraId="4AD47DF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54F1D6F5"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5CD0478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lastRenderedPageBreak/>
              <w:t xml:space="preserve">L’entreprise </w:t>
            </w:r>
            <w:r w:rsidRPr="00BC256B">
              <w:rPr>
                <w:rFonts w:ascii="Times New Roman" w:hAnsi="Times New Roman"/>
                <w:bCs/>
                <w:sz w:val="24"/>
                <w:szCs w:val="24"/>
              </w:rPr>
              <w:t>d’investissement identifie le type de code déclaré dans la colonne 0010 par la mention «Code LEI» ou «Code national».</w:t>
            </w:r>
          </w:p>
        </w:tc>
      </w:tr>
      <w:tr w:rsidR="008C1FA5" w:rsidRPr="00BC256B" w14:paraId="7BC5F624" w14:textId="77777777">
        <w:tc>
          <w:tcPr>
            <w:tcW w:w="1389" w:type="dxa"/>
          </w:tcPr>
          <w:p w14:paraId="53CB632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0030</w:t>
            </w:r>
          </w:p>
        </w:tc>
        <w:tc>
          <w:tcPr>
            <w:tcW w:w="7620" w:type="dxa"/>
          </w:tcPr>
          <w:p w14:paraId="3CA8D1F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338B22E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Le nom à déclarer est celui de l’entreprise mère pour tout groupe de clients liés déclaré. Dans tous les autres cas, il s’agit d</w:t>
            </w:r>
            <w:r w:rsidRPr="00BC256B">
              <w:rPr>
                <w:rFonts w:ascii="Times New Roman" w:hAnsi="Times New Roman"/>
                <w:sz w:val="24"/>
                <w:szCs w:val="23"/>
              </w:rPr>
              <w:t>u nom du client lui-même.</w:t>
            </w:r>
          </w:p>
        </w:tc>
      </w:tr>
      <w:tr w:rsidR="008C1FA5" w:rsidRPr="00BC256B" w14:paraId="00121752" w14:textId="77777777">
        <w:tc>
          <w:tcPr>
            <w:tcW w:w="1389" w:type="dxa"/>
          </w:tcPr>
          <w:p w14:paraId="7480AC3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075B1AB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4D1D820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Cs w:val="23"/>
              </w:rPr>
              <w:t>L’entreprise indique «1», pour la déclaration d’expositions sur des clients individuels, ou «2», pour la déclaration d’expositions sur des groupes de clients liés.</w:t>
            </w:r>
          </w:p>
        </w:tc>
      </w:tr>
      <w:tr w:rsidR="008C1FA5" w:rsidRPr="00BC256B" w14:paraId="476D8985" w14:textId="77777777">
        <w:tc>
          <w:tcPr>
            <w:tcW w:w="1389" w:type="dxa"/>
          </w:tcPr>
          <w:p w14:paraId="511550E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39CE470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Total des bénéfices liés à ce </w:t>
            </w:r>
            <w:r w:rsidRPr="00BC256B">
              <w:rPr>
                <w:rFonts w:ascii="Times New Roman" w:hAnsi="Times New Roman"/>
                <w:b/>
                <w:bCs/>
                <w:sz w:val="24"/>
                <w:szCs w:val="24"/>
                <w:u w:val="single"/>
              </w:rPr>
              <w:t>client</w:t>
            </w:r>
          </w:p>
          <w:p w14:paraId="3988929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déclare le bénéfice total par client ou groupe de clients liés réalisé depuis le début de l’exercice comptable. Les bénéfices sont ventilés entre, d’une part, les revenus d’intérêts et de dividendes, et d’autre part, les frais, commissi</w:t>
            </w:r>
            <w:r w:rsidRPr="00BC256B">
              <w:rPr>
                <w:rFonts w:ascii="Times New Roman" w:hAnsi="Times New Roman"/>
                <w:bCs/>
                <w:sz w:val="24"/>
                <w:szCs w:val="24"/>
              </w:rPr>
              <w:t>ons et autres revenus.</w:t>
            </w:r>
          </w:p>
        </w:tc>
      </w:tr>
      <w:tr w:rsidR="008C1FA5" w:rsidRPr="00BC256B" w14:paraId="125B74E9" w14:textId="77777777">
        <w:tc>
          <w:tcPr>
            <w:tcW w:w="1389" w:type="dxa"/>
          </w:tcPr>
          <w:p w14:paraId="5041902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 – 0090</w:t>
            </w:r>
          </w:p>
        </w:tc>
        <w:tc>
          <w:tcPr>
            <w:tcW w:w="7620" w:type="dxa"/>
          </w:tcPr>
          <w:p w14:paraId="7E44040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Intérêts et dividendes</w:t>
            </w:r>
          </w:p>
        </w:tc>
      </w:tr>
      <w:tr w:rsidR="008C1FA5" w:rsidRPr="00BC256B" w14:paraId="393CA789" w14:textId="77777777">
        <w:tc>
          <w:tcPr>
            <w:tcW w:w="1389" w:type="dxa"/>
          </w:tcPr>
          <w:p w14:paraId="59A0C59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0060 </w:t>
            </w:r>
          </w:p>
        </w:tc>
        <w:tc>
          <w:tcPr>
            <w:tcW w:w="7620" w:type="dxa"/>
          </w:tcPr>
          <w:p w14:paraId="07C82AF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Intérêts et dividendes – Montant généré par des positions du portefeuille hors négociation</w:t>
            </w:r>
          </w:p>
          <w:p w14:paraId="2525E13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Portefeuille de négociation au sens de l’article 4, paragraphe 1, point 54), du règlement délégué (UE) 2019/2033. </w:t>
            </w:r>
          </w:p>
        </w:tc>
      </w:tr>
      <w:tr w:rsidR="008C1FA5" w:rsidRPr="00BC256B" w14:paraId="3614B461" w14:textId="77777777">
        <w:tc>
          <w:tcPr>
            <w:tcW w:w="1389" w:type="dxa"/>
          </w:tcPr>
          <w:p w14:paraId="66F3F5F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Pr>
          <w:p w14:paraId="3830756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Intérêts et dividendes – Montant généré par des positions du portefeuille hors négociation</w:t>
            </w:r>
          </w:p>
        </w:tc>
      </w:tr>
      <w:tr w:rsidR="008C1FA5" w:rsidRPr="00BC256B" w14:paraId="2BF343AF" w14:textId="77777777">
        <w:tc>
          <w:tcPr>
            <w:tcW w:w="1389" w:type="dxa"/>
          </w:tcPr>
          <w:p w14:paraId="5358BD6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0080</w:t>
            </w:r>
          </w:p>
        </w:tc>
        <w:tc>
          <w:tcPr>
            <w:tcW w:w="7620" w:type="dxa"/>
          </w:tcPr>
          <w:p w14:paraId="0E674CA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Intérêts et dividendes – dont: montant</w:t>
            </w:r>
            <w:r w:rsidRPr="00BC256B">
              <w:rPr>
                <w:rFonts w:ascii="Times New Roman" w:hAnsi="Times New Roman"/>
                <w:b/>
                <w:bCs/>
                <w:sz w:val="24"/>
                <w:szCs w:val="24"/>
                <w:u w:val="single"/>
              </w:rPr>
              <w:t xml:space="preserve"> généré par des éléments de hors bilan</w:t>
            </w:r>
          </w:p>
        </w:tc>
      </w:tr>
      <w:tr w:rsidR="008C1FA5" w:rsidRPr="00BC256B" w14:paraId="492DE546" w14:textId="77777777">
        <w:tc>
          <w:tcPr>
            <w:tcW w:w="1389" w:type="dxa"/>
          </w:tcPr>
          <w:p w14:paraId="2E7854D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w:t>
            </w:r>
          </w:p>
        </w:tc>
        <w:tc>
          <w:tcPr>
            <w:tcW w:w="7620" w:type="dxa"/>
          </w:tcPr>
          <w:p w14:paraId="595B5B6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Pourcentage d’intérêts et dividendes provenant de ce client</w:t>
            </w:r>
          </w:p>
          <w:p w14:paraId="20CF3B9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déclare les revenus d’intérêts et de dividendes générés par chacun des clients ou groupes de clients liés, exprimés en pourcentage du tota</w:t>
            </w:r>
            <w:r w:rsidRPr="00BC256B">
              <w:rPr>
                <w:rFonts w:ascii="Times New Roman" w:hAnsi="Times New Roman"/>
                <w:bCs/>
                <w:sz w:val="24"/>
                <w:szCs w:val="24"/>
              </w:rPr>
              <w:t>l des intérêts et dividendes de l’entreprise d’investissement.</w:t>
            </w:r>
          </w:p>
        </w:tc>
      </w:tr>
      <w:tr w:rsidR="008C1FA5" w:rsidRPr="00BC256B" w14:paraId="55C5601D" w14:textId="77777777">
        <w:tc>
          <w:tcPr>
            <w:tcW w:w="1389" w:type="dxa"/>
          </w:tcPr>
          <w:p w14:paraId="00C18AF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0100 – 0110</w:t>
            </w:r>
          </w:p>
        </w:tc>
        <w:tc>
          <w:tcPr>
            <w:tcW w:w="7620" w:type="dxa"/>
          </w:tcPr>
          <w:p w14:paraId="1BFD0C1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Frais, commissions et autres produits</w:t>
            </w:r>
          </w:p>
        </w:tc>
      </w:tr>
      <w:tr w:rsidR="008C1FA5" w:rsidRPr="00BC256B" w14:paraId="22183FCD" w14:textId="77777777">
        <w:tc>
          <w:tcPr>
            <w:tcW w:w="1389" w:type="dxa"/>
          </w:tcPr>
          <w:p w14:paraId="10051FC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0100 </w:t>
            </w:r>
          </w:p>
        </w:tc>
        <w:tc>
          <w:tcPr>
            <w:tcW w:w="7620" w:type="dxa"/>
          </w:tcPr>
          <w:p w14:paraId="2F9FD76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Frais, commissions et autres produits – Montant </w:t>
            </w:r>
          </w:p>
        </w:tc>
      </w:tr>
      <w:tr w:rsidR="008C1FA5" w:rsidRPr="00BC256B" w14:paraId="14E4ADBE" w14:textId="77777777">
        <w:tc>
          <w:tcPr>
            <w:tcW w:w="1389" w:type="dxa"/>
          </w:tcPr>
          <w:p w14:paraId="17544EB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0110</w:t>
            </w:r>
          </w:p>
        </w:tc>
        <w:tc>
          <w:tcPr>
            <w:tcW w:w="7620" w:type="dxa"/>
          </w:tcPr>
          <w:p w14:paraId="185CF25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Pourcentage de frais et commissions provenant de ce client</w:t>
            </w:r>
          </w:p>
          <w:p w14:paraId="40C9B2F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déclare les frais et commissions provenant de chacun des clients ou groupes de clients liés, exprimés en pourcentage du total des frais, commissions et autres produits perçus par l’entreprise d’investissement.</w:t>
            </w:r>
          </w:p>
        </w:tc>
      </w:tr>
    </w:tbl>
    <w:p w14:paraId="23EA01FB" w14:textId="77777777" w:rsidR="008C1FA5" w:rsidRPr="00BC256B" w:rsidRDefault="008C1FA5">
      <w:pPr>
        <w:spacing w:after="0"/>
        <w:rPr>
          <w:rFonts w:ascii="Times New Roman" w:hAnsi="Times New Roman" w:cs="Times New Roman"/>
          <w:u w:val="single"/>
        </w:rPr>
      </w:pPr>
    </w:p>
    <w:p w14:paraId="635AB740" w14:textId="77777777" w:rsidR="008C1FA5" w:rsidRPr="00BC256B" w:rsidRDefault="00BC256B">
      <w:pPr>
        <w:pStyle w:val="Instructionsberschrift2"/>
        <w:ind w:left="357" w:hanging="357"/>
        <w:rPr>
          <w:rFonts w:ascii="Times New Roman" w:hAnsi="Times New Roman" w:cs="Times New Roman"/>
          <w:sz w:val="24"/>
        </w:rPr>
      </w:pPr>
      <w:bookmarkStart w:id="94" w:name="_Toc87024752"/>
      <w:r w:rsidRPr="00BC256B">
        <w:rPr>
          <w:rFonts w:ascii="Times New Roman" w:hAnsi="Times New Roman"/>
          <w:sz w:val="24"/>
        </w:rPr>
        <w:t>4.7.</w:t>
      </w:r>
      <w:r w:rsidRPr="00BC256B">
        <w:rPr>
          <w:rFonts w:ascii="Times New Roman" w:hAnsi="Times New Roman"/>
          <w:sz w:val="24"/>
          <w:u w:val="none"/>
        </w:rPr>
        <w:t xml:space="preserve"> </w:t>
      </w:r>
      <w:r w:rsidRPr="00BC256B">
        <w:rPr>
          <w:rFonts w:ascii="Times New Roman" w:hAnsi="Times New Roman"/>
          <w:sz w:val="24"/>
        </w:rPr>
        <w:t xml:space="preserve">I 08.05 — </w:t>
      </w:r>
      <w:r w:rsidRPr="00BC256B">
        <w:rPr>
          <w:rFonts w:ascii="Times New Roman" w:hAnsi="Times New Roman"/>
          <w:sz w:val="24"/>
        </w:rPr>
        <w:t>EXPOSITIONS DU PORTEFEUILLE DE NÉGOCIATION (I 8.5)</w:t>
      </w:r>
      <w:bookmarkEnd w:id="94"/>
    </w:p>
    <w:p w14:paraId="2A34ED84" w14:textId="77777777" w:rsidR="008C1FA5" w:rsidRPr="00BC256B" w:rsidRDefault="00BC256B">
      <w:pPr>
        <w:pStyle w:val="Instructionsberschrift2"/>
        <w:ind w:left="357" w:hanging="357"/>
        <w:rPr>
          <w:rFonts w:ascii="Times New Roman" w:hAnsi="Times New Roman" w:cs="Times New Roman"/>
        </w:rPr>
      </w:pPr>
      <w:bookmarkStart w:id="95" w:name="_Toc87024753"/>
      <w:r w:rsidRPr="00BC256B">
        <w:rPr>
          <w:rFonts w:ascii="Times New Roman" w:hAnsi="Times New Roman"/>
          <w:sz w:val="24"/>
          <w:u w:val="none"/>
        </w:rPr>
        <w:t>4.7.1.</w:t>
      </w:r>
      <w:r w:rsidRPr="00BC256B">
        <w:rPr>
          <w:rFonts w:ascii="Times New Roman" w:hAnsi="Times New Roman"/>
          <w:sz w:val="24"/>
          <w:u w:val="none"/>
        </w:rPr>
        <w:tab/>
      </w:r>
      <w:r w:rsidRPr="00BC256B">
        <w:rPr>
          <w:rFonts w:ascii="Times New Roman" w:hAnsi="Times New Roman"/>
          <w:sz w:val="24"/>
        </w:rPr>
        <w:t>Instructions par colonne</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6B46C3E6" w14:textId="77777777">
        <w:tc>
          <w:tcPr>
            <w:tcW w:w="1389" w:type="dxa"/>
            <w:shd w:val="clear" w:color="auto" w:fill="D9D9D9"/>
          </w:tcPr>
          <w:p w14:paraId="4B889D9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5311C1D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3091532" w14:textId="77777777">
        <w:tc>
          <w:tcPr>
            <w:tcW w:w="1389" w:type="dxa"/>
          </w:tcPr>
          <w:p w14:paraId="14D64A7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0010-0050</w:t>
            </w:r>
          </w:p>
        </w:tc>
        <w:tc>
          <w:tcPr>
            <w:tcW w:w="7620" w:type="dxa"/>
          </w:tcPr>
          <w:p w14:paraId="7BF461A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Expositions du portefeuille de négociation</w:t>
            </w:r>
          </w:p>
          <w:p w14:paraId="6953C92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 a), du règlement (UE) 2019/2033.</w:t>
            </w:r>
          </w:p>
          <w:p w14:paraId="4E594DC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lastRenderedPageBreak/>
              <w:t>L’entreprise communique ces informations pour les cinq expositions les plus importantes du portefeuille de négociation.</w:t>
            </w:r>
          </w:p>
        </w:tc>
      </w:tr>
      <w:tr w:rsidR="008C1FA5" w:rsidRPr="00BC256B" w14:paraId="74F4B19D" w14:textId="77777777">
        <w:tc>
          <w:tcPr>
            <w:tcW w:w="1389" w:type="dxa"/>
          </w:tcPr>
          <w:p w14:paraId="1E7EF37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0010</w:t>
            </w:r>
          </w:p>
        </w:tc>
        <w:tc>
          <w:tcPr>
            <w:tcW w:w="7620" w:type="dxa"/>
          </w:tcPr>
          <w:p w14:paraId="074EB69C"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71C02FB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t>Ce code, en tant que partie d’un identifiant de ligne, doit être propre à chaque entité déclarée. Pour les entreprises d’inve</w:t>
            </w:r>
            <w:r w:rsidRPr="00BC256B">
              <w:rPr>
                <w:rStyle w:val="FormatvorlageInstructionsTabelleText"/>
                <w:rFonts w:ascii="Times New Roman" w:hAnsi="Times New Roman"/>
                <w:sz w:val="24"/>
                <w:szCs w:val="24"/>
              </w:rPr>
              <w:t>stissement et les entreprises d’assurance, ce code est le code LEI. Pour les autres entités, il s’agit du code LEI ou, à défaut, d’un code national. Ce code est unique et il est utilisé de manière constante dans tous les modèles et au fil du temps. Sa vale</w:t>
            </w:r>
            <w:r w:rsidRPr="00BC256B">
              <w:rPr>
                <w:rStyle w:val="FormatvorlageInstructionsTabelleText"/>
                <w:rFonts w:ascii="Times New Roman" w:hAnsi="Times New Roman"/>
                <w:sz w:val="24"/>
                <w:szCs w:val="24"/>
              </w:rPr>
              <w:t>ur ne peut pas être nulle.</w:t>
            </w:r>
          </w:p>
        </w:tc>
      </w:tr>
      <w:tr w:rsidR="008C1FA5" w:rsidRPr="00BC256B" w14:paraId="7508F779" w14:textId="77777777">
        <w:tc>
          <w:tcPr>
            <w:tcW w:w="1389" w:type="dxa"/>
          </w:tcPr>
          <w:p w14:paraId="6A4EBE5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69E99FAB"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429F519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d’investissement identifie le type de code déclaré dans la colonne 0010 par la mention «Code LEI» ou «Code national».</w:t>
            </w:r>
          </w:p>
        </w:tc>
      </w:tr>
      <w:tr w:rsidR="008C1FA5" w:rsidRPr="00BC256B" w14:paraId="269CCBE4" w14:textId="77777777">
        <w:tc>
          <w:tcPr>
            <w:tcW w:w="1389" w:type="dxa"/>
          </w:tcPr>
          <w:p w14:paraId="740AC7F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5CA5C42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5E63681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 xml:space="preserve">Le nom à déclarer est celui de l’entreprise mère, pour chaque </w:t>
            </w:r>
            <w:r w:rsidRPr="00BC256B">
              <w:rPr>
                <w:rFonts w:ascii="Times New Roman" w:hAnsi="Times New Roman"/>
                <w:sz w:val="24"/>
                <w:szCs w:val="23"/>
              </w:rPr>
              <w:t>groupe de contreparties liées déclaré. Dans tous les autres cas, il s’agit du nom de la contrepartie elle-même.</w:t>
            </w:r>
          </w:p>
        </w:tc>
      </w:tr>
      <w:tr w:rsidR="008C1FA5" w:rsidRPr="00BC256B" w14:paraId="2CA61284" w14:textId="77777777">
        <w:tc>
          <w:tcPr>
            <w:tcW w:w="1389" w:type="dxa"/>
          </w:tcPr>
          <w:p w14:paraId="6846B0A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7AF329A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5D915CE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L’entreprise indique «1», pour la déclaration d’expositions sur des clients individuels, ou «2», pour la déclaration d’e</w:t>
            </w:r>
            <w:r w:rsidRPr="00BC256B">
              <w:rPr>
                <w:rFonts w:ascii="Times New Roman" w:hAnsi="Times New Roman"/>
                <w:sz w:val="24"/>
                <w:szCs w:val="24"/>
              </w:rPr>
              <w:t>xpositions sur des groupes de clients liés.</w:t>
            </w:r>
          </w:p>
        </w:tc>
      </w:tr>
      <w:tr w:rsidR="008C1FA5" w:rsidRPr="00BC256B" w14:paraId="03B62435" w14:textId="77777777">
        <w:tc>
          <w:tcPr>
            <w:tcW w:w="1389" w:type="dxa"/>
          </w:tcPr>
          <w:p w14:paraId="7A210A7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609AB5F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Exposition sur cette contrepartie en pourcentage des fonds propres de l’entreprise (positions du portefeuille de négociation uniquement)</w:t>
            </w:r>
          </w:p>
          <w:p w14:paraId="2A43BCF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L’entreprise indique le montant, à la date de </w:t>
            </w:r>
            <w:r w:rsidRPr="00BC256B">
              <w:rPr>
                <w:rFonts w:ascii="Times New Roman" w:hAnsi="Times New Roman"/>
                <w:bCs/>
                <w:sz w:val="24"/>
                <w:szCs w:val="24"/>
              </w:rPr>
              <w:t>déclaration, des expositions sur chacune des contreparties, ou de chacun des groupes de contreparties liées, sur lesquels porte la déclaration, exprimé en pourcentage de ses fonds propres.</w:t>
            </w:r>
          </w:p>
        </w:tc>
      </w:tr>
    </w:tbl>
    <w:p w14:paraId="7D97C71D" w14:textId="77777777" w:rsidR="008C1FA5" w:rsidRPr="00BC256B" w:rsidRDefault="008C1FA5">
      <w:pPr>
        <w:spacing w:after="0"/>
        <w:rPr>
          <w:rFonts w:ascii="Times New Roman" w:hAnsi="Times New Roman" w:cs="Times New Roman"/>
          <w:u w:val="single"/>
        </w:rPr>
      </w:pPr>
    </w:p>
    <w:p w14:paraId="42BE96C6" w14:textId="77777777" w:rsidR="008C1FA5" w:rsidRPr="00BC256B" w:rsidRDefault="00BC256B">
      <w:pPr>
        <w:pStyle w:val="Instructionsberschrift2"/>
        <w:ind w:left="357" w:hanging="357"/>
        <w:rPr>
          <w:rFonts w:ascii="Times New Roman" w:hAnsi="Times New Roman" w:cs="Times New Roman"/>
          <w:sz w:val="24"/>
        </w:rPr>
      </w:pPr>
      <w:bookmarkStart w:id="96" w:name="_Toc87024754"/>
      <w:r w:rsidRPr="00BC256B">
        <w:rPr>
          <w:rFonts w:ascii="Times New Roman" w:hAnsi="Times New Roman"/>
          <w:sz w:val="24"/>
        </w:rPr>
        <w:t xml:space="preserve">4.8. I 08.06 – ÉLÉMENTS DU PORTEFEUILLE HORS </w:t>
      </w:r>
      <w:r w:rsidRPr="00BC256B">
        <w:rPr>
          <w:rFonts w:ascii="Times New Roman" w:hAnsi="Times New Roman"/>
          <w:sz w:val="24"/>
        </w:rPr>
        <w:t>NÉGOCIATION ET ÉLÉMENTS DE HORS BILAN (I 8.6)</w:t>
      </w:r>
      <w:bookmarkEnd w:id="96"/>
    </w:p>
    <w:p w14:paraId="24AB11DB" w14:textId="77777777" w:rsidR="008C1FA5" w:rsidRPr="00BC256B" w:rsidRDefault="00BC256B">
      <w:pPr>
        <w:pStyle w:val="Instructionsberschrift2"/>
        <w:ind w:left="357" w:hanging="357"/>
        <w:rPr>
          <w:rFonts w:ascii="Times New Roman" w:hAnsi="Times New Roman" w:cs="Times New Roman"/>
        </w:rPr>
      </w:pPr>
      <w:bookmarkStart w:id="97" w:name="_Toc87024755"/>
      <w:r w:rsidRPr="00BC256B">
        <w:rPr>
          <w:rFonts w:ascii="Times New Roman" w:hAnsi="Times New Roman"/>
          <w:sz w:val="24"/>
          <w:u w:val="none"/>
        </w:rPr>
        <w:t>4.8.1.</w:t>
      </w:r>
      <w:r w:rsidRPr="00BC256B">
        <w:rPr>
          <w:rFonts w:ascii="Times New Roman" w:hAnsi="Times New Roman"/>
          <w:sz w:val="24"/>
          <w:u w:val="none"/>
        </w:rPr>
        <w:tab/>
      </w:r>
      <w:r w:rsidRPr="00BC256B">
        <w:rPr>
          <w:rFonts w:ascii="Times New Roman" w:hAnsi="Times New Roman"/>
          <w:sz w:val="24"/>
        </w:rPr>
        <w:t>Instructions par colonne</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C1FA5" w:rsidRPr="00BC256B" w14:paraId="6BE01C91" w14:textId="77777777">
        <w:tc>
          <w:tcPr>
            <w:tcW w:w="1389" w:type="dxa"/>
            <w:shd w:val="clear" w:color="auto" w:fill="D9D9D9"/>
          </w:tcPr>
          <w:p w14:paraId="51D8D5E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Colonnes</w:t>
            </w:r>
          </w:p>
        </w:tc>
        <w:tc>
          <w:tcPr>
            <w:tcW w:w="7620" w:type="dxa"/>
            <w:shd w:val="clear" w:color="auto" w:fill="D9D9D9"/>
          </w:tcPr>
          <w:p w14:paraId="0693B70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5AC86D83" w14:textId="77777777">
        <w:tc>
          <w:tcPr>
            <w:tcW w:w="1389" w:type="dxa"/>
          </w:tcPr>
          <w:p w14:paraId="0FB4CEE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0010-0050</w:t>
            </w:r>
          </w:p>
        </w:tc>
        <w:tc>
          <w:tcPr>
            <w:tcW w:w="7620" w:type="dxa"/>
          </w:tcPr>
          <w:p w14:paraId="267240D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Éléments hors portefeuille de négociation et éléments hors bilan</w:t>
            </w:r>
          </w:p>
          <w:p w14:paraId="082F736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54, paragraphe 2, point f), du règlement (UE) 2019</w:t>
            </w:r>
            <w:r w:rsidRPr="00BC256B">
              <w:rPr>
                <w:rFonts w:ascii="Times New Roman" w:hAnsi="Times New Roman"/>
                <w:bCs/>
                <w:sz w:val="24"/>
                <w:szCs w:val="24"/>
              </w:rPr>
              <w:t>/2033.</w:t>
            </w:r>
          </w:p>
          <w:p w14:paraId="1F6AAF0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communique ces informations pour les cinq expositions les plus importantes, calculées en incluant les actifs non enregistrés dans le portefeuille de négociation.</w:t>
            </w:r>
          </w:p>
        </w:tc>
      </w:tr>
      <w:tr w:rsidR="008C1FA5" w:rsidRPr="00BC256B" w14:paraId="4BC73D8C" w14:textId="77777777">
        <w:tc>
          <w:tcPr>
            <w:tcW w:w="1389" w:type="dxa"/>
          </w:tcPr>
          <w:p w14:paraId="561E249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5D6F75B2"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Code</w:t>
            </w:r>
          </w:p>
          <w:p w14:paraId="180325A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Style w:val="FormatvorlageInstructionsTabelleText"/>
                <w:rFonts w:ascii="Times New Roman" w:hAnsi="Times New Roman"/>
                <w:sz w:val="24"/>
                <w:szCs w:val="24"/>
              </w:rPr>
              <w:t xml:space="preserve">Ce code, en tant que partie d’un identifiant de ligne, doit </w:t>
            </w:r>
            <w:r w:rsidRPr="00BC256B">
              <w:rPr>
                <w:rStyle w:val="FormatvorlageInstructionsTabelleText"/>
                <w:rFonts w:ascii="Times New Roman" w:hAnsi="Times New Roman"/>
                <w:sz w:val="24"/>
                <w:szCs w:val="24"/>
              </w:rPr>
              <w:t xml:space="preserve">être propre à chaque entité déclarée. Pour les entreprises d’investissement et les entreprises d’assurance, ce code est le code LEI. Pour les autres entités, il s’agit du code LEI ou, à défaut, d’un code national. Ce code est unique et il est utilisé de </w:t>
            </w:r>
            <w:r w:rsidRPr="00BC256B">
              <w:rPr>
                <w:rStyle w:val="FormatvorlageInstructionsTabelleText"/>
                <w:rFonts w:ascii="Times New Roman" w:hAnsi="Times New Roman"/>
                <w:sz w:val="24"/>
                <w:szCs w:val="24"/>
              </w:rPr>
              <w:lastRenderedPageBreak/>
              <w:t>ma</w:t>
            </w:r>
            <w:r w:rsidRPr="00BC256B">
              <w:rPr>
                <w:rStyle w:val="FormatvorlageInstructionsTabelleText"/>
                <w:rFonts w:ascii="Times New Roman" w:hAnsi="Times New Roman"/>
                <w:sz w:val="24"/>
                <w:szCs w:val="24"/>
              </w:rPr>
              <w:t>nière constante dans tous les modèles et au fil du temps. Sa valeur ne peut pas être nulle.</w:t>
            </w:r>
          </w:p>
        </w:tc>
      </w:tr>
      <w:tr w:rsidR="008C1FA5" w:rsidRPr="00BC256B" w14:paraId="5CEFB3D1" w14:textId="77777777">
        <w:tc>
          <w:tcPr>
            <w:tcW w:w="1389" w:type="dxa"/>
          </w:tcPr>
          <w:p w14:paraId="3590F63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0020</w:t>
            </w:r>
          </w:p>
        </w:tc>
        <w:tc>
          <w:tcPr>
            <w:tcW w:w="7620" w:type="dxa"/>
          </w:tcPr>
          <w:p w14:paraId="15421AA2" w14:textId="77777777" w:rsidR="008C1FA5" w:rsidRPr="00BC256B" w:rsidRDefault="00BC256B">
            <w:pPr>
              <w:pStyle w:val="InstructionsText"/>
              <w:rPr>
                <w:rStyle w:val="InstructionsTabelleberschrift"/>
                <w:rFonts w:ascii="Times New Roman" w:hAnsi="Times New Roman"/>
                <w:sz w:val="24"/>
              </w:rPr>
            </w:pPr>
            <w:r w:rsidRPr="00BC256B">
              <w:rPr>
                <w:rStyle w:val="InstructionsTabelleberschrift"/>
                <w:rFonts w:ascii="Times New Roman" w:hAnsi="Times New Roman"/>
                <w:sz w:val="24"/>
              </w:rPr>
              <w:t>Type de code</w:t>
            </w:r>
          </w:p>
          <w:p w14:paraId="2404885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d’investissement identifie le type de code déclaré dans la colonne 0010 par la mention «Code LEI» ou «Code national».</w:t>
            </w:r>
          </w:p>
        </w:tc>
      </w:tr>
      <w:tr w:rsidR="008C1FA5" w:rsidRPr="00BC256B" w14:paraId="2F856D86" w14:textId="77777777">
        <w:tc>
          <w:tcPr>
            <w:tcW w:w="1389" w:type="dxa"/>
          </w:tcPr>
          <w:p w14:paraId="72D251E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099E251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Nom</w:t>
            </w:r>
          </w:p>
          <w:p w14:paraId="13012F6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3"/>
              </w:rPr>
              <w:t xml:space="preserve">Le </w:t>
            </w:r>
            <w:r w:rsidRPr="00BC256B">
              <w:rPr>
                <w:rFonts w:ascii="Times New Roman" w:hAnsi="Times New Roman"/>
                <w:sz w:val="24"/>
                <w:szCs w:val="23"/>
              </w:rPr>
              <w:t>nom à déclarer est celui de l’entreprise mère, pour chaque groupe de contreparties liées déclaré. Dans tous les autres cas, il s’agit du nom de la contrepartie elle-même.</w:t>
            </w:r>
          </w:p>
        </w:tc>
      </w:tr>
      <w:tr w:rsidR="008C1FA5" w:rsidRPr="00BC256B" w14:paraId="731E5961" w14:textId="77777777">
        <w:tc>
          <w:tcPr>
            <w:tcW w:w="1389" w:type="dxa"/>
          </w:tcPr>
          <w:p w14:paraId="2CC76A0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0040</w:t>
            </w:r>
          </w:p>
        </w:tc>
        <w:tc>
          <w:tcPr>
            <w:tcW w:w="7620" w:type="dxa"/>
          </w:tcPr>
          <w:p w14:paraId="793A3DF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Groupe/individuel</w:t>
            </w:r>
          </w:p>
          <w:p w14:paraId="4A672C61"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sz w:val="24"/>
                <w:szCs w:val="24"/>
              </w:rPr>
              <w:t>L’entreprise indique «1», pour la déclaration d’expositions s</w:t>
            </w:r>
            <w:r w:rsidRPr="00BC256B">
              <w:rPr>
                <w:rFonts w:ascii="Times New Roman" w:hAnsi="Times New Roman"/>
                <w:sz w:val="24"/>
                <w:szCs w:val="24"/>
              </w:rPr>
              <w:t>ur des clients individuels, ou «2», pour la déclaration d’expositions sur des groupes de clients liés.</w:t>
            </w:r>
          </w:p>
        </w:tc>
      </w:tr>
      <w:tr w:rsidR="008C1FA5" w:rsidRPr="00BC256B" w14:paraId="05B0BDA3" w14:textId="77777777">
        <w:tc>
          <w:tcPr>
            <w:tcW w:w="1389" w:type="dxa"/>
          </w:tcPr>
          <w:p w14:paraId="6E57DDC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3BE3880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Expositions en pourcentage des fonds propres de l’entreprise (y compris les actifs hors bilan et les éléments hors portefeuille de </w:t>
            </w:r>
            <w:r w:rsidRPr="00BC256B">
              <w:rPr>
                <w:rFonts w:ascii="Times New Roman" w:hAnsi="Times New Roman"/>
                <w:b/>
                <w:bCs/>
                <w:sz w:val="24"/>
                <w:szCs w:val="24"/>
                <w:u w:val="single"/>
              </w:rPr>
              <w:t>négociation)</w:t>
            </w:r>
          </w:p>
          <w:p w14:paraId="22E6A76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L’entreprise déclare les expositions, à la date de déclaration, sur chacune des contreparties ou chacun des groupes de contreparties liées sur lesquels porte la déclaration, calculées en tenant compte non seulement des positions du portefeuill</w:t>
            </w:r>
            <w:r w:rsidRPr="00BC256B">
              <w:rPr>
                <w:rFonts w:ascii="Times New Roman" w:hAnsi="Times New Roman"/>
                <w:bCs/>
                <w:sz w:val="24"/>
                <w:szCs w:val="24"/>
              </w:rPr>
              <w:t>e de négociation, mais aussi des actifs et éléments de hors bilan non enregistrés dans le portefeuille de négociation, et exprimées en pourcentage de ses fonds propres éligibles.</w:t>
            </w:r>
          </w:p>
        </w:tc>
      </w:tr>
    </w:tbl>
    <w:p w14:paraId="6867D7ED" w14:textId="77777777" w:rsidR="008C1FA5" w:rsidRPr="00BC256B" w:rsidRDefault="008C1FA5">
      <w:pPr>
        <w:spacing w:after="0"/>
        <w:rPr>
          <w:rFonts w:ascii="Times New Roman" w:hAnsi="Times New Roman" w:cs="Times New Roman"/>
          <w:u w:val="single"/>
        </w:rPr>
      </w:pPr>
    </w:p>
    <w:p w14:paraId="72D38466" w14:textId="77777777" w:rsidR="008C1FA5" w:rsidRPr="00BC256B" w:rsidRDefault="00BC256B">
      <w:pPr>
        <w:pStyle w:val="Instructionsberschrift2"/>
        <w:ind w:left="357" w:hanging="357"/>
        <w:rPr>
          <w:rFonts w:ascii="Times New Roman" w:hAnsi="Times New Roman" w:cs="Times New Roman"/>
          <w:b/>
          <w:sz w:val="24"/>
        </w:rPr>
      </w:pPr>
      <w:bookmarkStart w:id="98" w:name="_Toc87024756"/>
      <w:r w:rsidRPr="00BC256B">
        <w:rPr>
          <w:rFonts w:ascii="Times New Roman" w:hAnsi="Times New Roman"/>
          <w:b/>
          <w:sz w:val="24"/>
        </w:rPr>
        <w:t>5. EXIGENCES DE LIQUIDITÉ</w:t>
      </w:r>
      <w:bookmarkEnd w:id="98"/>
    </w:p>
    <w:p w14:paraId="378B2D13"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7024757"/>
      <w:r w:rsidRPr="00BC256B">
        <w:rPr>
          <w:rFonts w:ascii="Times New Roman" w:hAnsi="Times New Roman"/>
          <w:sz w:val="24"/>
          <w:szCs w:val="24"/>
          <w:u w:val="single"/>
        </w:rPr>
        <w:t>5.1 I 09.00 – EXIGENCES DE LIQUIDITÉ (I 9)</w:t>
      </w:r>
      <w:bookmarkEnd w:id="99"/>
    </w:p>
    <w:p w14:paraId="714CFAA8" w14:textId="77777777" w:rsidR="008C1FA5" w:rsidRPr="00BC256B" w:rsidRDefault="00BC256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7024758"/>
      <w:r w:rsidRPr="00BC256B">
        <w:rPr>
          <w:rFonts w:ascii="Times New Roman" w:hAnsi="Times New Roman"/>
          <w:sz w:val="24"/>
          <w:szCs w:val="24"/>
        </w:rPr>
        <w:t>5.1.1.</w:t>
      </w:r>
      <w:r w:rsidRPr="00BC256B">
        <w:rPr>
          <w:rFonts w:ascii="Times New Roman" w:hAnsi="Times New Roman"/>
          <w:sz w:val="24"/>
          <w:szCs w:val="24"/>
        </w:rPr>
        <w:tab/>
      </w:r>
      <w:r w:rsidRPr="00BC256B">
        <w:rPr>
          <w:rFonts w:ascii="Times New Roman" w:hAnsi="Times New Roman"/>
          <w:sz w:val="24"/>
          <w:szCs w:val="24"/>
          <w:u w:val="single"/>
        </w:rPr>
        <w:t>Instructions concernant certaines positions</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1FA5" w:rsidRPr="00BC256B" w14:paraId="638337D2" w14:textId="77777777">
        <w:tc>
          <w:tcPr>
            <w:tcW w:w="1129" w:type="dxa"/>
            <w:shd w:val="clear" w:color="auto" w:fill="D9D9D9"/>
          </w:tcPr>
          <w:p w14:paraId="3138E72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Ligne</w:t>
            </w:r>
          </w:p>
        </w:tc>
        <w:tc>
          <w:tcPr>
            <w:tcW w:w="7620" w:type="dxa"/>
            <w:shd w:val="clear" w:color="auto" w:fill="D9D9D9"/>
          </w:tcPr>
          <w:p w14:paraId="6F09BC21"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sz w:val="24"/>
                <w:szCs w:val="24"/>
              </w:rPr>
              <w:t>Références légales et instructions</w:t>
            </w:r>
          </w:p>
        </w:tc>
      </w:tr>
      <w:tr w:rsidR="008C1FA5" w:rsidRPr="00BC256B" w14:paraId="7650E9BD" w14:textId="77777777">
        <w:tc>
          <w:tcPr>
            <w:tcW w:w="1129" w:type="dxa"/>
          </w:tcPr>
          <w:p w14:paraId="3C015A9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0010</w:t>
            </w:r>
          </w:p>
        </w:tc>
        <w:tc>
          <w:tcPr>
            <w:tcW w:w="7620" w:type="dxa"/>
          </w:tcPr>
          <w:p w14:paraId="1AFE256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Exigence de liquidité</w:t>
            </w:r>
          </w:p>
          <w:p w14:paraId="22ECED1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43, paragraphe 1, du règlement (UE) 2019/2033.</w:t>
            </w:r>
          </w:p>
        </w:tc>
      </w:tr>
      <w:tr w:rsidR="008C1FA5" w:rsidRPr="00BC256B" w14:paraId="38070211" w14:textId="77777777">
        <w:tc>
          <w:tcPr>
            <w:tcW w:w="1129" w:type="dxa"/>
          </w:tcPr>
          <w:p w14:paraId="1923FC1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0020</w:t>
            </w:r>
          </w:p>
        </w:tc>
        <w:tc>
          <w:tcPr>
            <w:tcW w:w="7620" w:type="dxa"/>
          </w:tcPr>
          <w:p w14:paraId="1489A3C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Garanties fournies aux clients</w:t>
            </w:r>
          </w:p>
          <w:p w14:paraId="7F5D5C2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45 du règlement (UE) 2019/2033.</w:t>
            </w:r>
          </w:p>
          <w:p w14:paraId="3BA4B02A" w14:textId="77777777" w:rsidR="008C1FA5" w:rsidRPr="00BC256B" w:rsidRDefault="00BC256B">
            <w:pPr>
              <w:pStyle w:val="CommentText"/>
              <w:rPr>
                <w:rFonts w:ascii="Times New Roman" w:eastAsia="Times New Roman" w:hAnsi="Times New Roman" w:cs="Times New Roman"/>
                <w:bCs/>
                <w:sz w:val="24"/>
                <w:szCs w:val="24"/>
              </w:rPr>
            </w:pPr>
            <w:r w:rsidRPr="00BC256B">
              <w:rPr>
                <w:rFonts w:ascii="Times New Roman" w:hAnsi="Times New Roman"/>
                <w:bCs/>
                <w:sz w:val="24"/>
                <w:szCs w:val="24"/>
              </w:rPr>
              <w:t xml:space="preserve">La </w:t>
            </w:r>
            <w:r w:rsidRPr="00BC256B">
              <w:rPr>
                <w:rFonts w:ascii="Times New Roman" w:hAnsi="Times New Roman"/>
                <w:bCs/>
                <w:sz w:val="24"/>
                <w:szCs w:val="24"/>
              </w:rPr>
              <w:t>valeur déclarée est égale à 1,6 % du montant total des garanties fournies aux clients, conformément à l’article 45 du règlement (UE) 2019/2033.</w:t>
            </w:r>
          </w:p>
        </w:tc>
      </w:tr>
      <w:tr w:rsidR="008C1FA5" w:rsidRPr="00BC256B" w14:paraId="2C5B10A9" w14:textId="77777777">
        <w:tc>
          <w:tcPr>
            <w:tcW w:w="1129" w:type="dxa"/>
          </w:tcPr>
          <w:p w14:paraId="7FE7129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0030</w:t>
            </w:r>
          </w:p>
        </w:tc>
        <w:tc>
          <w:tcPr>
            <w:tcW w:w="7620" w:type="dxa"/>
          </w:tcPr>
          <w:p w14:paraId="5EC18246"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actifs liquides</w:t>
            </w:r>
          </w:p>
          <w:p w14:paraId="40AF99A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43, paragraphe 1, point a), et article 43, paragraphe 2, du </w:t>
            </w:r>
            <w:r w:rsidRPr="00BC256B">
              <w:rPr>
                <w:rFonts w:ascii="Times New Roman" w:hAnsi="Times New Roman"/>
                <w:bCs/>
                <w:sz w:val="24"/>
                <w:szCs w:val="24"/>
              </w:rPr>
              <w:t>règlement (UE) 2019/2033.</w:t>
            </w:r>
          </w:p>
          <w:p w14:paraId="2BA6C741" w14:textId="77777777" w:rsidR="008C1FA5" w:rsidRPr="00BC256B" w:rsidRDefault="00BC256B">
            <w:pPr>
              <w:pStyle w:val="CommentText"/>
              <w:rPr>
                <w:rFonts w:ascii="Times New Roman" w:eastAsia="Times New Roman" w:hAnsi="Times New Roman" w:cs="Times New Roman"/>
                <w:bCs/>
                <w:sz w:val="24"/>
                <w:szCs w:val="24"/>
              </w:rPr>
            </w:pPr>
            <w:r w:rsidRPr="00BC256B">
              <w:rPr>
                <w:rFonts w:ascii="Times New Roman" w:hAnsi="Times New Roman"/>
                <w:bCs/>
                <w:sz w:val="24"/>
                <w:szCs w:val="24"/>
              </w:rPr>
              <w:t>Total des actifs liquides après application des décotes pertinentes.</w:t>
            </w:r>
          </w:p>
          <w:p w14:paraId="3836E0CE"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Cette ligne correspond à la somme des lignes 0040, 0050, 0060, 0170, 0230, 0290 et 0300.</w:t>
            </w:r>
          </w:p>
        </w:tc>
      </w:tr>
      <w:tr w:rsidR="008C1FA5" w:rsidRPr="00BC256B" w14:paraId="5C870A74" w14:textId="77777777">
        <w:tc>
          <w:tcPr>
            <w:tcW w:w="1129" w:type="dxa"/>
          </w:tcPr>
          <w:p w14:paraId="3C9AE45C"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0040</w:t>
            </w:r>
          </w:p>
        </w:tc>
        <w:tc>
          <w:tcPr>
            <w:tcW w:w="7620" w:type="dxa"/>
          </w:tcPr>
          <w:p w14:paraId="1D37636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Dépôts à court terme non grevés</w:t>
            </w:r>
          </w:p>
          <w:p w14:paraId="70ED594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43, paragraphe 1, point d)</w:t>
            </w:r>
            <w:r w:rsidRPr="00BC256B">
              <w:rPr>
                <w:rFonts w:ascii="Times New Roman" w:hAnsi="Times New Roman"/>
                <w:bCs/>
                <w:sz w:val="24"/>
                <w:szCs w:val="24"/>
              </w:rPr>
              <w:t>, et article 43, paragraphe 2, du règlement (UE) 2019/2033.</w:t>
            </w:r>
          </w:p>
        </w:tc>
      </w:tr>
      <w:tr w:rsidR="008C1FA5" w:rsidRPr="00BC256B" w14:paraId="087834DC" w14:textId="77777777">
        <w:tc>
          <w:tcPr>
            <w:tcW w:w="1129" w:type="dxa"/>
          </w:tcPr>
          <w:p w14:paraId="43A8E22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0050</w:t>
            </w:r>
          </w:p>
        </w:tc>
        <w:tc>
          <w:tcPr>
            <w:tcW w:w="7620" w:type="dxa"/>
          </w:tcPr>
          <w:p w14:paraId="40F9B09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Total des créances éligibles à percevoir dans les 30 jours</w:t>
            </w:r>
          </w:p>
          <w:p w14:paraId="45F94FD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43, paragraphe 3, du règlement (UE) 2019/2033 et article 43, paragraphe 2, du règlement (UE) 2019/2033.</w:t>
            </w:r>
          </w:p>
        </w:tc>
      </w:tr>
      <w:tr w:rsidR="008C1FA5" w:rsidRPr="00BC256B" w14:paraId="2AC3E4C0" w14:textId="77777777">
        <w:tc>
          <w:tcPr>
            <w:tcW w:w="1129" w:type="dxa"/>
          </w:tcPr>
          <w:p w14:paraId="0690A24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0060</w:t>
            </w:r>
          </w:p>
        </w:tc>
        <w:tc>
          <w:tcPr>
            <w:tcW w:w="7620" w:type="dxa"/>
          </w:tcPr>
          <w:p w14:paraId="75AE6D2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de niv</w:t>
            </w:r>
            <w:r w:rsidRPr="00BC256B">
              <w:rPr>
                <w:rFonts w:ascii="Times New Roman" w:hAnsi="Times New Roman"/>
                <w:b/>
                <w:bCs/>
                <w:sz w:val="24"/>
                <w:szCs w:val="24"/>
                <w:u w:val="single"/>
              </w:rPr>
              <w:t>eau 1</w:t>
            </w:r>
          </w:p>
          <w:p w14:paraId="3F9DAE6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10 du règlement délégué (UE) 2015/61 et article 43, paragraphe 2, du règlement (UE) 2019/2033.</w:t>
            </w:r>
          </w:p>
          <w:p w14:paraId="1F38ABC4" w14:textId="77777777" w:rsidR="008C1FA5" w:rsidRPr="00BC256B" w:rsidRDefault="00BC256B">
            <w:pPr>
              <w:pStyle w:val="CommentText"/>
              <w:rPr>
                <w:rFonts w:ascii="Times New Roman" w:eastAsia="Times New Roman" w:hAnsi="Times New Roman" w:cs="Times New Roman"/>
                <w:bCs/>
                <w:sz w:val="24"/>
                <w:szCs w:val="24"/>
              </w:rPr>
            </w:pPr>
            <w:r w:rsidRPr="00BC256B">
              <w:rPr>
                <w:rFonts w:ascii="Times New Roman" w:hAnsi="Times New Roman"/>
                <w:bCs/>
                <w:sz w:val="24"/>
                <w:szCs w:val="24"/>
              </w:rPr>
              <w:t>Total des actifs liquides après application des décotes pertinentes.</w:t>
            </w:r>
          </w:p>
          <w:p w14:paraId="5C224BD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Somme des lignes 0070 – 0160.</w:t>
            </w:r>
          </w:p>
        </w:tc>
      </w:tr>
      <w:tr w:rsidR="008C1FA5" w:rsidRPr="00BC256B" w14:paraId="36373825" w14:textId="77777777">
        <w:tc>
          <w:tcPr>
            <w:tcW w:w="1129" w:type="dxa"/>
          </w:tcPr>
          <w:p w14:paraId="382B605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0070</w:t>
            </w:r>
          </w:p>
        </w:tc>
        <w:tc>
          <w:tcPr>
            <w:tcW w:w="7620" w:type="dxa"/>
          </w:tcPr>
          <w:p w14:paraId="731B7AC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Pièces et billets de banque</w:t>
            </w:r>
          </w:p>
          <w:p w14:paraId="00417B89" w14:textId="77777777" w:rsidR="008C1FA5" w:rsidRPr="00BC256B" w:rsidRDefault="00BC256B">
            <w:pPr>
              <w:pStyle w:val="InstructionsText"/>
            </w:pPr>
            <w:r w:rsidRPr="00BC256B">
              <w:t>Article 10, paragraphe 1, point a), du règlement (UE) 2015/61.</w:t>
            </w:r>
          </w:p>
          <w:p w14:paraId="6B2CF170" w14:textId="77777777" w:rsidR="008C1FA5" w:rsidRPr="00BC256B" w:rsidRDefault="00BC256B">
            <w:pPr>
              <w:pStyle w:val="InstructionsText"/>
            </w:pPr>
            <w:r w:rsidRPr="00BC256B">
              <w:t>Montant total des encaisses consistant en pièces et billets.</w:t>
            </w:r>
          </w:p>
        </w:tc>
      </w:tr>
      <w:tr w:rsidR="008C1FA5" w:rsidRPr="00BC256B" w14:paraId="675E5347" w14:textId="77777777">
        <w:tc>
          <w:tcPr>
            <w:tcW w:w="1129" w:type="dxa"/>
          </w:tcPr>
          <w:p w14:paraId="7F71BF3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0080</w:t>
            </w:r>
          </w:p>
        </w:tc>
        <w:tc>
          <w:tcPr>
            <w:tcW w:w="7620" w:type="dxa"/>
          </w:tcPr>
          <w:p w14:paraId="49C2017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Réserves détenues auprès d’une banque centrale et appelables</w:t>
            </w:r>
          </w:p>
          <w:p w14:paraId="32BF1390" w14:textId="77777777" w:rsidR="008C1FA5" w:rsidRPr="00BC256B" w:rsidRDefault="00BC256B">
            <w:pPr>
              <w:pStyle w:val="InstructionsText"/>
            </w:pPr>
            <w:r w:rsidRPr="00BC256B">
              <w:t>Article 10, paragraphe 1, point b) iii), du règlement délégué (UE</w:t>
            </w:r>
            <w:r w:rsidRPr="00BC256B">
              <w:t>) 2015/61.</w:t>
            </w:r>
          </w:p>
        </w:tc>
      </w:tr>
      <w:tr w:rsidR="008C1FA5" w:rsidRPr="00BC256B" w14:paraId="33457C50" w14:textId="77777777">
        <w:tc>
          <w:tcPr>
            <w:tcW w:w="1129" w:type="dxa"/>
          </w:tcPr>
          <w:p w14:paraId="28ADAE1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0090</w:t>
            </w:r>
          </w:p>
        </w:tc>
        <w:tc>
          <w:tcPr>
            <w:tcW w:w="7620" w:type="dxa"/>
          </w:tcPr>
          <w:p w14:paraId="29FBDC3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banques centrales</w:t>
            </w:r>
          </w:p>
          <w:p w14:paraId="3E3C884B" w14:textId="77777777" w:rsidR="008C1FA5" w:rsidRPr="00BC256B" w:rsidRDefault="00BC256B">
            <w:pPr>
              <w:pStyle w:val="InstructionsText"/>
            </w:pPr>
            <w:r w:rsidRPr="00BC256B">
              <w:t>Article 10, paragraphe 1, point b) i) et ii), du règlement délégué (UE) 2015/61.</w:t>
            </w:r>
          </w:p>
        </w:tc>
      </w:tr>
      <w:tr w:rsidR="008C1FA5" w:rsidRPr="00BC256B" w14:paraId="7AB3C901" w14:textId="77777777">
        <w:tc>
          <w:tcPr>
            <w:tcW w:w="1129" w:type="dxa"/>
          </w:tcPr>
          <w:p w14:paraId="0BBEE574"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0100</w:t>
            </w:r>
          </w:p>
        </w:tc>
        <w:tc>
          <w:tcPr>
            <w:tcW w:w="7620" w:type="dxa"/>
          </w:tcPr>
          <w:p w14:paraId="3575453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administrations centrales</w:t>
            </w:r>
          </w:p>
          <w:p w14:paraId="6EEC4F8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10, paragraphe 1, point c), i) et ii), du règlement délégué UE) 2015/61.</w:t>
            </w:r>
          </w:p>
        </w:tc>
      </w:tr>
      <w:tr w:rsidR="008C1FA5" w:rsidRPr="00BC256B" w14:paraId="1812150A" w14:textId="77777777">
        <w:tc>
          <w:tcPr>
            <w:tcW w:w="1129" w:type="dxa"/>
          </w:tcPr>
          <w:p w14:paraId="5E3318F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0110</w:t>
            </w:r>
          </w:p>
        </w:tc>
        <w:tc>
          <w:tcPr>
            <w:tcW w:w="7620" w:type="dxa"/>
          </w:tcPr>
          <w:p w14:paraId="69524B7E"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administrations régionales ou locales</w:t>
            </w:r>
          </w:p>
          <w:p w14:paraId="152719B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 xml:space="preserve">Article 10, paragraphe 1, point c) iii) et iv), du règlement délégué (UE) </w:t>
            </w:r>
            <w:r w:rsidRPr="00BC256B">
              <w:rPr>
                <w:rFonts w:ascii="Times New Roman" w:hAnsi="Times New Roman"/>
                <w:bCs/>
                <w:sz w:val="24"/>
                <w:szCs w:val="24"/>
              </w:rPr>
              <w:t>2015/61.</w:t>
            </w:r>
          </w:p>
        </w:tc>
      </w:tr>
      <w:tr w:rsidR="008C1FA5" w:rsidRPr="00BC256B" w14:paraId="23F9BAAD" w14:textId="77777777">
        <w:tc>
          <w:tcPr>
            <w:tcW w:w="1129" w:type="dxa"/>
          </w:tcPr>
          <w:p w14:paraId="08BDE3C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0120</w:t>
            </w:r>
          </w:p>
        </w:tc>
        <w:tc>
          <w:tcPr>
            <w:tcW w:w="7620" w:type="dxa"/>
          </w:tcPr>
          <w:p w14:paraId="77D7CCD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entités du secteur public</w:t>
            </w:r>
          </w:p>
          <w:p w14:paraId="2CD9360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10, paragraphe 1, point c) v), du règlement délégué (UE) 2015/61.</w:t>
            </w:r>
          </w:p>
        </w:tc>
      </w:tr>
      <w:tr w:rsidR="008C1FA5" w:rsidRPr="00BC256B" w14:paraId="05051360" w14:textId="77777777">
        <w:tc>
          <w:tcPr>
            <w:tcW w:w="1129" w:type="dxa"/>
          </w:tcPr>
          <w:p w14:paraId="3E7B516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0130</w:t>
            </w:r>
          </w:p>
        </w:tc>
        <w:tc>
          <w:tcPr>
            <w:tcW w:w="7620" w:type="dxa"/>
          </w:tcPr>
          <w:p w14:paraId="1BEF5628"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en monnaie nationale ou en devises correspondant à des expositions sur des admini</w:t>
            </w:r>
            <w:r w:rsidRPr="00BC256B">
              <w:rPr>
                <w:rFonts w:ascii="Times New Roman" w:hAnsi="Times New Roman"/>
                <w:b/>
                <w:bCs/>
                <w:sz w:val="24"/>
                <w:szCs w:val="24"/>
                <w:u w:val="single"/>
              </w:rPr>
              <w:t>strations centrales ou des banques centrales et comptabilisables</w:t>
            </w:r>
          </w:p>
          <w:p w14:paraId="47C8FFA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10, paragraphe 1, point d), du règlement délégué (UE) 2015/61.</w:t>
            </w:r>
          </w:p>
        </w:tc>
      </w:tr>
      <w:tr w:rsidR="008C1FA5" w:rsidRPr="00BC256B" w14:paraId="217C3E4E" w14:textId="77777777">
        <w:tc>
          <w:tcPr>
            <w:tcW w:w="1129" w:type="dxa"/>
          </w:tcPr>
          <w:p w14:paraId="2EC4EB9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0140</w:t>
            </w:r>
          </w:p>
        </w:tc>
        <w:tc>
          <w:tcPr>
            <w:tcW w:w="7620" w:type="dxa"/>
          </w:tcPr>
          <w:p w14:paraId="538EF60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Actifs émis par des établissements de crédit (bénéficiant de la protection d’une administration d’un État membre, </w:t>
            </w:r>
            <w:r w:rsidRPr="00BC256B">
              <w:rPr>
                <w:rFonts w:ascii="Times New Roman" w:hAnsi="Times New Roman"/>
                <w:b/>
                <w:bCs/>
                <w:sz w:val="24"/>
                <w:szCs w:val="24"/>
                <w:u w:val="single"/>
              </w:rPr>
              <w:t>ou ayant le statut de banque de développement)</w:t>
            </w:r>
          </w:p>
          <w:p w14:paraId="2E80E274" w14:textId="77777777" w:rsidR="008C1FA5" w:rsidRPr="00BC256B" w:rsidRDefault="00BC256B">
            <w:pPr>
              <w:pStyle w:val="InstructionsText"/>
              <w:rPr>
                <w:rFonts w:cs="Times New Roman"/>
                <w:b/>
                <w:u w:val="single"/>
              </w:rPr>
            </w:pPr>
            <w:r w:rsidRPr="00BC256B">
              <w:t>Article 10, paragraphe 1, point e), i) et ii), du règlement délégué UE) 2015/61.</w:t>
            </w:r>
          </w:p>
        </w:tc>
      </w:tr>
      <w:tr w:rsidR="008C1FA5" w:rsidRPr="00BC256B" w14:paraId="13C4A504" w14:textId="77777777">
        <w:tc>
          <w:tcPr>
            <w:tcW w:w="1129" w:type="dxa"/>
          </w:tcPr>
          <w:p w14:paraId="366EF8B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0150</w:t>
            </w:r>
          </w:p>
        </w:tc>
        <w:tc>
          <w:tcPr>
            <w:tcW w:w="7620" w:type="dxa"/>
          </w:tcPr>
          <w:p w14:paraId="5A48A87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Actifs correspondant à des expositions sur des banques multilatérales de développement ou des organisations </w:t>
            </w:r>
            <w:r w:rsidRPr="00BC256B">
              <w:rPr>
                <w:rFonts w:ascii="Times New Roman" w:hAnsi="Times New Roman"/>
                <w:b/>
                <w:bCs/>
                <w:sz w:val="24"/>
                <w:szCs w:val="24"/>
                <w:u w:val="single"/>
              </w:rPr>
              <w:t>internationales</w:t>
            </w:r>
          </w:p>
          <w:p w14:paraId="3075016E" w14:textId="77777777" w:rsidR="008C1FA5" w:rsidRPr="00BC256B" w:rsidRDefault="00BC256B">
            <w:pPr>
              <w:pStyle w:val="InstructionsText"/>
            </w:pPr>
            <w:r w:rsidRPr="00BC256B">
              <w:t>Article 10, paragraphe 1, point g), du règlement (UE) 2015/61.</w:t>
            </w:r>
          </w:p>
        </w:tc>
      </w:tr>
      <w:tr w:rsidR="008C1FA5" w:rsidRPr="00BC256B" w14:paraId="1C62D70A" w14:textId="77777777">
        <w:tc>
          <w:tcPr>
            <w:tcW w:w="1129" w:type="dxa"/>
          </w:tcPr>
          <w:p w14:paraId="79FB4BF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0160</w:t>
            </w:r>
          </w:p>
        </w:tc>
        <w:tc>
          <w:tcPr>
            <w:tcW w:w="7620" w:type="dxa"/>
            <w:vAlign w:val="center"/>
          </w:tcPr>
          <w:p w14:paraId="389D2CF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Obligations garanties de qualité extrêmement élevée</w:t>
            </w:r>
          </w:p>
          <w:p w14:paraId="00D23C6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lastRenderedPageBreak/>
              <w:t>Article 10, paragraphe 1, point d), du règlement délégué (UE) 2015/61.</w:t>
            </w:r>
          </w:p>
        </w:tc>
      </w:tr>
      <w:tr w:rsidR="008C1FA5" w:rsidRPr="00BC256B" w14:paraId="34BAC5B6" w14:textId="77777777">
        <w:trPr>
          <w:trHeight w:val="885"/>
        </w:trPr>
        <w:tc>
          <w:tcPr>
            <w:tcW w:w="1129" w:type="dxa"/>
          </w:tcPr>
          <w:p w14:paraId="16E05BE6"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lastRenderedPageBreak/>
              <w:t>0170</w:t>
            </w:r>
          </w:p>
        </w:tc>
        <w:tc>
          <w:tcPr>
            <w:tcW w:w="7620" w:type="dxa"/>
            <w:vAlign w:val="center"/>
          </w:tcPr>
          <w:p w14:paraId="38324D8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de niveau 2A</w:t>
            </w:r>
          </w:p>
          <w:p w14:paraId="7CD5E4E3" w14:textId="77777777" w:rsidR="008C1FA5" w:rsidRPr="00BC256B" w:rsidRDefault="00BC256B">
            <w:pPr>
              <w:spacing w:after="120" w:line="240" w:lineRule="auto"/>
              <w:jc w:val="both"/>
              <w:rPr>
                <w:rFonts w:ascii="Times New Roman" w:eastAsia="Times New Roman" w:hAnsi="Times New Roman" w:cs="Arial"/>
                <w:bCs/>
                <w:sz w:val="24"/>
                <w:szCs w:val="24"/>
              </w:rPr>
            </w:pPr>
            <w:r w:rsidRPr="00BC256B">
              <w:rPr>
                <w:rFonts w:ascii="Times New Roman" w:hAnsi="Times New Roman"/>
                <w:bCs/>
                <w:sz w:val="24"/>
                <w:szCs w:val="24"/>
              </w:rPr>
              <w:t xml:space="preserve">Article 11 du </w:t>
            </w:r>
            <w:r w:rsidRPr="00BC256B">
              <w:rPr>
                <w:rFonts w:ascii="Times New Roman" w:hAnsi="Times New Roman"/>
                <w:bCs/>
                <w:sz w:val="24"/>
                <w:szCs w:val="24"/>
              </w:rPr>
              <w:t>règlement délégué (UE) 2015/61 et article 43, paragraphe 2, du règlement (UE) 2019/2033.</w:t>
            </w:r>
          </w:p>
        </w:tc>
      </w:tr>
      <w:tr w:rsidR="008C1FA5" w:rsidRPr="00BC256B" w14:paraId="46958718" w14:textId="77777777">
        <w:tc>
          <w:tcPr>
            <w:tcW w:w="1129" w:type="dxa"/>
          </w:tcPr>
          <w:p w14:paraId="7C3FAAA9"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183038A"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administrations régionales ou locales ou des entités du secteur public (État membre, PR de 20 %)</w:t>
            </w:r>
          </w:p>
          <w:p w14:paraId="0A2B9F93" w14:textId="77777777" w:rsidR="008C1FA5" w:rsidRPr="00BC256B" w:rsidRDefault="00BC256B">
            <w:pPr>
              <w:spacing w:after="0"/>
              <w:ind w:left="33"/>
              <w:rPr>
                <w:rFonts w:ascii="Times New Roman" w:eastAsia="Times New Roman" w:hAnsi="Times New Roman" w:cs="Arial"/>
                <w:bCs/>
                <w:sz w:val="24"/>
                <w:szCs w:val="24"/>
              </w:rPr>
            </w:pPr>
            <w:r w:rsidRPr="00BC256B">
              <w:rPr>
                <w:rFonts w:ascii="Times New Roman" w:hAnsi="Times New Roman"/>
                <w:bCs/>
                <w:sz w:val="24"/>
                <w:szCs w:val="24"/>
              </w:rPr>
              <w:t>Article 11, parag</w:t>
            </w:r>
            <w:r w:rsidRPr="00BC256B">
              <w:rPr>
                <w:rFonts w:ascii="Times New Roman" w:hAnsi="Times New Roman"/>
                <w:bCs/>
                <w:sz w:val="24"/>
                <w:szCs w:val="24"/>
              </w:rPr>
              <w:t>raphe 1, point a), du règlement (UE) 2015/61.</w:t>
            </w:r>
          </w:p>
        </w:tc>
      </w:tr>
      <w:tr w:rsidR="008C1FA5" w:rsidRPr="00BC256B" w14:paraId="59ED14D9" w14:textId="77777777">
        <w:tc>
          <w:tcPr>
            <w:tcW w:w="1129" w:type="dxa"/>
          </w:tcPr>
          <w:p w14:paraId="716C828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D76015"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correspondant à des expositions sur des banques centrales, des administrations centrales, régionales ou locales, ou des entités du secteur public (pays tiers, PR de 20 %)</w:t>
            </w:r>
          </w:p>
          <w:p w14:paraId="638E01EF" w14:textId="77777777" w:rsidR="008C1FA5" w:rsidRPr="00BC256B" w:rsidRDefault="00BC256B">
            <w:pPr>
              <w:spacing w:after="0"/>
              <w:ind w:left="33"/>
              <w:rPr>
                <w:rFonts w:ascii="Times New Roman" w:eastAsia="Times New Roman" w:hAnsi="Times New Roman" w:cs="Arial"/>
                <w:bCs/>
                <w:sz w:val="24"/>
                <w:szCs w:val="24"/>
              </w:rPr>
            </w:pPr>
            <w:r w:rsidRPr="00BC256B">
              <w:rPr>
                <w:rFonts w:ascii="Times New Roman" w:hAnsi="Times New Roman"/>
                <w:bCs/>
                <w:sz w:val="24"/>
                <w:szCs w:val="24"/>
              </w:rPr>
              <w:t xml:space="preserve">Article 11, </w:t>
            </w:r>
            <w:r w:rsidRPr="00BC256B">
              <w:rPr>
                <w:rFonts w:ascii="Times New Roman" w:hAnsi="Times New Roman"/>
                <w:bCs/>
                <w:sz w:val="24"/>
                <w:szCs w:val="24"/>
              </w:rPr>
              <w:t>paragraphe 1, point b), du règlement délégué (UE) 2015/61.</w:t>
            </w:r>
          </w:p>
        </w:tc>
      </w:tr>
      <w:tr w:rsidR="008C1FA5" w:rsidRPr="00BC256B" w14:paraId="31C3E74D" w14:textId="77777777">
        <w:tc>
          <w:tcPr>
            <w:tcW w:w="1129" w:type="dxa"/>
          </w:tcPr>
          <w:p w14:paraId="7745BFAA"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D6E01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Obligations garanties de qualité élevée (échelon 2 de qualité de crédit)</w:t>
            </w:r>
          </w:p>
          <w:p w14:paraId="536055AE" w14:textId="77777777" w:rsidR="008C1FA5" w:rsidRPr="00BC256B" w:rsidRDefault="00BC256B">
            <w:pPr>
              <w:spacing w:after="0"/>
              <w:ind w:left="33"/>
              <w:rPr>
                <w:rFonts w:ascii="Times New Roman" w:eastAsia="Times New Roman" w:hAnsi="Times New Roman" w:cs="Times New Roman"/>
                <w:b/>
                <w:bCs/>
                <w:sz w:val="24"/>
                <w:szCs w:val="24"/>
                <w:u w:val="single"/>
              </w:rPr>
            </w:pPr>
            <w:r w:rsidRPr="00BC256B">
              <w:rPr>
                <w:rFonts w:ascii="Times New Roman" w:hAnsi="Times New Roman"/>
                <w:bCs/>
                <w:sz w:val="24"/>
                <w:szCs w:val="24"/>
              </w:rPr>
              <w:t>Article 11, paragraphe 1, point c), du règlement délégué (UE) 2015/61.</w:t>
            </w:r>
          </w:p>
        </w:tc>
      </w:tr>
      <w:tr w:rsidR="008C1FA5" w:rsidRPr="00BC256B" w14:paraId="42F245AA" w14:textId="77777777">
        <w:tc>
          <w:tcPr>
            <w:tcW w:w="1129" w:type="dxa"/>
          </w:tcPr>
          <w:p w14:paraId="438D4ED0"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15533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Obligations garanties de qualité </w:t>
            </w:r>
            <w:r w:rsidRPr="00BC256B">
              <w:rPr>
                <w:rFonts w:ascii="Times New Roman" w:hAnsi="Times New Roman"/>
                <w:b/>
                <w:bCs/>
                <w:sz w:val="24"/>
                <w:szCs w:val="24"/>
                <w:u w:val="single"/>
              </w:rPr>
              <w:t>élevée (pays tiers, échelon 1 de qualité de crédit)</w:t>
            </w:r>
          </w:p>
          <w:p w14:paraId="1026FE31" w14:textId="77777777" w:rsidR="008C1FA5" w:rsidRPr="00BC256B" w:rsidRDefault="00BC256B">
            <w:pPr>
              <w:spacing w:after="0"/>
              <w:ind w:left="33"/>
              <w:rPr>
                <w:rFonts w:ascii="Times New Roman" w:eastAsia="Times New Roman" w:hAnsi="Times New Roman" w:cs="Times New Roman"/>
                <w:b/>
                <w:bCs/>
                <w:sz w:val="24"/>
                <w:szCs w:val="24"/>
                <w:u w:val="single"/>
              </w:rPr>
            </w:pPr>
            <w:r w:rsidRPr="00BC256B">
              <w:rPr>
                <w:rFonts w:ascii="Times New Roman" w:hAnsi="Times New Roman"/>
                <w:bCs/>
                <w:sz w:val="24"/>
                <w:szCs w:val="24"/>
              </w:rPr>
              <w:t>Article 11, paragraphe 1, point d), du règlement délégué (UE) 2015/61.</w:t>
            </w:r>
          </w:p>
        </w:tc>
      </w:tr>
      <w:tr w:rsidR="008C1FA5" w:rsidRPr="00BC256B" w14:paraId="37D9D478" w14:textId="77777777">
        <w:tc>
          <w:tcPr>
            <w:tcW w:w="1129" w:type="dxa"/>
          </w:tcPr>
          <w:p w14:paraId="63675682"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6EAB9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Titres de dette d’entreprises (échelon 1 de qualité de crédit)</w:t>
            </w:r>
          </w:p>
          <w:p w14:paraId="46B8BA8F" w14:textId="77777777" w:rsidR="008C1FA5" w:rsidRPr="00BC256B" w:rsidRDefault="00BC256B">
            <w:pPr>
              <w:spacing w:after="0"/>
              <w:ind w:left="33"/>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11, paragraphe 1, point e), du règlement (UE) </w:t>
            </w:r>
            <w:r w:rsidRPr="00BC256B">
              <w:rPr>
                <w:rFonts w:ascii="Times New Roman" w:hAnsi="Times New Roman"/>
                <w:bCs/>
                <w:sz w:val="24"/>
                <w:szCs w:val="24"/>
              </w:rPr>
              <w:t>2015/61.</w:t>
            </w:r>
          </w:p>
        </w:tc>
      </w:tr>
      <w:tr w:rsidR="008C1FA5" w:rsidRPr="00BC256B" w14:paraId="1773A76A" w14:textId="77777777">
        <w:trPr>
          <w:trHeight w:val="1001"/>
        </w:trPr>
        <w:tc>
          <w:tcPr>
            <w:tcW w:w="1129" w:type="dxa"/>
          </w:tcPr>
          <w:p w14:paraId="3AB8D53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D9503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Actifs de niveau 2B</w:t>
            </w:r>
          </w:p>
          <w:p w14:paraId="2EE80E27"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Article 12 du règlement délégué (UE) 2015/61 et article 43, paragraphe 2, du règlement (UE) 2019/2033.</w:t>
            </w:r>
          </w:p>
        </w:tc>
      </w:tr>
      <w:tr w:rsidR="008C1FA5" w:rsidRPr="00BC256B" w14:paraId="494570D1" w14:textId="77777777">
        <w:tc>
          <w:tcPr>
            <w:tcW w:w="1129" w:type="dxa"/>
          </w:tcPr>
          <w:p w14:paraId="4AEA5EA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3E2202"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Titres adossés à des actifs</w:t>
            </w:r>
          </w:p>
          <w:p w14:paraId="16AB6B70"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12, paragraphe 1, point a), et article 13, paragraphe 2, point g), du </w:t>
            </w:r>
            <w:r w:rsidRPr="00BC256B">
              <w:rPr>
                <w:rFonts w:ascii="Times New Roman" w:hAnsi="Times New Roman"/>
                <w:bCs/>
                <w:sz w:val="24"/>
                <w:szCs w:val="24"/>
              </w:rPr>
              <w:t>règlement délégué (UE) 2015/61.</w:t>
            </w:r>
          </w:p>
        </w:tc>
      </w:tr>
      <w:tr w:rsidR="008C1FA5" w:rsidRPr="00BC256B" w14:paraId="3F74C3A1" w14:textId="77777777">
        <w:tc>
          <w:tcPr>
            <w:tcW w:w="1129" w:type="dxa"/>
          </w:tcPr>
          <w:p w14:paraId="0805E68F"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6AAD40" w14:textId="77777777" w:rsidR="008C1FA5" w:rsidRPr="00BC256B" w:rsidRDefault="00BC256B">
            <w:pPr>
              <w:spacing w:after="120" w:line="240" w:lineRule="auto"/>
              <w:jc w:val="both"/>
              <w:rPr>
                <w:rFonts w:ascii="Times New Roman" w:eastAsia="Times New Roman" w:hAnsi="Times New Roman" w:cs="Arial"/>
                <w:bCs/>
                <w:sz w:val="24"/>
                <w:szCs w:val="24"/>
              </w:rPr>
            </w:pPr>
            <w:r w:rsidRPr="00BC256B">
              <w:rPr>
                <w:rFonts w:ascii="Times New Roman" w:hAnsi="Times New Roman"/>
                <w:b/>
                <w:bCs/>
                <w:sz w:val="24"/>
                <w:szCs w:val="24"/>
                <w:u w:val="single"/>
              </w:rPr>
              <w:t>Titres de dette d’entreprises</w:t>
            </w:r>
          </w:p>
          <w:p w14:paraId="48855E05" w14:textId="77777777" w:rsidR="008C1FA5" w:rsidRPr="00BC256B" w:rsidRDefault="00BC256B">
            <w:pPr>
              <w:spacing w:after="0"/>
              <w:ind w:left="33"/>
              <w:rPr>
                <w:rFonts w:ascii="Times New Roman" w:hAnsi="Times New Roman"/>
                <w:bCs/>
                <w:sz w:val="18"/>
                <w:szCs w:val="18"/>
              </w:rPr>
            </w:pPr>
            <w:r w:rsidRPr="00BC256B">
              <w:rPr>
                <w:rFonts w:ascii="Times New Roman" w:hAnsi="Times New Roman"/>
                <w:bCs/>
                <w:sz w:val="24"/>
                <w:szCs w:val="24"/>
              </w:rPr>
              <w:t>Article 12, paragraphe 1, point b), du règlement délégué (UE) 2015/61.</w:t>
            </w:r>
          </w:p>
        </w:tc>
      </w:tr>
      <w:tr w:rsidR="008C1FA5" w:rsidRPr="00BC256B" w14:paraId="5013B53A" w14:textId="77777777">
        <w:tc>
          <w:tcPr>
            <w:tcW w:w="1129" w:type="dxa"/>
          </w:tcPr>
          <w:p w14:paraId="7D81BAD8"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E9FBFB"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Actions (indice boursier important)</w:t>
            </w:r>
          </w:p>
          <w:p w14:paraId="4F74D4C7" w14:textId="77777777" w:rsidR="008C1FA5" w:rsidRPr="00BC256B" w:rsidRDefault="00BC256B">
            <w:pPr>
              <w:spacing w:after="0"/>
              <w:ind w:left="33"/>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12, paragraphe 1, point c), du règlement délégué (UE) </w:t>
            </w:r>
            <w:r w:rsidRPr="00BC256B">
              <w:rPr>
                <w:rFonts w:ascii="Times New Roman" w:hAnsi="Times New Roman"/>
                <w:bCs/>
                <w:sz w:val="24"/>
                <w:szCs w:val="24"/>
              </w:rPr>
              <w:t>2015/61.</w:t>
            </w:r>
          </w:p>
        </w:tc>
      </w:tr>
      <w:tr w:rsidR="008C1FA5" w:rsidRPr="00BC256B" w14:paraId="743DFD8B" w14:textId="77777777">
        <w:tc>
          <w:tcPr>
            <w:tcW w:w="1129" w:type="dxa"/>
          </w:tcPr>
          <w:p w14:paraId="1F1C513B"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651223"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Facilités de liquidité confirmées à usage restreint fournies par des banques centrales</w:t>
            </w:r>
          </w:p>
          <w:p w14:paraId="6C758A0D"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12, paragraphe 1, point d), du règlement délégué (UE) 2015/61.</w:t>
            </w:r>
          </w:p>
        </w:tc>
      </w:tr>
      <w:tr w:rsidR="008C1FA5" w:rsidRPr="00BC256B" w14:paraId="2B1AFE28" w14:textId="77777777">
        <w:tc>
          <w:tcPr>
            <w:tcW w:w="1129" w:type="dxa"/>
          </w:tcPr>
          <w:p w14:paraId="0934C233"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0AC604"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Obligations garanties de qualité élevée (PR de 35 %)</w:t>
            </w:r>
          </w:p>
          <w:p w14:paraId="605B56BA" w14:textId="77777777" w:rsidR="008C1FA5" w:rsidRPr="00BC256B" w:rsidRDefault="00BC256B">
            <w:pPr>
              <w:spacing w:after="0"/>
              <w:ind w:left="33"/>
              <w:rPr>
                <w:rFonts w:ascii="Times New Roman" w:eastAsia="Times New Roman" w:hAnsi="Times New Roman" w:cs="Times New Roman"/>
                <w:b/>
                <w:bCs/>
                <w:sz w:val="24"/>
                <w:szCs w:val="24"/>
                <w:u w:val="single"/>
              </w:rPr>
            </w:pPr>
            <w:r w:rsidRPr="00BC256B">
              <w:rPr>
                <w:rFonts w:ascii="Times New Roman" w:hAnsi="Times New Roman"/>
                <w:bCs/>
                <w:sz w:val="24"/>
                <w:szCs w:val="24"/>
              </w:rPr>
              <w:t xml:space="preserve">Article 15, </w:t>
            </w:r>
            <w:r w:rsidRPr="00BC256B">
              <w:rPr>
                <w:rFonts w:ascii="Times New Roman" w:hAnsi="Times New Roman"/>
                <w:bCs/>
                <w:sz w:val="24"/>
                <w:szCs w:val="24"/>
              </w:rPr>
              <w:t>paragraphe 2, point f), du règlement délégué (UE) 2015/61.</w:t>
            </w:r>
          </w:p>
        </w:tc>
      </w:tr>
      <w:tr w:rsidR="008C1FA5" w:rsidRPr="00BC256B" w14:paraId="595B6288" w14:textId="77777777">
        <w:trPr>
          <w:trHeight w:val="1061"/>
        </w:trPr>
        <w:tc>
          <w:tcPr>
            <w:tcW w:w="1129" w:type="dxa"/>
          </w:tcPr>
          <w:p w14:paraId="4594FD2D"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C18D79"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Parts/actions d’OPC éligibles</w:t>
            </w:r>
          </w:p>
          <w:p w14:paraId="3F5D4AE6" w14:textId="77777777" w:rsidR="008C1FA5" w:rsidRPr="00BC256B" w:rsidRDefault="00BC256B">
            <w:pPr>
              <w:spacing w:after="120" w:line="240" w:lineRule="auto"/>
              <w:jc w:val="both"/>
              <w:rPr>
                <w:rFonts w:ascii="Times New Roman" w:eastAsia="Times New Roman" w:hAnsi="Times New Roman" w:cs="Arial"/>
                <w:bCs/>
                <w:sz w:val="24"/>
                <w:szCs w:val="24"/>
              </w:rPr>
            </w:pPr>
            <w:r w:rsidRPr="00BC256B">
              <w:rPr>
                <w:rFonts w:ascii="Times New Roman" w:hAnsi="Times New Roman"/>
                <w:bCs/>
                <w:sz w:val="24"/>
                <w:szCs w:val="24"/>
              </w:rPr>
              <w:t>Article 15 du règlement délégué (UE) 2015/61.</w:t>
            </w:r>
          </w:p>
          <w:p w14:paraId="790F41C7"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43, paragraphe 1, point b), du règlement (UE) 2019/2033.</w:t>
            </w:r>
          </w:p>
        </w:tc>
      </w:tr>
      <w:tr w:rsidR="008C1FA5" w14:paraId="011D83F4" w14:textId="77777777">
        <w:trPr>
          <w:trHeight w:val="568"/>
        </w:trPr>
        <w:tc>
          <w:tcPr>
            <w:tcW w:w="1129" w:type="dxa"/>
          </w:tcPr>
          <w:p w14:paraId="21DFE355" w14:textId="77777777" w:rsidR="008C1FA5" w:rsidRPr="00BC256B" w:rsidRDefault="00BC256B">
            <w:pPr>
              <w:spacing w:after="120" w:line="240" w:lineRule="auto"/>
              <w:jc w:val="both"/>
              <w:rPr>
                <w:rFonts w:ascii="Times New Roman" w:eastAsia="Times New Roman" w:hAnsi="Times New Roman" w:cs="Times New Roman"/>
                <w:bCs/>
                <w:sz w:val="24"/>
                <w:szCs w:val="24"/>
              </w:rPr>
            </w:pPr>
            <w:r w:rsidRPr="00BC256B">
              <w:rPr>
                <w:rFonts w:ascii="Times New Roman" w:hAnsi="Times New Roman"/>
                <w:bCs/>
                <w:sz w:val="24"/>
                <w:szCs w:val="24"/>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210B3F" w14:textId="77777777" w:rsidR="008C1FA5" w:rsidRPr="00BC256B"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
                <w:bCs/>
                <w:sz w:val="24"/>
                <w:szCs w:val="24"/>
                <w:u w:val="single"/>
              </w:rPr>
              <w:t xml:space="preserve">Total des autres instruments </w:t>
            </w:r>
            <w:r w:rsidRPr="00BC256B">
              <w:rPr>
                <w:rFonts w:ascii="Times New Roman" w:hAnsi="Times New Roman"/>
                <w:b/>
                <w:bCs/>
                <w:sz w:val="24"/>
                <w:szCs w:val="24"/>
                <w:u w:val="single"/>
              </w:rPr>
              <w:t>financiers éligibles</w:t>
            </w:r>
          </w:p>
          <w:p w14:paraId="7FB941C8" w14:textId="77777777" w:rsidR="008C1FA5" w:rsidRDefault="00BC256B">
            <w:pPr>
              <w:spacing w:after="120" w:line="240" w:lineRule="auto"/>
              <w:jc w:val="both"/>
              <w:rPr>
                <w:rFonts w:ascii="Times New Roman" w:eastAsia="Times New Roman" w:hAnsi="Times New Roman" w:cs="Times New Roman"/>
                <w:b/>
                <w:bCs/>
                <w:sz w:val="24"/>
                <w:szCs w:val="24"/>
                <w:u w:val="single"/>
              </w:rPr>
            </w:pPr>
            <w:r w:rsidRPr="00BC256B">
              <w:rPr>
                <w:rFonts w:ascii="Times New Roman" w:hAnsi="Times New Roman"/>
                <w:bCs/>
                <w:sz w:val="24"/>
                <w:szCs w:val="24"/>
              </w:rPr>
              <w:t>Article 43, paragraphe 1, point c), du règlement (UE) 2019/2033.</w:t>
            </w:r>
          </w:p>
        </w:tc>
      </w:tr>
    </w:tbl>
    <w:p w14:paraId="645BE980" w14:textId="77777777" w:rsidR="008C1FA5" w:rsidRDefault="008C1FA5">
      <w:pPr>
        <w:keepNext/>
        <w:spacing w:before="240" w:after="240" w:line="240" w:lineRule="auto"/>
        <w:jc w:val="both"/>
        <w:outlineLvl w:val="1"/>
        <w:rPr>
          <w:lang w:val="fr-BE"/>
        </w:rPr>
      </w:pPr>
    </w:p>
    <w:sectPr w:rsidR="008C1FA5">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1F4D7" w14:textId="77777777" w:rsidR="008C1FA5" w:rsidRDefault="008C1FA5">
      <w:pPr>
        <w:pStyle w:val="Footer"/>
      </w:pPr>
    </w:p>
  </w:endnote>
  <w:endnote w:type="continuationSeparator" w:id="0">
    <w:p w14:paraId="5BF716C9" w14:textId="77777777" w:rsidR="008C1FA5" w:rsidRDefault="008C1FA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CF977" w14:textId="77777777" w:rsidR="008C1FA5" w:rsidRDefault="00BC256B">
    <w:pPr>
      <w:pStyle w:val="Footer"/>
      <w:tabs>
        <w:tab w:val="clear" w:pos="4513"/>
        <w:tab w:val="clear" w:pos="9026"/>
        <w:tab w:val="right" w:pos="9071"/>
      </w:tabs>
    </w:pPr>
    <w:r>
      <w:t>FR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9C6BE" w14:textId="77777777" w:rsidR="008C1FA5" w:rsidRDefault="008C1FA5">
      <w:pPr>
        <w:pStyle w:val="Footer"/>
      </w:pPr>
    </w:p>
  </w:footnote>
  <w:footnote w:type="continuationSeparator" w:id="0">
    <w:p w14:paraId="0BD5E655" w14:textId="77777777" w:rsidR="008C1FA5" w:rsidRDefault="008C1FA5">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3D6D6" w14:textId="77777777" w:rsidR="008C1FA5" w:rsidRDefault="00BC256B">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90A56" w14:textId="75C6B40E" w:rsidR="008C1FA5" w:rsidRDefault="00BC256B">
    <w:pPr>
      <w:pStyle w:val="Header"/>
    </w:pPr>
    <w:r>
      <w:rPr>
        <w:noProof/>
      </w:rPr>
      <mc:AlternateContent>
        <mc:Choice Requires="wps">
          <w:drawing>
            <wp:anchor distT="0" distB="0" distL="114300" distR="114300" simplePos="0" relativeHeight="251659264" behindDoc="0" locked="0" layoutInCell="0" allowOverlap="1" wp14:anchorId="62F66C0E" wp14:editId="7B2FBD80">
              <wp:simplePos x="0" y="0"/>
              <wp:positionH relativeFrom="page">
                <wp:posOffset>0</wp:posOffset>
              </wp:positionH>
              <wp:positionV relativeFrom="page">
                <wp:posOffset>190500</wp:posOffset>
              </wp:positionV>
              <wp:extent cx="7560310" cy="273050"/>
              <wp:effectExtent l="0" t="0" r="0" b="12700"/>
              <wp:wrapNone/>
              <wp:docPr id="1" name="MSIPCM9a5f44568db5c2814b7919dc"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042F72" w14:textId="02299716" w:rsidR="00BC256B" w:rsidRPr="00BC256B" w:rsidRDefault="00BC256B" w:rsidP="00BC256B">
                          <w:pPr>
                            <w:spacing w:after="0"/>
                            <w:rPr>
                              <w:rFonts w:ascii="Calibri" w:hAnsi="Calibri" w:cs="Calibri"/>
                              <w:color w:val="000000"/>
                              <w:sz w:val="24"/>
                            </w:rPr>
                          </w:pPr>
                          <w:r w:rsidRPr="00BC256B">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2F66C0E" id="_x0000_t202" coordsize="21600,21600" o:spt="202" path="m,l,21600r21600,l21600,xe">
              <v:stroke joinstyle="miter"/>
              <v:path gradientshapeok="t" o:connecttype="rect"/>
            </v:shapetype>
            <v:shape id="MSIPCM9a5f44568db5c2814b7919dc"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C1NLw1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65042F72" w14:textId="02299716" w:rsidR="00BC256B" w:rsidRPr="00BC256B" w:rsidRDefault="00BC256B" w:rsidP="00BC256B">
                    <w:pPr>
                      <w:spacing w:after="0"/>
                      <w:rPr>
                        <w:rFonts w:ascii="Calibri" w:hAnsi="Calibri" w:cs="Calibri"/>
                        <w:color w:val="000000"/>
                        <w:sz w:val="24"/>
                      </w:rPr>
                    </w:pPr>
                    <w:r w:rsidRPr="00BC256B">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A9D54" w14:textId="77777777" w:rsidR="008C1FA5" w:rsidRDefault="00BC256B">
    <w:pPr>
      <w:pStyle w:val="Header"/>
    </w:pPr>
    <w:r>
      <w:rPr>
        <w:rFonts w:ascii="Times New Roman" w:hAnsi="Times New Roman" w:cs="Times New Roman"/>
        <w:color w:val="000000"/>
        <w:sz w:val="24"/>
      </w:rPr>
      <w:t xml:space="preserve">Central Bank of Ireland - </w:t>
    </w:r>
    <w:r>
      <w:rPr>
        <w:rFonts w:ascii="Times New Roman" w:hAnsi="Times New Roman" w:cs="Times New Roman"/>
        <w:color w:val="000000"/>
        <w:sz w:val="24"/>
      </w:rPr>
      <w:t>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C1FA5"/>
    <w:rsid w:val="008C1FA5"/>
    <w:rsid w:val="00BC25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10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r-F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7CA8094-152A-4BAC-9B61-F3CE7766684C}">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15985</Words>
  <Characters>91120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2022-01-14T16:04:28Z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0f06f8a4-fc57-4d82-b228-b208744d79dd</vt:lpwstr>
  </property>
  <property fmtid="{D5CDD505-2E9C-101B-9397-08002B2CF9AE}" pid="8" name="MSIP_Label_5c7eb9de-735b-4a68-8fe4-c9c62709b012_ContentBits">
    <vt:lpwstr>1</vt:lpwstr>
  </property>
</Properties>
</file>